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552A">
      <w:pPr>
        <w:spacing w:line="360" w:lineRule="auto"/>
        <w:ind w:leftChars="-2" w:left="-4"/>
        <w:jc w:val="center"/>
        <w:rPr>
          <w:rFonts w:ascii="宋体" w:hAnsi="宋体" w:hint="eastAsia"/>
          <w:b/>
          <w:sz w:val="32"/>
          <w:szCs w:val="32"/>
        </w:rPr>
      </w:pPr>
      <w:bookmarkStart w:id="0" w:name="OLE_LINK1"/>
      <w:bookmarkStart w:id="1" w:name="OLE_LINK2"/>
      <w:r>
        <w:rPr>
          <w:rFonts w:ascii="宋体" w:hAnsi="宋体" w:hint="eastAsia"/>
          <w:b/>
          <w:sz w:val="32"/>
          <w:szCs w:val="32"/>
        </w:rPr>
        <w:t>中海基金管理有限公司关于旗下</w:t>
      </w:r>
      <w:r>
        <w:rPr>
          <w:rFonts w:ascii="宋体" w:hAnsi="宋体" w:hint="eastAsia"/>
          <w:b/>
          <w:sz w:val="32"/>
          <w:szCs w:val="32"/>
        </w:rPr>
        <w:t>部分</w:t>
      </w:r>
      <w:r>
        <w:rPr>
          <w:rFonts w:ascii="宋体" w:hAnsi="宋体" w:hint="eastAsia"/>
          <w:b/>
          <w:sz w:val="32"/>
          <w:szCs w:val="32"/>
        </w:rPr>
        <w:t>基金新增中国银行股份有限公司为销售机构并开通基金转换、定期定额投资业务的公告</w:t>
      </w:r>
    </w:p>
    <w:bookmarkEnd w:id="0"/>
    <w:bookmarkEnd w:id="1"/>
    <w:p w:rsidR="00000000" w:rsidRDefault="007D552A">
      <w:pPr>
        <w:spacing w:line="360" w:lineRule="auto"/>
        <w:ind w:firstLineChars="200" w:firstLine="643"/>
        <w:jc w:val="center"/>
        <w:rPr>
          <w:rFonts w:ascii="宋体" w:hAnsi="宋体" w:hint="eastAsia"/>
          <w:b/>
          <w:sz w:val="32"/>
          <w:szCs w:val="32"/>
        </w:rPr>
      </w:pP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color w:val="000000"/>
          <w:kern w:val="0"/>
          <w:sz w:val="24"/>
        </w:rPr>
        <w:t>根据中海基金管理有限公司（以下简称</w:t>
      </w:r>
      <w:r>
        <w:rPr>
          <w:rFonts w:ascii="宋体" w:hAnsi="宋体" w:cs="Arial"/>
          <w:color w:val="000000"/>
          <w:kern w:val="0"/>
          <w:sz w:val="24"/>
        </w:rPr>
        <w:t>“</w:t>
      </w:r>
      <w:r>
        <w:rPr>
          <w:rFonts w:ascii="宋体" w:hAnsi="宋体" w:cs="Arial"/>
          <w:color w:val="000000"/>
          <w:kern w:val="0"/>
          <w:sz w:val="24"/>
        </w:rPr>
        <w:t>本公司</w:t>
      </w:r>
      <w:r>
        <w:rPr>
          <w:rFonts w:ascii="宋体" w:hAnsi="宋体" w:cs="Arial"/>
          <w:color w:val="000000"/>
          <w:kern w:val="0"/>
          <w:sz w:val="24"/>
        </w:rPr>
        <w:t>”</w:t>
      </w:r>
      <w:r>
        <w:rPr>
          <w:rFonts w:ascii="宋体" w:hAnsi="宋体" w:cs="Arial"/>
          <w:color w:val="000000"/>
          <w:kern w:val="0"/>
          <w:sz w:val="24"/>
        </w:rPr>
        <w:t>）与</w:t>
      </w:r>
      <w:r>
        <w:rPr>
          <w:rFonts w:ascii="宋体" w:hAnsi="宋体" w:hint="eastAsia"/>
          <w:color w:val="000000"/>
          <w:sz w:val="24"/>
        </w:rPr>
        <w:t>中国银行股份有限公司</w:t>
      </w:r>
      <w:r>
        <w:rPr>
          <w:rFonts w:ascii="宋体" w:hAnsi="宋体" w:cs="Arial" w:hint="eastAsia"/>
          <w:color w:val="000000"/>
          <w:kern w:val="0"/>
          <w:sz w:val="24"/>
        </w:rPr>
        <w:t>（以下简称“</w:t>
      </w:r>
      <w:r>
        <w:rPr>
          <w:rFonts w:ascii="宋体" w:hAnsi="宋体" w:cs="Arial" w:hint="eastAsia"/>
          <w:color w:val="000000"/>
          <w:kern w:val="0"/>
          <w:sz w:val="24"/>
        </w:rPr>
        <w:t>中国银行</w:t>
      </w:r>
      <w:r>
        <w:rPr>
          <w:rFonts w:ascii="宋体" w:hAnsi="宋体" w:cs="Arial" w:hint="eastAsia"/>
          <w:color w:val="000000"/>
          <w:kern w:val="0"/>
          <w:sz w:val="24"/>
        </w:rPr>
        <w:t>”）</w:t>
      </w:r>
      <w:r>
        <w:rPr>
          <w:rFonts w:ascii="宋体" w:hAnsi="宋体" w:cs="Arial"/>
          <w:color w:val="000000"/>
          <w:kern w:val="0"/>
          <w:sz w:val="24"/>
        </w:rPr>
        <w:t>签署的开放式</w:t>
      </w:r>
      <w:r>
        <w:rPr>
          <w:rFonts w:ascii="宋体" w:hAnsi="宋体" w:cs="Arial" w:hint="eastAsia"/>
          <w:color w:val="000000"/>
          <w:kern w:val="0"/>
          <w:sz w:val="24"/>
        </w:rPr>
        <w:t>证券投资</w:t>
      </w:r>
      <w:r>
        <w:rPr>
          <w:rFonts w:ascii="宋体" w:hAnsi="宋体" w:cs="Arial"/>
          <w:color w:val="000000"/>
          <w:kern w:val="0"/>
          <w:sz w:val="24"/>
        </w:rPr>
        <w:t>基金</w:t>
      </w:r>
      <w:r>
        <w:rPr>
          <w:rFonts w:ascii="宋体" w:hAnsi="宋体" w:cs="Arial" w:hint="eastAsia"/>
          <w:color w:val="000000"/>
          <w:kern w:val="0"/>
          <w:sz w:val="24"/>
        </w:rPr>
        <w:t>销售代理</w:t>
      </w:r>
      <w:r>
        <w:rPr>
          <w:rFonts w:ascii="宋体" w:hAnsi="宋体" w:cs="Arial"/>
          <w:color w:val="000000"/>
          <w:kern w:val="0"/>
          <w:sz w:val="24"/>
        </w:rPr>
        <w:t>协议</w:t>
      </w:r>
      <w:r>
        <w:rPr>
          <w:rFonts w:ascii="宋体" w:hAnsi="宋体" w:cs="Arial" w:hint="eastAsia"/>
          <w:color w:val="000000"/>
          <w:kern w:val="0"/>
          <w:sz w:val="24"/>
        </w:rPr>
        <w:t>及补充协议</w:t>
      </w:r>
      <w:r>
        <w:rPr>
          <w:rFonts w:ascii="宋体" w:hAnsi="宋体" w:cs="Arial"/>
          <w:color w:val="000000"/>
          <w:kern w:val="0"/>
          <w:sz w:val="24"/>
        </w:rPr>
        <w:t>，现将</w:t>
      </w:r>
      <w:r>
        <w:rPr>
          <w:rFonts w:ascii="宋体" w:hAnsi="宋体" w:cs="Arial" w:hint="eastAsia"/>
          <w:color w:val="000000"/>
          <w:kern w:val="0"/>
          <w:sz w:val="24"/>
        </w:rPr>
        <w:t>相关业务开通情况</w:t>
      </w:r>
      <w:r>
        <w:rPr>
          <w:rFonts w:ascii="宋体" w:hAnsi="宋体" w:cs="Arial"/>
          <w:color w:val="000000"/>
          <w:kern w:val="0"/>
          <w:sz w:val="24"/>
        </w:rPr>
        <w:t>公告如下：</w:t>
      </w:r>
    </w:p>
    <w:p w:rsidR="00000000" w:rsidRDefault="007D552A">
      <w:pPr>
        <w:spacing w:line="360" w:lineRule="auto"/>
        <w:ind w:firstLineChars="200" w:firstLine="480"/>
        <w:rPr>
          <w:rFonts w:ascii="宋体" w:hAnsi="宋体" w:cs="Arial"/>
          <w:kern w:val="0"/>
          <w:sz w:val="24"/>
        </w:rPr>
      </w:pPr>
      <w:r>
        <w:rPr>
          <w:rFonts w:ascii="宋体" w:hAnsi="宋体" w:cs="Arial" w:hint="eastAsia"/>
          <w:color w:val="000000"/>
          <w:kern w:val="0"/>
          <w:sz w:val="24"/>
        </w:rPr>
        <w:t>一、</w:t>
      </w:r>
      <w:r>
        <w:rPr>
          <w:rFonts w:ascii="宋体" w:hAnsi="宋体" w:cs="Arial"/>
          <w:color w:val="000000"/>
          <w:kern w:val="0"/>
          <w:sz w:val="24"/>
        </w:rPr>
        <w:t>从</w:t>
      </w:r>
      <w:r>
        <w:rPr>
          <w:rFonts w:ascii="宋体" w:hAnsi="宋体" w:cs="Arial" w:hint="eastAsia"/>
          <w:color w:val="000000"/>
          <w:kern w:val="0"/>
          <w:sz w:val="24"/>
        </w:rPr>
        <w:t>20</w:t>
      </w:r>
      <w:r>
        <w:rPr>
          <w:rFonts w:ascii="宋体" w:hAnsi="宋体" w:cs="Arial"/>
          <w:color w:val="000000"/>
          <w:kern w:val="0"/>
          <w:sz w:val="24"/>
        </w:rPr>
        <w:t>20</w:t>
      </w:r>
      <w:r>
        <w:rPr>
          <w:rFonts w:ascii="宋体" w:hAnsi="宋体" w:cs="Arial"/>
          <w:color w:val="000000"/>
          <w:kern w:val="0"/>
          <w:sz w:val="24"/>
        </w:rPr>
        <w:t>年</w:t>
      </w:r>
      <w:r>
        <w:rPr>
          <w:rFonts w:ascii="宋体" w:hAnsi="宋体" w:cs="Arial" w:hint="eastAsia"/>
          <w:color w:val="000000"/>
          <w:kern w:val="0"/>
          <w:sz w:val="24"/>
        </w:rPr>
        <w:t>8</w:t>
      </w:r>
      <w:r>
        <w:rPr>
          <w:rFonts w:ascii="宋体" w:hAnsi="宋体" w:cs="Arial"/>
          <w:color w:val="000000"/>
          <w:kern w:val="0"/>
          <w:sz w:val="24"/>
        </w:rPr>
        <w:t>月</w:t>
      </w:r>
      <w:r>
        <w:rPr>
          <w:rFonts w:ascii="宋体" w:hAnsi="宋体" w:cs="Arial" w:hint="eastAsia"/>
          <w:color w:val="000000"/>
          <w:kern w:val="0"/>
          <w:sz w:val="24"/>
        </w:rPr>
        <w:t>20</w:t>
      </w:r>
      <w:r>
        <w:rPr>
          <w:rFonts w:ascii="宋体" w:hAnsi="宋体" w:cs="Arial" w:hint="eastAsia"/>
          <w:color w:val="000000"/>
          <w:kern w:val="0"/>
          <w:sz w:val="24"/>
        </w:rPr>
        <w:t>日</w:t>
      </w:r>
      <w:r>
        <w:rPr>
          <w:rFonts w:ascii="宋体" w:hAnsi="宋体" w:cs="Arial"/>
          <w:color w:val="000000"/>
          <w:kern w:val="0"/>
          <w:sz w:val="24"/>
        </w:rPr>
        <w:t>起，</w:t>
      </w:r>
      <w:r>
        <w:rPr>
          <w:rFonts w:ascii="宋体" w:hAnsi="宋体" w:cs="Arial" w:hint="eastAsia"/>
          <w:color w:val="000000"/>
          <w:kern w:val="0"/>
          <w:sz w:val="24"/>
        </w:rPr>
        <w:t>中国</w:t>
      </w:r>
      <w:r>
        <w:rPr>
          <w:rFonts w:ascii="宋体" w:hAnsi="宋体" w:cs="Arial" w:hint="eastAsia"/>
          <w:color w:val="000000"/>
          <w:kern w:val="0"/>
          <w:sz w:val="24"/>
        </w:rPr>
        <w:t>银行</w:t>
      </w:r>
      <w:r>
        <w:rPr>
          <w:rFonts w:ascii="宋体" w:hAnsi="宋体" w:cs="Arial"/>
          <w:color w:val="000000"/>
          <w:kern w:val="0"/>
          <w:sz w:val="24"/>
        </w:rPr>
        <w:t>开始代理销售本公司旗下</w:t>
      </w:r>
      <w:r>
        <w:rPr>
          <w:rFonts w:ascii="宋体" w:hAnsi="宋体" w:cs="Arial" w:hint="eastAsia"/>
          <w:color w:val="000000"/>
          <w:kern w:val="0"/>
          <w:sz w:val="24"/>
        </w:rPr>
        <w:t>中海积极收益灵活配置混合型证券投资基金（基金代码：</w:t>
      </w:r>
      <w:r>
        <w:rPr>
          <w:rFonts w:ascii="宋体" w:hAnsi="宋体" w:cs="Arial" w:hint="eastAsia"/>
          <w:color w:val="000000"/>
          <w:kern w:val="0"/>
          <w:sz w:val="24"/>
        </w:rPr>
        <w:t>000597</w:t>
      </w:r>
      <w:r>
        <w:rPr>
          <w:rFonts w:ascii="宋体" w:hAnsi="宋体" w:cs="Arial" w:hint="eastAsia"/>
          <w:color w:val="000000"/>
          <w:kern w:val="0"/>
          <w:sz w:val="24"/>
        </w:rPr>
        <w:t>），</w:t>
      </w:r>
      <w:r>
        <w:rPr>
          <w:rFonts w:ascii="宋体" w:hAnsi="宋体" w:cs="Arial" w:hint="eastAsia"/>
          <w:color w:val="000000"/>
          <w:kern w:val="0"/>
          <w:sz w:val="24"/>
        </w:rPr>
        <w:t>中海顺鑫灵活配置混合型证券投资基金</w:t>
      </w:r>
      <w:r>
        <w:rPr>
          <w:rFonts w:ascii="宋体" w:hAnsi="宋体" w:cs="Arial" w:hint="eastAsia"/>
          <w:kern w:val="0"/>
          <w:sz w:val="24"/>
        </w:rPr>
        <w:t>（基金代码：</w:t>
      </w:r>
      <w:r>
        <w:rPr>
          <w:rFonts w:ascii="宋体" w:hAnsi="宋体" w:cs="Arial" w:hint="eastAsia"/>
          <w:kern w:val="0"/>
          <w:sz w:val="24"/>
        </w:rPr>
        <w:t>002213</w:t>
      </w:r>
      <w:r>
        <w:rPr>
          <w:rFonts w:ascii="宋体" w:hAnsi="宋体" w:cs="Arial" w:hint="eastAsia"/>
          <w:kern w:val="0"/>
          <w:sz w:val="24"/>
        </w:rPr>
        <w:t>）</w:t>
      </w:r>
      <w:r>
        <w:rPr>
          <w:rFonts w:ascii="宋体" w:hAnsi="宋体" w:cs="Arial" w:hint="eastAsia"/>
          <w:kern w:val="0"/>
          <w:sz w:val="24"/>
        </w:rPr>
        <w:t>，</w:t>
      </w:r>
      <w:r>
        <w:rPr>
          <w:rFonts w:ascii="宋体" w:hAnsi="宋体" w:cs="Arial" w:hint="eastAsia"/>
          <w:kern w:val="0"/>
          <w:sz w:val="24"/>
        </w:rPr>
        <w:t>仅限前端收费模式。</w:t>
      </w: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届时投资者可通过</w:t>
      </w:r>
      <w:r>
        <w:rPr>
          <w:rFonts w:ascii="宋体" w:hAnsi="宋体" w:cs="Arial" w:hint="eastAsia"/>
          <w:color w:val="000000"/>
          <w:kern w:val="0"/>
          <w:sz w:val="24"/>
        </w:rPr>
        <w:t>中国</w:t>
      </w:r>
      <w:r>
        <w:rPr>
          <w:rFonts w:ascii="宋体" w:hAnsi="宋体" w:cs="Arial" w:hint="eastAsia"/>
          <w:color w:val="000000"/>
          <w:kern w:val="0"/>
          <w:sz w:val="24"/>
        </w:rPr>
        <w:t>银行</w:t>
      </w:r>
      <w:r>
        <w:rPr>
          <w:rFonts w:ascii="宋体" w:hAnsi="宋体" w:cs="Arial" w:hint="eastAsia"/>
          <w:color w:val="000000"/>
          <w:kern w:val="0"/>
          <w:sz w:val="24"/>
        </w:rPr>
        <w:t>办理上述基金开户、申购、赎回、基金转换、基金定投及其他相关业务</w:t>
      </w:r>
      <w:r>
        <w:rPr>
          <w:rFonts w:ascii="宋体" w:hAnsi="宋体" w:cs="Arial"/>
          <w:color w:val="000000"/>
          <w:kern w:val="0"/>
          <w:sz w:val="24"/>
        </w:rPr>
        <w:t>。</w:t>
      </w:r>
    </w:p>
    <w:p w:rsidR="00000000" w:rsidRDefault="007D552A">
      <w:pPr>
        <w:spacing w:line="360" w:lineRule="auto"/>
        <w:rPr>
          <w:rFonts w:ascii="宋体" w:hAnsi="宋体" w:cs="Arial" w:hint="eastAsia"/>
          <w:color w:val="000000"/>
          <w:kern w:val="0"/>
          <w:sz w:val="24"/>
        </w:rPr>
      </w:pP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二、</w:t>
      </w:r>
      <w:r>
        <w:rPr>
          <w:rFonts w:ascii="宋体" w:hAnsi="宋体" w:cs="Arial"/>
          <w:color w:val="000000"/>
          <w:kern w:val="0"/>
          <w:sz w:val="24"/>
        </w:rPr>
        <w:t>本公司将同时在</w:t>
      </w:r>
      <w:r>
        <w:rPr>
          <w:rFonts w:ascii="宋体" w:hAnsi="宋体" w:cs="Arial" w:hint="eastAsia"/>
          <w:color w:val="000000"/>
          <w:kern w:val="0"/>
          <w:sz w:val="24"/>
        </w:rPr>
        <w:t>中国银行</w:t>
      </w:r>
      <w:r>
        <w:rPr>
          <w:rFonts w:ascii="宋体" w:hAnsi="宋体" w:cs="Arial" w:hint="eastAsia"/>
          <w:color w:val="000000"/>
          <w:kern w:val="0"/>
          <w:sz w:val="24"/>
        </w:rPr>
        <w:t>开通上述基金</w:t>
      </w:r>
      <w:r>
        <w:rPr>
          <w:rFonts w:ascii="宋体" w:hAnsi="宋体" w:cs="Arial"/>
          <w:color w:val="000000"/>
          <w:kern w:val="0"/>
          <w:sz w:val="24"/>
        </w:rPr>
        <w:t>转换业务，</w:t>
      </w:r>
      <w:r>
        <w:rPr>
          <w:rFonts w:ascii="宋体" w:hAnsi="宋体" w:cs="Arial" w:hint="eastAsia"/>
          <w:color w:val="000000"/>
          <w:kern w:val="0"/>
          <w:sz w:val="24"/>
        </w:rPr>
        <w:t>单笔转出最低申请份额为</w:t>
      </w:r>
      <w:r>
        <w:rPr>
          <w:rFonts w:ascii="宋体" w:hAnsi="宋体" w:cs="Arial" w:hint="eastAsia"/>
          <w:sz w:val="24"/>
        </w:rPr>
        <w:t>1</w:t>
      </w:r>
      <w:r>
        <w:rPr>
          <w:rFonts w:ascii="宋体" w:hAnsi="宋体" w:cs="Arial" w:hint="eastAsia"/>
          <w:sz w:val="24"/>
        </w:rPr>
        <w:t>份</w:t>
      </w:r>
      <w:r>
        <w:rPr>
          <w:rFonts w:ascii="宋体" w:hAnsi="宋体" w:cs="Arial" w:hint="eastAsia"/>
          <w:color w:val="000000"/>
          <w:kern w:val="0"/>
          <w:sz w:val="24"/>
        </w:rPr>
        <w:t>。</w:t>
      </w:r>
    </w:p>
    <w:p w:rsidR="00000000" w:rsidRDefault="007D552A">
      <w:pPr>
        <w:spacing w:line="360" w:lineRule="auto"/>
        <w:ind w:firstLineChars="200" w:firstLine="480"/>
        <w:rPr>
          <w:rFonts w:ascii="宋体" w:hAnsi="宋体" w:cs="Arial" w:hint="eastAsia"/>
          <w:color w:val="000000"/>
          <w:kern w:val="0"/>
          <w:sz w:val="24"/>
        </w:rPr>
      </w:pPr>
    </w:p>
    <w:p w:rsidR="00000000" w:rsidRDefault="007D552A">
      <w:pPr>
        <w:numPr>
          <w:ilvl w:val="0"/>
          <w:numId w:val="1"/>
        </w:numPr>
        <w:spacing w:line="360" w:lineRule="auto"/>
        <w:ind w:firstLineChars="200" w:firstLine="480"/>
        <w:rPr>
          <w:rFonts w:ascii="宋体" w:hAnsi="宋体" w:cs="Arial"/>
          <w:color w:val="000000"/>
          <w:kern w:val="0"/>
          <w:sz w:val="24"/>
        </w:rPr>
      </w:pPr>
      <w:r>
        <w:rPr>
          <w:rFonts w:ascii="宋体" w:hAnsi="宋体" w:cs="Arial"/>
          <w:color w:val="000000"/>
          <w:kern w:val="0"/>
          <w:sz w:val="24"/>
        </w:rPr>
        <w:t>本公司将同时在</w:t>
      </w:r>
      <w:r>
        <w:rPr>
          <w:rFonts w:ascii="宋体" w:hAnsi="宋体" w:cs="Arial" w:hint="eastAsia"/>
          <w:color w:val="000000"/>
          <w:kern w:val="0"/>
          <w:sz w:val="24"/>
        </w:rPr>
        <w:t>中国银行</w:t>
      </w:r>
      <w:r>
        <w:rPr>
          <w:rFonts w:ascii="宋体" w:hAnsi="宋体" w:cs="Arial" w:hint="eastAsia"/>
          <w:color w:val="000000"/>
          <w:kern w:val="0"/>
          <w:sz w:val="24"/>
        </w:rPr>
        <w:t>开通上述基金</w:t>
      </w:r>
      <w:r>
        <w:rPr>
          <w:rFonts w:ascii="宋体" w:hAnsi="宋体" w:cs="Arial"/>
          <w:color w:val="000000"/>
          <w:kern w:val="0"/>
          <w:sz w:val="24"/>
        </w:rPr>
        <w:t>定期定额</w:t>
      </w:r>
      <w:r>
        <w:rPr>
          <w:rFonts w:ascii="宋体" w:hAnsi="宋体" w:cs="Arial" w:hint="eastAsia"/>
          <w:color w:val="000000"/>
          <w:kern w:val="0"/>
          <w:sz w:val="24"/>
        </w:rPr>
        <w:t>投资</w:t>
      </w:r>
      <w:r>
        <w:rPr>
          <w:rFonts w:ascii="宋体" w:hAnsi="宋体" w:cs="Arial"/>
          <w:color w:val="000000"/>
          <w:kern w:val="0"/>
          <w:sz w:val="24"/>
        </w:rPr>
        <w:t>业务</w:t>
      </w:r>
      <w:r>
        <w:rPr>
          <w:rFonts w:ascii="宋体" w:hAnsi="宋体" w:cs="Arial" w:hint="eastAsia"/>
          <w:color w:val="000000"/>
          <w:kern w:val="0"/>
          <w:sz w:val="24"/>
        </w:rPr>
        <w:t>。</w:t>
      </w:r>
      <w:r>
        <w:rPr>
          <w:rFonts w:ascii="宋体" w:hAnsi="宋体" w:cs="Arial"/>
          <w:color w:val="000000"/>
          <w:kern w:val="0"/>
          <w:sz w:val="24"/>
        </w:rPr>
        <w:t>每期</w:t>
      </w:r>
      <w:r>
        <w:rPr>
          <w:rFonts w:ascii="宋体" w:hAnsi="宋体" w:cs="Arial" w:hint="eastAsia"/>
          <w:color w:val="000000"/>
          <w:kern w:val="0"/>
          <w:sz w:val="24"/>
        </w:rPr>
        <w:t>定投</w:t>
      </w:r>
      <w:r>
        <w:rPr>
          <w:rFonts w:ascii="宋体" w:hAnsi="宋体" w:cs="Arial"/>
          <w:color w:val="000000"/>
          <w:kern w:val="0"/>
          <w:sz w:val="24"/>
        </w:rPr>
        <w:t>最低扣款金额</w:t>
      </w:r>
      <w:r>
        <w:rPr>
          <w:rFonts w:ascii="宋体" w:hAnsi="宋体" w:cs="Arial" w:hint="eastAsia"/>
          <w:color w:val="000000"/>
          <w:kern w:val="0"/>
          <w:sz w:val="24"/>
        </w:rPr>
        <w:t>1</w:t>
      </w:r>
      <w:r>
        <w:rPr>
          <w:rFonts w:ascii="宋体" w:hAnsi="宋体" w:cs="Arial" w:hint="eastAsia"/>
          <w:color w:val="000000"/>
          <w:kern w:val="0"/>
          <w:sz w:val="24"/>
        </w:rPr>
        <w:t>元</w:t>
      </w:r>
      <w:r>
        <w:rPr>
          <w:rFonts w:ascii="宋体" w:hAnsi="宋体" w:cs="Arial"/>
          <w:color w:val="000000"/>
          <w:kern w:val="0"/>
          <w:sz w:val="24"/>
        </w:rPr>
        <w:t>。</w:t>
      </w:r>
    </w:p>
    <w:p w:rsidR="00000000" w:rsidRDefault="007D552A">
      <w:pPr>
        <w:spacing w:line="360" w:lineRule="auto"/>
        <w:rPr>
          <w:rFonts w:ascii="宋体" w:hAnsi="宋体" w:cs="Arial"/>
          <w:color w:val="000000"/>
          <w:kern w:val="0"/>
          <w:sz w:val="24"/>
        </w:rPr>
      </w:pPr>
    </w:p>
    <w:p w:rsidR="00000000" w:rsidRDefault="007D552A">
      <w:pPr>
        <w:numPr>
          <w:ilvl w:val="0"/>
          <w:numId w:val="1"/>
        </w:num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基金费率优惠</w:t>
      </w:r>
    </w:p>
    <w:p w:rsidR="00000000" w:rsidRDefault="007D552A">
      <w:pPr>
        <w:snapToGrid w:val="0"/>
        <w:spacing w:line="360" w:lineRule="auto"/>
        <w:ind w:right="26" w:firstLineChars="200" w:firstLine="480"/>
        <w:rPr>
          <w:rFonts w:ascii="宋体" w:hAnsi="宋体" w:cs="Arial" w:hint="eastAsia"/>
          <w:kern w:val="0"/>
          <w:sz w:val="24"/>
        </w:rPr>
      </w:pPr>
      <w:r>
        <w:rPr>
          <w:rFonts w:ascii="宋体" w:hAnsi="宋体" w:cs="Arial" w:hint="eastAsia"/>
          <w:kern w:val="0"/>
          <w:sz w:val="24"/>
        </w:rPr>
        <w:t>1</w:t>
      </w:r>
      <w:r>
        <w:rPr>
          <w:rFonts w:ascii="宋体" w:hAnsi="宋体" w:cs="Arial" w:hint="eastAsia"/>
          <w:kern w:val="0"/>
          <w:sz w:val="24"/>
        </w:rPr>
        <w:t>、</w:t>
      </w:r>
      <w:r>
        <w:rPr>
          <w:rFonts w:ascii="宋体" w:hAnsi="宋体" w:cs="Arial" w:hint="eastAsia"/>
          <w:color w:val="000000"/>
          <w:kern w:val="0"/>
          <w:sz w:val="24"/>
        </w:rPr>
        <w:t>20</w:t>
      </w:r>
      <w:r>
        <w:rPr>
          <w:rFonts w:ascii="宋体" w:hAnsi="宋体" w:cs="Arial"/>
          <w:color w:val="000000"/>
          <w:kern w:val="0"/>
          <w:sz w:val="24"/>
        </w:rPr>
        <w:t>20</w:t>
      </w:r>
      <w:r>
        <w:rPr>
          <w:rFonts w:ascii="宋体" w:hAnsi="宋体" w:cs="Arial"/>
          <w:color w:val="000000"/>
          <w:kern w:val="0"/>
          <w:sz w:val="24"/>
        </w:rPr>
        <w:t>年</w:t>
      </w:r>
      <w:r>
        <w:rPr>
          <w:rFonts w:ascii="宋体" w:hAnsi="宋体" w:cs="Arial" w:hint="eastAsia"/>
          <w:color w:val="000000"/>
          <w:kern w:val="0"/>
          <w:sz w:val="24"/>
        </w:rPr>
        <w:t>8</w:t>
      </w:r>
      <w:r>
        <w:rPr>
          <w:rFonts w:ascii="宋体" w:hAnsi="宋体" w:cs="Arial"/>
          <w:color w:val="000000"/>
          <w:kern w:val="0"/>
          <w:sz w:val="24"/>
        </w:rPr>
        <w:t>月</w:t>
      </w:r>
      <w:r>
        <w:rPr>
          <w:rFonts w:ascii="宋体" w:hAnsi="宋体" w:cs="Arial" w:hint="eastAsia"/>
          <w:color w:val="000000"/>
          <w:kern w:val="0"/>
          <w:sz w:val="24"/>
        </w:rPr>
        <w:t>20</w:t>
      </w:r>
      <w:r>
        <w:rPr>
          <w:rFonts w:ascii="宋体" w:hAnsi="宋体" w:cs="Arial" w:hint="eastAsia"/>
          <w:color w:val="000000"/>
          <w:kern w:val="0"/>
          <w:sz w:val="24"/>
        </w:rPr>
        <w:t>日</w:t>
      </w:r>
      <w:r>
        <w:rPr>
          <w:rFonts w:ascii="宋体" w:hAnsi="宋体" w:cs="Arial"/>
          <w:color w:val="000000"/>
          <w:kern w:val="0"/>
          <w:sz w:val="24"/>
        </w:rPr>
        <w:t>起</w:t>
      </w:r>
      <w:r>
        <w:rPr>
          <w:rFonts w:ascii="宋体" w:hAnsi="宋体" w:cs="Arial" w:hint="eastAsia"/>
          <w:kern w:val="0"/>
          <w:sz w:val="24"/>
        </w:rPr>
        <w:t>，</w:t>
      </w:r>
      <w:r>
        <w:rPr>
          <w:rFonts w:ascii="宋体" w:hAnsi="宋体" w:cs="Arial"/>
          <w:kern w:val="0"/>
          <w:sz w:val="24"/>
        </w:rPr>
        <w:t>投资者</w:t>
      </w:r>
      <w:r>
        <w:rPr>
          <w:rFonts w:ascii="宋体" w:hAnsi="宋体" w:cs="Arial" w:hint="eastAsia"/>
          <w:kern w:val="0"/>
          <w:sz w:val="24"/>
        </w:rPr>
        <w:t>通过中国银行各交易渠道</w:t>
      </w:r>
      <w:r>
        <w:rPr>
          <w:rFonts w:ascii="宋体" w:hAnsi="宋体" w:cs="Arial" w:hint="eastAsia"/>
          <w:kern w:val="0"/>
          <w:sz w:val="24"/>
        </w:rPr>
        <w:t>申购上述</w:t>
      </w:r>
      <w:r>
        <w:rPr>
          <w:rFonts w:ascii="宋体" w:hAnsi="宋体" w:cs="Arial" w:hint="eastAsia"/>
          <w:kern w:val="0"/>
          <w:sz w:val="24"/>
        </w:rPr>
        <w:t>基金</w:t>
      </w:r>
      <w:r>
        <w:rPr>
          <w:rFonts w:ascii="宋体" w:hAnsi="宋体" w:cs="Arial" w:hint="eastAsia"/>
          <w:kern w:val="0"/>
          <w:sz w:val="24"/>
        </w:rPr>
        <w:t>（含</w:t>
      </w:r>
      <w:r>
        <w:rPr>
          <w:rFonts w:ascii="宋体" w:hAnsi="宋体" w:cs="Arial" w:hint="eastAsia"/>
          <w:kern w:val="0"/>
          <w:sz w:val="24"/>
        </w:rPr>
        <w:t>定期定额投资</w:t>
      </w:r>
      <w:r>
        <w:rPr>
          <w:rFonts w:ascii="宋体" w:hAnsi="宋体" w:cs="Arial" w:hint="eastAsia"/>
          <w:kern w:val="0"/>
          <w:sz w:val="24"/>
        </w:rPr>
        <w:t>）</w:t>
      </w:r>
      <w:r>
        <w:rPr>
          <w:rFonts w:ascii="宋体" w:hAnsi="宋体" w:cs="Arial" w:hint="eastAsia"/>
          <w:kern w:val="0"/>
          <w:sz w:val="24"/>
        </w:rPr>
        <w:t>，</w:t>
      </w:r>
      <w:r>
        <w:rPr>
          <w:rFonts w:ascii="宋体" w:hAnsi="宋体" w:cs="Arial" w:hint="eastAsia"/>
          <w:kern w:val="0"/>
          <w:sz w:val="24"/>
        </w:rPr>
        <w:t>最低</w:t>
      </w:r>
      <w:r>
        <w:rPr>
          <w:rFonts w:ascii="宋体" w:hAnsi="宋体" w:cs="Arial" w:hint="eastAsia"/>
          <w:kern w:val="0"/>
          <w:sz w:val="24"/>
        </w:rPr>
        <w:t>享受</w:t>
      </w:r>
      <w:r>
        <w:rPr>
          <w:rFonts w:ascii="宋体" w:hAnsi="宋体" w:cs="Arial"/>
          <w:kern w:val="0"/>
          <w:sz w:val="24"/>
        </w:rPr>
        <w:t>6</w:t>
      </w:r>
      <w:r>
        <w:rPr>
          <w:rFonts w:ascii="宋体" w:hAnsi="宋体" w:cs="Arial" w:hint="eastAsia"/>
          <w:kern w:val="0"/>
          <w:sz w:val="24"/>
        </w:rPr>
        <w:t>折费率优惠</w:t>
      </w:r>
      <w:r>
        <w:rPr>
          <w:rFonts w:ascii="宋体" w:hAnsi="宋体" w:cs="Arial" w:hint="eastAsia"/>
          <w:kern w:val="0"/>
          <w:sz w:val="24"/>
        </w:rPr>
        <w:t>，具体</w:t>
      </w:r>
      <w:r>
        <w:rPr>
          <w:rFonts w:ascii="宋体" w:hAnsi="宋体" w:cs="Arial" w:hint="eastAsia"/>
          <w:kern w:val="0"/>
          <w:sz w:val="24"/>
        </w:rPr>
        <w:t>费率优惠</w:t>
      </w:r>
      <w:r>
        <w:rPr>
          <w:rFonts w:ascii="宋体" w:hAnsi="宋体" w:cs="Arial" w:hint="eastAsia"/>
          <w:kern w:val="0"/>
          <w:sz w:val="24"/>
        </w:rPr>
        <w:t>以代销机构为准</w:t>
      </w:r>
      <w:r>
        <w:rPr>
          <w:rFonts w:ascii="宋体" w:hAnsi="宋体" w:cs="Arial" w:hint="eastAsia"/>
          <w:kern w:val="0"/>
          <w:sz w:val="24"/>
        </w:rPr>
        <w:t>。</w:t>
      </w:r>
    </w:p>
    <w:p w:rsidR="00000000" w:rsidRDefault="007D552A">
      <w:pPr>
        <w:snapToGrid w:val="0"/>
        <w:spacing w:line="360" w:lineRule="auto"/>
        <w:ind w:right="26" w:firstLineChars="200" w:firstLine="480"/>
        <w:rPr>
          <w:rFonts w:ascii="宋体" w:hAnsi="宋体" w:cs="Arial" w:hint="eastAsia"/>
          <w:kern w:val="0"/>
          <w:sz w:val="24"/>
        </w:rPr>
      </w:pPr>
      <w:r>
        <w:rPr>
          <w:rFonts w:ascii="宋体" w:hAnsi="宋体" w:cs="Arial" w:hint="eastAsia"/>
          <w:kern w:val="0"/>
          <w:sz w:val="24"/>
        </w:rPr>
        <w:t>2</w:t>
      </w:r>
      <w:r>
        <w:rPr>
          <w:rFonts w:ascii="宋体" w:hAnsi="宋体" w:cs="Arial" w:hint="eastAsia"/>
          <w:kern w:val="0"/>
          <w:sz w:val="24"/>
        </w:rPr>
        <w:t>、</w:t>
      </w:r>
      <w:r>
        <w:rPr>
          <w:rFonts w:ascii="宋体" w:hAnsi="宋体" w:cs="Arial" w:hint="eastAsia"/>
          <w:kern w:val="0"/>
          <w:sz w:val="24"/>
        </w:rPr>
        <w:t>产品优惠后的申购费率</w:t>
      </w:r>
      <w:r>
        <w:rPr>
          <w:rFonts w:ascii="宋体" w:hAnsi="宋体" w:cs="Arial" w:hint="eastAsia"/>
          <w:kern w:val="0"/>
          <w:sz w:val="24"/>
        </w:rPr>
        <w:t>（含</w:t>
      </w:r>
      <w:r>
        <w:rPr>
          <w:rFonts w:ascii="宋体" w:hAnsi="宋体" w:cs="Arial" w:hint="eastAsia"/>
          <w:kern w:val="0"/>
          <w:sz w:val="24"/>
        </w:rPr>
        <w:t>定期定额投资</w:t>
      </w:r>
      <w:r>
        <w:rPr>
          <w:rFonts w:ascii="宋体" w:hAnsi="宋体" w:cs="Arial" w:hint="eastAsia"/>
          <w:kern w:val="0"/>
          <w:sz w:val="24"/>
        </w:rPr>
        <w:t>）</w:t>
      </w:r>
      <w:r>
        <w:rPr>
          <w:rFonts w:ascii="宋体" w:hAnsi="宋体" w:cs="Arial" w:hint="eastAsia"/>
          <w:kern w:val="0"/>
          <w:sz w:val="24"/>
        </w:rPr>
        <w:t>不低于</w:t>
      </w:r>
      <w:r>
        <w:rPr>
          <w:rFonts w:ascii="宋体" w:hAnsi="宋体" w:cs="Arial" w:hint="eastAsia"/>
          <w:kern w:val="0"/>
          <w:sz w:val="24"/>
        </w:rPr>
        <w:t>0.6%</w:t>
      </w:r>
      <w:r>
        <w:rPr>
          <w:rFonts w:ascii="宋体" w:hAnsi="宋体" w:cs="Arial" w:hint="eastAsia"/>
          <w:kern w:val="0"/>
          <w:sz w:val="24"/>
        </w:rPr>
        <w:t>，如优惠后费率低于</w:t>
      </w:r>
      <w:r>
        <w:rPr>
          <w:rFonts w:ascii="宋体" w:hAnsi="宋体" w:cs="Arial" w:hint="eastAsia"/>
          <w:kern w:val="0"/>
          <w:sz w:val="24"/>
        </w:rPr>
        <w:t>0.6%</w:t>
      </w:r>
      <w:r>
        <w:rPr>
          <w:rFonts w:ascii="宋体" w:hAnsi="宋体" w:cs="Arial" w:hint="eastAsia"/>
          <w:kern w:val="0"/>
          <w:sz w:val="24"/>
        </w:rPr>
        <w:t>，则按照</w:t>
      </w:r>
      <w:r>
        <w:rPr>
          <w:rFonts w:ascii="宋体" w:hAnsi="宋体" w:cs="Arial" w:hint="eastAsia"/>
          <w:kern w:val="0"/>
          <w:sz w:val="24"/>
        </w:rPr>
        <w:t>0.6%</w:t>
      </w:r>
      <w:r>
        <w:rPr>
          <w:rFonts w:ascii="宋体" w:hAnsi="宋体" w:cs="Arial" w:hint="eastAsia"/>
          <w:kern w:val="0"/>
          <w:sz w:val="24"/>
        </w:rPr>
        <w:t>执行；原前端申购费率</w:t>
      </w:r>
      <w:r>
        <w:rPr>
          <w:rFonts w:ascii="宋体" w:hAnsi="宋体" w:cs="Arial" w:hint="eastAsia"/>
          <w:kern w:val="0"/>
          <w:sz w:val="24"/>
        </w:rPr>
        <w:t>（含</w:t>
      </w:r>
      <w:r>
        <w:rPr>
          <w:rFonts w:ascii="宋体" w:hAnsi="宋体" w:cs="Arial" w:hint="eastAsia"/>
          <w:kern w:val="0"/>
          <w:sz w:val="24"/>
        </w:rPr>
        <w:t>定</w:t>
      </w:r>
      <w:r>
        <w:rPr>
          <w:rFonts w:ascii="宋体" w:hAnsi="宋体" w:cs="Arial" w:hint="eastAsia"/>
          <w:kern w:val="0"/>
          <w:sz w:val="24"/>
        </w:rPr>
        <w:t>期定额投资</w:t>
      </w:r>
      <w:r>
        <w:rPr>
          <w:rFonts w:ascii="宋体" w:hAnsi="宋体" w:cs="Arial" w:hint="eastAsia"/>
          <w:kern w:val="0"/>
          <w:sz w:val="24"/>
        </w:rPr>
        <w:t>）</w:t>
      </w:r>
      <w:r>
        <w:rPr>
          <w:rFonts w:ascii="宋体" w:hAnsi="宋体" w:cs="Arial" w:hint="eastAsia"/>
          <w:kern w:val="0"/>
          <w:sz w:val="24"/>
        </w:rPr>
        <w:t>低于</w:t>
      </w:r>
      <w:r>
        <w:rPr>
          <w:rFonts w:ascii="宋体" w:hAnsi="宋体" w:cs="Arial" w:hint="eastAsia"/>
          <w:kern w:val="0"/>
          <w:sz w:val="24"/>
        </w:rPr>
        <w:t>0.6%</w:t>
      </w:r>
      <w:r>
        <w:rPr>
          <w:rFonts w:ascii="宋体" w:hAnsi="宋体" w:cs="Arial" w:hint="eastAsia"/>
          <w:kern w:val="0"/>
          <w:sz w:val="24"/>
        </w:rPr>
        <w:t>的产品，按原申购费率执行</w:t>
      </w:r>
      <w:r>
        <w:rPr>
          <w:rFonts w:ascii="宋体" w:hAnsi="宋体" w:cs="Arial" w:hint="eastAsia"/>
          <w:kern w:val="0"/>
          <w:sz w:val="24"/>
        </w:rPr>
        <w:t>；</w:t>
      </w:r>
      <w:r>
        <w:rPr>
          <w:rFonts w:ascii="宋体" w:hAnsi="宋体" w:hint="eastAsia"/>
          <w:sz w:val="24"/>
        </w:rPr>
        <w:t>原申购费</w:t>
      </w:r>
      <w:r>
        <w:rPr>
          <w:rFonts w:ascii="宋体" w:hAnsi="宋体" w:cs="Arial" w:hint="eastAsia"/>
          <w:kern w:val="0"/>
          <w:sz w:val="24"/>
        </w:rPr>
        <w:t>（含</w:t>
      </w:r>
      <w:r>
        <w:rPr>
          <w:rFonts w:ascii="宋体" w:hAnsi="宋体" w:cs="Arial" w:hint="eastAsia"/>
          <w:kern w:val="0"/>
          <w:sz w:val="24"/>
        </w:rPr>
        <w:t>定期定额投资</w:t>
      </w:r>
      <w:r>
        <w:rPr>
          <w:rFonts w:ascii="宋体" w:hAnsi="宋体" w:cs="Arial" w:hint="eastAsia"/>
          <w:kern w:val="0"/>
          <w:sz w:val="24"/>
        </w:rPr>
        <w:t>）</w:t>
      </w:r>
      <w:r>
        <w:rPr>
          <w:rFonts w:ascii="宋体" w:hAnsi="宋体" w:hint="eastAsia"/>
          <w:sz w:val="24"/>
        </w:rPr>
        <w:t>适用于固定费用的，按照固定费率执行。</w:t>
      </w:r>
    </w:p>
    <w:p w:rsidR="00000000" w:rsidRDefault="007D552A">
      <w:pPr>
        <w:spacing w:line="360" w:lineRule="auto"/>
        <w:ind w:firstLine="420"/>
        <w:rPr>
          <w:rFonts w:ascii="宋体" w:hAnsi="宋体" w:hint="eastAsia"/>
          <w:color w:val="000000"/>
          <w:sz w:val="24"/>
        </w:rPr>
      </w:pPr>
      <w:r>
        <w:rPr>
          <w:rFonts w:ascii="宋体" w:hAnsi="宋体" w:cs="Arial" w:hint="eastAsia"/>
          <w:color w:val="000000"/>
          <w:kern w:val="0"/>
          <w:sz w:val="24"/>
        </w:rPr>
        <w:t>3</w:t>
      </w:r>
      <w:r>
        <w:rPr>
          <w:rFonts w:ascii="宋体" w:hAnsi="宋体" w:cs="Arial" w:hint="eastAsia"/>
          <w:color w:val="000000"/>
          <w:kern w:val="0"/>
          <w:sz w:val="24"/>
        </w:rPr>
        <w:t>、</w:t>
      </w:r>
      <w:r>
        <w:rPr>
          <w:rFonts w:ascii="宋体" w:hAnsi="宋体" w:cs="Arial" w:hint="eastAsia"/>
          <w:color w:val="000000"/>
          <w:kern w:val="0"/>
          <w:sz w:val="24"/>
        </w:rPr>
        <w:t>基金费率</w:t>
      </w:r>
      <w:r>
        <w:rPr>
          <w:rFonts w:ascii="宋体" w:hAnsi="宋体" w:hint="eastAsia"/>
          <w:color w:val="000000"/>
          <w:sz w:val="24"/>
        </w:rPr>
        <w:t>请详见基金相关法律文件及最新业务公告</w:t>
      </w:r>
      <w:r>
        <w:rPr>
          <w:rFonts w:ascii="宋体" w:hAnsi="宋体" w:hint="eastAsia"/>
          <w:color w:val="000000"/>
          <w:sz w:val="24"/>
        </w:rPr>
        <w:t>。</w:t>
      </w:r>
    </w:p>
    <w:p w:rsidR="00000000" w:rsidRDefault="007D552A">
      <w:pPr>
        <w:spacing w:line="360" w:lineRule="auto"/>
        <w:ind w:firstLine="420"/>
        <w:rPr>
          <w:rFonts w:ascii="宋体" w:hAnsi="宋体" w:cs="Arial"/>
          <w:color w:val="000000"/>
          <w:kern w:val="0"/>
          <w:sz w:val="24"/>
        </w:rPr>
      </w:pPr>
      <w:r>
        <w:rPr>
          <w:rFonts w:ascii="宋体" w:hAnsi="宋体" w:hint="eastAsia"/>
          <w:color w:val="000000"/>
          <w:sz w:val="24"/>
        </w:rPr>
        <w:t>4</w:t>
      </w:r>
      <w:r>
        <w:rPr>
          <w:rFonts w:ascii="宋体" w:hAnsi="宋体" w:hint="eastAsia"/>
          <w:color w:val="000000"/>
          <w:sz w:val="24"/>
        </w:rPr>
        <w:t>、</w:t>
      </w:r>
      <w:r>
        <w:rPr>
          <w:rFonts w:ascii="宋体" w:hAnsi="宋体" w:cs="Arial" w:hint="eastAsia"/>
          <w:color w:val="000000"/>
          <w:kern w:val="0"/>
          <w:sz w:val="24"/>
        </w:rPr>
        <w:t>本次费率优惠自</w:t>
      </w:r>
      <w:r>
        <w:rPr>
          <w:rFonts w:ascii="宋体" w:hAnsi="宋体" w:cs="Arial" w:hint="eastAsia"/>
          <w:color w:val="000000"/>
          <w:kern w:val="0"/>
          <w:sz w:val="24"/>
        </w:rPr>
        <w:t>20</w:t>
      </w:r>
      <w:r>
        <w:rPr>
          <w:rFonts w:ascii="宋体" w:hAnsi="宋体" w:cs="Arial"/>
          <w:color w:val="000000"/>
          <w:kern w:val="0"/>
          <w:sz w:val="24"/>
        </w:rPr>
        <w:t>20</w:t>
      </w:r>
      <w:r>
        <w:rPr>
          <w:rFonts w:ascii="宋体" w:hAnsi="宋体" w:cs="Arial"/>
          <w:color w:val="000000"/>
          <w:kern w:val="0"/>
          <w:sz w:val="24"/>
        </w:rPr>
        <w:t>年</w:t>
      </w:r>
      <w:r>
        <w:rPr>
          <w:rFonts w:ascii="宋体" w:hAnsi="宋体" w:cs="Arial" w:hint="eastAsia"/>
          <w:color w:val="000000"/>
          <w:kern w:val="0"/>
          <w:sz w:val="24"/>
        </w:rPr>
        <w:t>8</w:t>
      </w:r>
      <w:r>
        <w:rPr>
          <w:rFonts w:ascii="宋体" w:hAnsi="宋体" w:cs="Arial"/>
          <w:color w:val="000000"/>
          <w:kern w:val="0"/>
          <w:sz w:val="24"/>
        </w:rPr>
        <w:t>月</w:t>
      </w:r>
      <w:r>
        <w:rPr>
          <w:rFonts w:ascii="宋体" w:hAnsi="宋体" w:cs="Arial" w:hint="eastAsia"/>
          <w:color w:val="000000"/>
          <w:kern w:val="0"/>
          <w:sz w:val="24"/>
        </w:rPr>
        <w:t>20</w:t>
      </w:r>
      <w:r>
        <w:rPr>
          <w:rFonts w:ascii="宋体" w:hAnsi="宋体" w:cs="Arial" w:hint="eastAsia"/>
          <w:color w:val="000000"/>
          <w:kern w:val="0"/>
          <w:sz w:val="24"/>
        </w:rPr>
        <w:t>日</w:t>
      </w:r>
      <w:r>
        <w:rPr>
          <w:rFonts w:ascii="宋体" w:hAnsi="宋体" w:cs="Arial"/>
          <w:color w:val="000000"/>
          <w:kern w:val="0"/>
          <w:sz w:val="24"/>
        </w:rPr>
        <w:t>起</w:t>
      </w:r>
      <w:r>
        <w:rPr>
          <w:rFonts w:ascii="宋体" w:hAnsi="宋体" w:cs="Arial" w:hint="eastAsia"/>
          <w:color w:val="000000"/>
          <w:kern w:val="0"/>
          <w:sz w:val="24"/>
        </w:rPr>
        <w:t>生效，截止时间将另行公告。</w:t>
      </w:r>
    </w:p>
    <w:p w:rsidR="00000000" w:rsidRDefault="007D552A">
      <w:pPr>
        <w:spacing w:line="360" w:lineRule="auto"/>
        <w:ind w:firstLine="420"/>
        <w:rPr>
          <w:rFonts w:ascii="宋体" w:hAnsi="宋体"/>
          <w:color w:val="000000"/>
          <w:sz w:val="24"/>
        </w:rPr>
      </w:pPr>
    </w:p>
    <w:p w:rsidR="00000000" w:rsidRDefault="007D552A">
      <w:pPr>
        <w:spacing w:line="360" w:lineRule="auto"/>
        <w:ind w:firstLine="420"/>
        <w:rPr>
          <w:rFonts w:ascii="宋体" w:hAnsi="宋体" w:hint="eastAsia"/>
          <w:color w:val="000000"/>
          <w:sz w:val="24"/>
        </w:rPr>
      </w:pP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五</w:t>
      </w:r>
      <w:r>
        <w:rPr>
          <w:rFonts w:ascii="宋体" w:hAnsi="宋体" w:cs="Arial" w:hint="eastAsia"/>
          <w:color w:val="000000"/>
          <w:kern w:val="0"/>
          <w:sz w:val="24"/>
        </w:rPr>
        <w:t>、投资者可通过以下途径咨询有关详情</w:t>
      </w:r>
      <w:r>
        <w:rPr>
          <w:rFonts w:ascii="宋体" w:hAnsi="宋体" w:cs="Arial"/>
          <w:color w:val="000000"/>
          <w:kern w:val="0"/>
          <w:sz w:val="24"/>
        </w:rPr>
        <w:t>：</w:t>
      </w:r>
      <w:r>
        <w:rPr>
          <w:rFonts w:ascii="宋体" w:hAnsi="宋体" w:cs="Arial"/>
          <w:color w:val="000000"/>
          <w:kern w:val="0"/>
          <w:sz w:val="24"/>
        </w:rPr>
        <w:t xml:space="preserve"> </w:t>
      </w:r>
    </w:p>
    <w:p w:rsidR="00000000" w:rsidRDefault="007D552A">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中国银行股份有限公司</w:t>
      </w:r>
    </w:p>
    <w:p w:rsidR="00000000" w:rsidRDefault="007D552A">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hint="eastAsia"/>
          <w:sz w:val="24"/>
        </w:rPr>
        <w:t>95566</w:t>
      </w:r>
    </w:p>
    <w:p w:rsidR="00000000" w:rsidRDefault="007D552A">
      <w:pPr>
        <w:spacing w:line="360" w:lineRule="auto"/>
        <w:ind w:firstLineChars="200" w:firstLine="480"/>
        <w:rPr>
          <w:rFonts w:ascii="宋体" w:hAnsi="宋体"/>
          <w:color w:val="000000"/>
          <w:sz w:val="24"/>
        </w:rPr>
      </w:pPr>
      <w:r>
        <w:rPr>
          <w:rFonts w:ascii="宋体" w:hAnsi="宋体" w:hint="eastAsia"/>
          <w:color w:val="000000"/>
          <w:sz w:val="24"/>
        </w:rPr>
        <w:t>公司</w:t>
      </w:r>
      <w:r>
        <w:rPr>
          <w:rFonts w:ascii="宋体" w:hAnsi="宋体" w:hint="eastAsia"/>
          <w:color w:val="000000"/>
          <w:sz w:val="24"/>
        </w:rPr>
        <w:t>网址：</w:t>
      </w:r>
      <w:r>
        <w:rPr>
          <w:rFonts w:ascii="宋体" w:hAnsi="宋体"/>
          <w:sz w:val="24"/>
        </w:rPr>
        <w:t>www.boc.cn</w:t>
      </w: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2</w:t>
      </w:r>
      <w:r>
        <w:rPr>
          <w:rFonts w:ascii="宋体" w:hAnsi="宋体" w:cs="Arial" w:hint="eastAsia"/>
          <w:color w:val="000000"/>
          <w:kern w:val="0"/>
          <w:sz w:val="24"/>
        </w:rPr>
        <w:t>、本公司</w:t>
      </w: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客</w:t>
      </w:r>
      <w:r>
        <w:rPr>
          <w:rFonts w:ascii="宋体" w:hAnsi="宋体" w:cs="Arial" w:hint="eastAsia"/>
          <w:color w:val="000000"/>
          <w:kern w:val="0"/>
          <w:sz w:val="24"/>
        </w:rPr>
        <w:t>户服务电话：</w:t>
      </w:r>
      <w:r>
        <w:rPr>
          <w:rFonts w:ascii="宋体" w:hAnsi="宋体" w:cs="Arial" w:hint="eastAsia"/>
          <w:color w:val="000000"/>
          <w:kern w:val="0"/>
          <w:sz w:val="24"/>
        </w:rPr>
        <w:t>400-888-9788</w:t>
      </w:r>
      <w:r>
        <w:rPr>
          <w:rFonts w:ascii="宋体" w:hAnsi="宋体" w:cs="Arial" w:hint="eastAsia"/>
          <w:color w:val="000000"/>
          <w:kern w:val="0"/>
          <w:sz w:val="24"/>
        </w:rPr>
        <w:t>（免长途话费）</w:t>
      </w: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公司网址：</w:t>
      </w:r>
      <w:hyperlink r:id="rId7" w:history="1">
        <w:r>
          <w:rPr>
            <w:rFonts w:ascii="宋体" w:hAnsi="宋体" w:cs="Arial" w:hint="eastAsia"/>
            <w:color w:val="000000"/>
            <w:kern w:val="0"/>
            <w:sz w:val="24"/>
          </w:rPr>
          <w:t>www.zhfund.com</w:t>
        </w:r>
      </w:hyperlink>
    </w:p>
    <w:p w:rsidR="00000000" w:rsidRDefault="007D552A">
      <w:pPr>
        <w:spacing w:line="360" w:lineRule="auto"/>
        <w:ind w:firstLineChars="200" w:firstLine="480"/>
        <w:rPr>
          <w:rFonts w:ascii="宋体" w:hAnsi="宋体" w:cs="Arial" w:hint="eastAsia"/>
          <w:color w:val="000000"/>
          <w:kern w:val="0"/>
          <w:sz w:val="24"/>
        </w:rPr>
      </w:pPr>
    </w:p>
    <w:p w:rsidR="00000000" w:rsidRDefault="007D552A">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六、重要提示</w:t>
      </w:r>
    </w:p>
    <w:p w:rsidR="00000000" w:rsidRDefault="007D552A">
      <w:pPr>
        <w:snapToGrid w:val="0"/>
        <w:spacing w:line="360" w:lineRule="auto"/>
        <w:ind w:right="26" w:firstLineChars="200" w:firstLine="480"/>
        <w:rPr>
          <w:rFonts w:ascii="宋体" w:hAnsi="宋体" w:cs="Arial"/>
          <w:kern w:val="0"/>
          <w:sz w:val="24"/>
        </w:rPr>
      </w:pPr>
      <w:r>
        <w:rPr>
          <w:rFonts w:ascii="宋体" w:hAnsi="宋体" w:cs="Arial" w:hint="eastAsia"/>
          <w:kern w:val="0"/>
          <w:sz w:val="24"/>
        </w:rPr>
        <w:t>1</w:t>
      </w:r>
      <w:r>
        <w:rPr>
          <w:rFonts w:ascii="宋体" w:hAnsi="宋体" w:cs="Arial" w:hint="eastAsia"/>
          <w:kern w:val="0"/>
          <w:sz w:val="24"/>
        </w:rPr>
        <w:t>、</w:t>
      </w:r>
      <w:r>
        <w:rPr>
          <w:rFonts w:ascii="宋体" w:hAnsi="宋体" w:cs="Arial" w:hint="eastAsia"/>
          <w:kern w:val="0"/>
          <w:sz w:val="24"/>
        </w:rPr>
        <w:t>本次费率优惠调整仅针对处于正常申购期的指定开放式基金</w:t>
      </w:r>
      <w:r>
        <w:rPr>
          <w:rFonts w:ascii="宋体" w:hAnsi="宋体" w:cs="Arial" w:hint="eastAsia"/>
          <w:kern w:val="0"/>
          <w:sz w:val="24"/>
        </w:rPr>
        <w:t>(</w:t>
      </w:r>
      <w:r>
        <w:rPr>
          <w:rFonts w:ascii="宋体" w:hAnsi="宋体" w:cs="Arial" w:hint="eastAsia"/>
          <w:kern w:val="0"/>
          <w:sz w:val="24"/>
        </w:rPr>
        <w:t>前端模式</w:t>
      </w:r>
      <w:r>
        <w:rPr>
          <w:rFonts w:ascii="宋体" w:hAnsi="宋体" w:cs="Arial" w:hint="eastAsia"/>
          <w:kern w:val="0"/>
          <w:sz w:val="24"/>
        </w:rPr>
        <w:t>)</w:t>
      </w:r>
      <w:r>
        <w:rPr>
          <w:rFonts w:ascii="宋体" w:hAnsi="宋体" w:cs="Arial" w:hint="eastAsia"/>
          <w:kern w:val="0"/>
          <w:sz w:val="24"/>
        </w:rPr>
        <w:t>的申购手续费费率</w:t>
      </w:r>
      <w:r>
        <w:rPr>
          <w:rFonts w:ascii="宋体" w:hAnsi="宋体" w:cs="Arial" w:hint="eastAsia"/>
          <w:kern w:val="0"/>
          <w:sz w:val="24"/>
        </w:rPr>
        <w:t>（含</w:t>
      </w:r>
      <w:r>
        <w:rPr>
          <w:rFonts w:ascii="宋体" w:hAnsi="宋体" w:cs="Arial" w:hint="eastAsia"/>
          <w:kern w:val="0"/>
          <w:sz w:val="24"/>
        </w:rPr>
        <w:t>定期定额投资业务</w:t>
      </w:r>
      <w:r>
        <w:rPr>
          <w:rFonts w:ascii="宋体" w:hAnsi="宋体" w:cs="Arial" w:hint="eastAsia"/>
          <w:kern w:val="0"/>
          <w:sz w:val="24"/>
        </w:rPr>
        <w:t>）</w:t>
      </w:r>
      <w:r>
        <w:rPr>
          <w:rFonts w:ascii="宋体" w:hAnsi="宋体" w:cs="Arial" w:hint="eastAsia"/>
          <w:kern w:val="0"/>
          <w:sz w:val="24"/>
        </w:rPr>
        <w:t>，不包括基金的后端收费模式的手续费费率以及处于基金募集期的开放式基金认购费率，也不适用于基金转换业务等其他业务的基金手续费费率。</w:t>
      </w:r>
    </w:p>
    <w:p w:rsidR="00000000" w:rsidRDefault="007D552A">
      <w:pPr>
        <w:snapToGrid w:val="0"/>
        <w:spacing w:line="360" w:lineRule="auto"/>
        <w:ind w:right="26" w:firstLineChars="200" w:firstLine="480"/>
        <w:rPr>
          <w:rFonts w:ascii="宋体" w:hAnsi="宋体" w:cs="Arial"/>
          <w:kern w:val="0"/>
          <w:sz w:val="24"/>
        </w:rPr>
      </w:pPr>
      <w:r>
        <w:rPr>
          <w:rFonts w:ascii="宋体" w:hAnsi="宋体" w:cs="Arial" w:hint="eastAsia"/>
          <w:kern w:val="0"/>
          <w:sz w:val="24"/>
        </w:rPr>
        <w:t>2</w:t>
      </w:r>
      <w:r>
        <w:rPr>
          <w:rFonts w:ascii="宋体" w:hAnsi="宋体" w:cs="Arial" w:hint="eastAsia"/>
          <w:kern w:val="0"/>
          <w:sz w:val="24"/>
        </w:rPr>
        <w:t>、</w:t>
      </w:r>
      <w:r>
        <w:rPr>
          <w:rFonts w:ascii="宋体" w:hAnsi="宋体" w:cs="Arial" w:hint="eastAsia"/>
          <w:kern w:val="0"/>
          <w:sz w:val="24"/>
        </w:rPr>
        <w:t>以上费率优惠政策如有变更，请以中国银行官方网站所示公告为准。</w:t>
      </w:r>
    </w:p>
    <w:p w:rsidR="00000000" w:rsidRDefault="007D552A">
      <w:pPr>
        <w:snapToGrid w:val="0"/>
        <w:spacing w:line="360" w:lineRule="auto"/>
        <w:ind w:right="26" w:firstLineChars="200" w:firstLine="480"/>
        <w:rPr>
          <w:rFonts w:ascii="宋体" w:hAnsi="宋体" w:cs="Arial"/>
          <w:kern w:val="0"/>
          <w:sz w:val="24"/>
        </w:rPr>
      </w:pPr>
      <w:r>
        <w:rPr>
          <w:rFonts w:ascii="宋体" w:hAnsi="宋体" w:cs="Arial" w:hint="eastAsia"/>
          <w:kern w:val="0"/>
          <w:sz w:val="24"/>
        </w:rPr>
        <w:t>3</w:t>
      </w:r>
      <w:r>
        <w:rPr>
          <w:rFonts w:ascii="宋体" w:hAnsi="宋体" w:cs="Arial" w:hint="eastAsia"/>
          <w:kern w:val="0"/>
          <w:sz w:val="24"/>
        </w:rPr>
        <w:t>、</w:t>
      </w:r>
      <w:r>
        <w:rPr>
          <w:rFonts w:ascii="宋体" w:hAnsi="宋体" w:cs="Arial"/>
          <w:kern w:val="0"/>
          <w:sz w:val="24"/>
        </w:rPr>
        <w:t>投资者欲了解各基金产品的详细情况，请仔细阅读</w:t>
      </w:r>
      <w:r>
        <w:rPr>
          <w:rFonts w:ascii="宋体" w:hAnsi="宋体" w:cs="Arial" w:hint="eastAsia"/>
          <w:kern w:val="0"/>
          <w:sz w:val="24"/>
        </w:rPr>
        <w:t>本</w:t>
      </w:r>
      <w:r>
        <w:rPr>
          <w:rFonts w:ascii="宋体" w:hAnsi="宋体" w:cs="Arial"/>
          <w:kern w:val="0"/>
          <w:sz w:val="24"/>
        </w:rPr>
        <w:t>基金的基金合同、招募说明书等法律文件。</w:t>
      </w:r>
      <w:r>
        <w:rPr>
          <w:rFonts w:ascii="宋体" w:hAnsi="宋体" w:cs="Arial" w:hint="eastAsia"/>
          <w:kern w:val="0"/>
          <w:sz w:val="24"/>
        </w:rPr>
        <w:t>各基金原费率参见各基金相关法律文件及最新业务公告。</w:t>
      </w:r>
    </w:p>
    <w:p w:rsidR="00000000" w:rsidRDefault="007D552A">
      <w:pPr>
        <w:spacing w:line="360" w:lineRule="auto"/>
        <w:ind w:firstLineChars="200" w:firstLine="480"/>
        <w:rPr>
          <w:rFonts w:ascii="宋体" w:hAnsi="宋体" w:hint="eastAsia"/>
          <w:sz w:val="24"/>
        </w:rPr>
      </w:pPr>
    </w:p>
    <w:p w:rsidR="00000000" w:rsidRDefault="007D552A">
      <w:pPr>
        <w:spacing w:line="360" w:lineRule="auto"/>
        <w:ind w:firstLineChars="200" w:firstLine="480"/>
        <w:rPr>
          <w:rFonts w:ascii="宋体" w:hAnsi="宋体" w:hint="eastAsia"/>
          <w:sz w:val="24"/>
        </w:rPr>
      </w:pPr>
      <w:r>
        <w:rPr>
          <w:rFonts w:hint="eastAsia"/>
          <w:sz w:val="24"/>
        </w:rPr>
        <w:t>风险提示：本公司</w:t>
      </w:r>
      <w:r>
        <w:rPr>
          <w:rFonts w:hint="eastAsia"/>
          <w:sz w:val="24"/>
        </w:rPr>
        <w:t>承诺以诚实信用、勤勉尽责的原则管理和运用基金资产，但不保证基金一定盈利，也不保证最低收益。投资者投资本公司管理的基金时，应认真阅读基金合同、招募说明书等法律文件，并注意投资风险。</w:t>
      </w:r>
    </w:p>
    <w:p w:rsidR="00000000" w:rsidRDefault="007D552A">
      <w:pPr>
        <w:spacing w:line="360" w:lineRule="auto"/>
        <w:ind w:firstLineChars="200" w:firstLine="480"/>
        <w:rPr>
          <w:rFonts w:ascii="宋体" w:hAnsi="宋体" w:hint="eastAsia"/>
          <w:sz w:val="24"/>
        </w:rPr>
      </w:pPr>
      <w:r>
        <w:rPr>
          <w:rFonts w:ascii="宋体" w:hAnsi="宋体"/>
          <w:sz w:val="24"/>
        </w:rPr>
        <w:t>特此公告。</w:t>
      </w:r>
    </w:p>
    <w:p w:rsidR="00000000" w:rsidRDefault="007D552A">
      <w:pPr>
        <w:spacing w:line="360" w:lineRule="auto"/>
        <w:ind w:right="480"/>
        <w:rPr>
          <w:rFonts w:ascii="宋体" w:hAnsi="宋体" w:hint="eastAsia"/>
          <w:sz w:val="24"/>
        </w:rPr>
      </w:pPr>
    </w:p>
    <w:p w:rsidR="00000000" w:rsidRDefault="007D552A">
      <w:pPr>
        <w:spacing w:line="360" w:lineRule="auto"/>
        <w:jc w:val="right"/>
        <w:rPr>
          <w:rFonts w:ascii="宋体" w:hAnsi="宋体" w:hint="eastAsia"/>
          <w:sz w:val="24"/>
        </w:rPr>
      </w:pPr>
    </w:p>
    <w:p w:rsidR="00000000" w:rsidRDefault="007D552A">
      <w:pPr>
        <w:spacing w:line="360" w:lineRule="auto"/>
        <w:jc w:val="right"/>
        <w:rPr>
          <w:rFonts w:ascii="宋体" w:hAnsi="宋体"/>
          <w:sz w:val="24"/>
        </w:rPr>
      </w:pPr>
      <w:r>
        <w:rPr>
          <w:rFonts w:ascii="宋体" w:hAnsi="宋体" w:hint="eastAsia"/>
          <w:sz w:val="24"/>
        </w:rPr>
        <w:t>中海</w:t>
      </w:r>
      <w:r>
        <w:rPr>
          <w:rFonts w:ascii="宋体" w:hAnsi="宋体"/>
          <w:sz w:val="24"/>
        </w:rPr>
        <w:t>基金管理有限公司</w:t>
      </w:r>
    </w:p>
    <w:p w:rsidR="00000000" w:rsidRDefault="007D552A">
      <w:pPr>
        <w:spacing w:line="360" w:lineRule="auto"/>
        <w:ind w:firstLineChars="2600" w:firstLine="6240"/>
        <w:jc w:val="right"/>
        <w:rPr>
          <w:rFonts w:ascii="宋体" w:hAnsi="宋体"/>
          <w:sz w:val="24"/>
        </w:rPr>
      </w:pPr>
      <w:r>
        <w:rPr>
          <w:rFonts w:ascii="宋体" w:hAnsi="宋体"/>
          <w:sz w:val="24"/>
        </w:rPr>
        <w:t>2020</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19</w:t>
      </w:r>
      <w:r>
        <w:rPr>
          <w:rFonts w:ascii="宋体" w:hAnsi="宋体"/>
          <w:sz w:val="24"/>
        </w:rPr>
        <w:t>日</w:t>
      </w:r>
    </w:p>
    <w:sectPr w:rsidR="00000000">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D552A">
      <w:r>
        <w:separator/>
      </w:r>
    </w:p>
  </w:endnote>
  <w:endnote w:type="continuationSeparator" w:id="0">
    <w:p w:rsidR="00000000" w:rsidRDefault="007D5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552A">
    <w:pPr>
      <w:pStyle w:val="a9"/>
      <w:framePr w:wrap="around" w:vAnchor="text" w:hAnchor="margin" w:xAlign="center" w:y="1"/>
      <w:rPr>
        <w:rStyle w:val="a7"/>
      </w:rPr>
    </w:pPr>
    <w:r>
      <w:fldChar w:fldCharType="begin"/>
    </w:r>
    <w:r>
      <w:rPr>
        <w:rStyle w:val="a7"/>
      </w:rPr>
      <w:instrText xml:space="preserve">PAGE  </w:instrText>
    </w:r>
    <w:r>
      <w:fldChar w:fldCharType="separate"/>
    </w:r>
    <w:r>
      <w:fldChar w:fldCharType="end"/>
    </w:r>
  </w:p>
  <w:p w:rsidR="00000000" w:rsidRDefault="007D552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552A">
    <w:pPr>
      <w:pStyle w:val="a9"/>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1</w:t>
    </w:r>
    <w:r>
      <w:fldChar w:fldCharType="end"/>
    </w:r>
  </w:p>
  <w:p w:rsidR="00000000" w:rsidRDefault="007D55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D552A">
      <w:r>
        <w:separator/>
      </w:r>
    </w:p>
  </w:footnote>
  <w:footnote w:type="continuationSeparator" w:id="0">
    <w:p w:rsidR="00000000" w:rsidRDefault="007D5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ED66F"/>
    <w:multiLevelType w:val="singleLevel"/>
    <w:tmpl w:val="99EED66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04B3"/>
    <w:rsid w:val="00031F63"/>
    <w:rsid w:val="00042DDD"/>
    <w:rsid w:val="00045FE0"/>
    <w:rsid w:val="00051ADA"/>
    <w:rsid w:val="0005344D"/>
    <w:rsid w:val="00061D45"/>
    <w:rsid w:val="00065EC0"/>
    <w:rsid w:val="00066031"/>
    <w:rsid w:val="00067734"/>
    <w:rsid w:val="00077755"/>
    <w:rsid w:val="00077E74"/>
    <w:rsid w:val="00087A7A"/>
    <w:rsid w:val="000A5C7D"/>
    <w:rsid w:val="000B2F02"/>
    <w:rsid w:val="000B6358"/>
    <w:rsid w:val="000C48BB"/>
    <w:rsid w:val="000E37DC"/>
    <w:rsid w:val="000F5523"/>
    <w:rsid w:val="00111DFD"/>
    <w:rsid w:val="00117704"/>
    <w:rsid w:val="001179E1"/>
    <w:rsid w:val="00134446"/>
    <w:rsid w:val="0016558D"/>
    <w:rsid w:val="0017333D"/>
    <w:rsid w:val="00180BCE"/>
    <w:rsid w:val="00181BEF"/>
    <w:rsid w:val="001855DF"/>
    <w:rsid w:val="00187D1D"/>
    <w:rsid w:val="00187D7D"/>
    <w:rsid w:val="0019648C"/>
    <w:rsid w:val="001A543F"/>
    <w:rsid w:val="001B70F6"/>
    <w:rsid w:val="001C2F50"/>
    <w:rsid w:val="001C6042"/>
    <w:rsid w:val="001D6AEB"/>
    <w:rsid w:val="001E2E2F"/>
    <w:rsid w:val="001E6690"/>
    <w:rsid w:val="001E77D3"/>
    <w:rsid w:val="00202BB9"/>
    <w:rsid w:val="00204BCA"/>
    <w:rsid w:val="00205819"/>
    <w:rsid w:val="002163E6"/>
    <w:rsid w:val="00222C0E"/>
    <w:rsid w:val="002341A5"/>
    <w:rsid w:val="00236339"/>
    <w:rsid w:val="00243FF3"/>
    <w:rsid w:val="00253A0A"/>
    <w:rsid w:val="0026488C"/>
    <w:rsid w:val="002721F7"/>
    <w:rsid w:val="002768FC"/>
    <w:rsid w:val="002A0EC3"/>
    <w:rsid w:val="002B01B2"/>
    <w:rsid w:val="002B4826"/>
    <w:rsid w:val="002C3F87"/>
    <w:rsid w:val="002E46ED"/>
    <w:rsid w:val="002E63AA"/>
    <w:rsid w:val="002F2C0B"/>
    <w:rsid w:val="002F404C"/>
    <w:rsid w:val="00307681"/>
    <w:rsid w:val="00320C0D"/>
    <w:rsid w:val="003217A7"/>
    <w:rsid w:val="003550D5"/>
    <w:rsid w:val="00363AFB"/>
    <w:rsid w:val="0038620C"/>
    <w:rsid w:val="003917E3"/>
    <w:rsid w:val="003B7A96"/>
    <w:rsid w:val="003C2E3D"/>
    <w:rsid w:val="003C32DF"/>
    <w:rsid w:val="003D11ED"/>
    <w:rsid w:val="003E3DE4"/>
    <w:rsid w:val="003F1CDE"/>
    <w:rsid w:val="004016C9"/>
    <w:rsid w:val="004511D4"/>
    <w:rsid w:val="00467A3C"/>
    <w:rsid w:val="00474787"/>
    <w:rsid w:val="00486011"/>
    <w:rsid w:val="00495999"/>
    <w:rsid w:val="004B41A7"/>
    <w:rsid w:val="004B4824"/>
    <w:rsid w:val="004B5BE2"/>
    <w:rsid w:val="004B5DA9"/>
    <w:rsid w:val="004C034B"/>
    <w:rsid w:val="004C3369"/>
    <w:rsid w:val="004C731A"/>
    <w:rsid w:val="004D05F2"/>
    <w:rsid w:val="004F6F95"/>
    <w:rsid w:val="004F712C"/>
    <w:rsid w:val="00501559"/>
    <w:rsid w:val="00513D2E"/>
    <w:rsid w:val="005245A2"/>
    <w:rsid w:val="00534F43"/>
    <w:rsid w:val="00543F04"/>
    <w:rsid w:val="00545643"/>
    <w:rsid w:val="00547245"/>
    <w:rsid w:val="005552FA"/>
    <w:rsid w:val="005650BA"/>
    <w:rsid w:val="005850D0"/>
    <w:rsid w:val="00594AEA"/>
    <w:rsid w:val="005A1C0A"/>
    <w:rsid w:val="005A1F49"/>
    <w:rsid w:val="005A7E43"/>
    <w:rsid w:val="005C1DC3"/>
    <w:rsid w:val="005C53A0"/>
    <w:rsid w:val="005D25C0"/>
    <w:rsid w:val="005E36D1"/>
    <w:rsid w:val="005E3C70"/>
    <w:rsid w:val="005E6551"/>
    <w:rsid w:val="005F0D34"/>
    <w:rsid w:val="005F1D57"/>
    <w:rsid w:val="00601B2C"/>
    <w:rsid w:val="00604654"/>
    <w:rsid w:val="00606359"/>
    <w:rsid w:val="006072B8"/>
    <w:rsid w:val="00612AC5"/>
    <w:rsid w:val="00630D07"/>
    <w:rsid w:val="006315E3"/>
    <w:rsid w:val="00635F55"/>
    <w:rsid w:val="00643F26"/>
    <w:rsid w:val="006475AD"/>
    <w:rsid w:val="00651B58"/>
    <w:rsid w:val="00656757"/>
    <w:rsid w:val="006604D0"/>
    <w:rsid w:val="00674323"/>
    <w:rsid w:val="006840B3"/>
    <w:rsid w:val="006869F8"/>
    <w:rsid w:val="00690CD4"/>
    <w:rsid w:val="00693269"/>
    <w:rsid w:val="006A0FF2"/>
    <w:rsid w:val="006A4AF5"/>
    <w:rsid w:val="006A7470"/>
    <w:rsid w:val="006B328D"/>
    <w:rsid w:val="006B763C"/>
    <w:rsid w:val="006C32F7"/>
    <w:rsid w:val="006C4E99"/>
    <w:rsid w:val="006C5396"/>
    <w:rsid w:val="006E2A45"/>
    <w:rsid w:val="00703610"/>
    <w:rsid w:val="00714B06"/>
    <w:rsid w:val="00715FA6"/>
    <w:rsid w:val="0072353C"/>
    <w:rsid w:val="0073050C"/>
    <w:rsid w:val="0073100B"/>
    <w:rsid w:val="007431EC"/>
    <w:rsid w:val="007556C5"/>
    <w:rsid w:val="007645B7"/>
    <w:rsid w:val="00773FC8"/>
    <w:rsid w:val="00781FFD"/>
    <w:rsid w:val="00794A31"/>
    <w:rsid w:val="0079727D"/>
    <w:rsid w:val="007A43A4"/>
    <w:rsid w:val="007A550F"/>
    <w:rsid w:val="007D22CE"/>
    <w:rsid w:val="007D552A"/>
    <w:rsid w:val="007D6753"/>
    <w:rsid w:val="007E4183"/>
    <w:rsid w:val="007F2C7E"/>
    <w:rsid w:val="007F3CD5"/>
    <w:rsid w:val="00805D3F"/>
    <w:rsid w:val="008204FC"/>
    <w:rsid w:val="008265B7"/>
    <w:rsid w:val="00840792"/>
    <w:rsid w:val="008467D9"/>
    <w:rsid w:val="0085436F"/>
    <w:rsid w:val="00854551"/>
    <w:rsid w:val="008B2ED5"/>
    <w:rsid w:val="008B6682"/>
    <w:rsid w:val="008C78A0"/>
    <w:rsid w:val="008D12C3"/>
    <w:rsid w:val="008D5CFE"/>
    <w:rsid w:val="00903752"/>
    <w:rsid w:val="00911E01"/>
    <w:rsid w:val="00911F96"/>
    <w:rsid w:val="009132BD"/>
    <w:rsid w:val="00926DC0"/>
    <w:rsid w:val="00930BD7"/>
    <w:rsid w:val="00933B35"/>
    <w:rsid w:val="0093567A"/>
    <w:rsid w:val="0094324F"/>
    <w:rsid w:val="009447A3"/>
    <w:rsid w:val="00960098"/>
    <w:rsid w:val="00974C32"/>
    <w:rsid w:val="00977AC4"/>
    <w:rsid w:val="00992339"/>
    <w:rsid w:val="009940FB"/>
    <w:rsid w:val="009A3698"/>
    <w:rsid w:val="009A6BA9"/>
    <w:rsid w:val="009B15D7"/>
    <w:rsid w:val="009B3497"/>
    <w:rsid w:val="009B4BBB"/>
    <w:rsid w:val="009C0311"/>
    <w:rsid w:val="009C0F55"/>
    <w:rsid w:val="009D3A56"/>
    <w:rsid w:val="009D765E"/>
    <w:rsid w:val="00A01A14"/>
    <w:rsid w:val="00A047CA"/>
    <w:rsid w:val="00A06E4A"/>
    <w:rsid w:val="00A072DF"/>
    <w:rsid w:val="00A15C1C"/>
    <w:rsid w:val="00A163F5"/>
    <w:rsid w:val="00A16412"/>
    <w:rsid w:val="00A36937"/>
    <w:rsid w:val="00A40A0E"/>
    <w:rsid w:val="00A434A3"/>
    <w:rsid w:val="00A4739D"/>
    <w:rsid w:val="00A51346"/>
    <w:rsid w:val="00A63A94"/>
    <w:rsid w:val="00A75243"/>
    <w:rsid w:val="00A9097C"/>
    <w:rsid w:val="00A93DA2"/>
    <w:rsid w:val="00A94812"/>
    <w:rsid w:val="00AA66B5"/>
    <w:rsid w:val="00AB4C53"/>
    <w:rsid w:val="00AB51BF"/>
    <w:rsid w:val="00AB6723"/>
    <w:rsid w:val="00AB6EB1"/>
    <w:rsid w:val="00AE4C64"/>
    <w:rsid w:val="00AE5356"/>
    <w:rsid w:val="00AF2F76"/>
    <w:rsid w:val="00B046C2"/>
    <w:rsid w:val="00B060B5"/>
    <w:rsid w:val="00B06674"/>
    <w:rsid w:val="00B2154A"/>
    <w:rsid w:val="00B217B2"/>
    <w:rsid w:val="00B21A8B"/>
    <w:rsid w:val="00B237FC"/>
    <w:rsid w:val="00B3661E"/>
    <w:rsid w:val="00B37DD1"/>
    <w:rsid w:val="00B4396E"/>
    <w:rsid w:val="00B43CEC"/>
    <w:rsid w:val="00B51C48"/>
    <w:rsid w:val="00B64814"/>
    <w:rsid w:val="00B87405"/>
    <w:rsid w:val="00B9188D"/>
    <w:rsid w:val="00B935B9"/>
    <w:rsid w:val="00B9374E"/>
    <w:rsid w:val="00B93964"/>
    <w:rsid w:val="00BA13A1"/>
    <w:rsid w:val="00BA1A75"/>
    <w:rsid w:val="00BB1FE7"/>
    <w:rsid w:val="00BB7068"/>
    <w:rsid w:val="00BC2487"/>
    <w:rsid w:val="00BD11E0"/>
    <w:rsid w:val="00BD2140"/>
    <w:rsid w:val="00BE4F2D"/>
    <w:rsid w:val="00BE746D"/>
    <w:rsid w:val="00BF1E2F"/>
    <w:rsid w:val="00BF1F32"/>
    <w:rsid w:val="00BF6F64"/>
    <w:rsid w:val="00C004CF"/>
    <w:rsid w:val="00C025B4"/>
    <w:rsid w:val="00C02C3C"/>
    <w:rsid w:val="00C045EB"/>
    <w:rsid w:val="00C22DEF"/>
    <w:rsid w:val="00C32AC9"/>
    <w:rsid w:val="00C33283"/>
    <w:rsid w:val="00C3742E"/>
    <w:rsid w:val="00C41602"/>
    <w:rsid w:val="00C60A6E"/>
    <w:rsid w:val="00C64B52"/>
    <w:rsid w:val="00C653B4"/>
    <w:rsid w:val="00C6673A"/>
    <w:rsid w:val="00C84DC2"/>
    <w:rsid w:val="00C86543"/>
    <w:rsid w:val="00C93876"/>
    <w:rsid w:val="00C95DD8"/>
    <w:rsid w:val="00CC15A7"/>
    <w:rsid w:val="00CD15A1"/>
    <w:rsid w:val="00CD2A0A"/>
    <w:rsid w:val="00CF009E"/>
    <w:rsid w:val="00CF0170"/>
    <w:rsid w:val="00CF12FC"/>
    <w:rsid w:val="00CF2ABC"/>
    <w:rsid w:val="00CF3AAB"/>
    <w:rsid w:val="00D147E4"/>
    <w:rsid w:val="00D16E32"/>
    <w:rsid w:val="00D20466"/>
    <w:rsid w:val="00D23C9B"/>
    <w:rsid w:val="00D328D3"/>
    <w:rsid w:val="00D34772"/>
    <w:rsid w:val="00D4432F"/>
    <w:rsid w:val="00D449F6"/>
    <w:rsid w:val="00D7732E"/>
    <w:rsid w:val="00D81309"/>
    <w:rsid w:val="00D85D28"/>
    <w:rsid w:val="00D91F4E"/>
    <w:rsid w:val="00D95D8C"/>
    <w:rsid w:val="00DA09D0"/>
    <w:rsid w:val="00DA3EAD"/>
    <w:rsid w:val="00DA7E45"/>
    <w:rsid w:val="00DC153D"/>
    <w:rsid w:val="00DD22F0"/>
    <w:rsid w:val="00DD5ACC"/>
    <w:rsid w:val="00DE22AE"/>
    <w:rsid w:val="00DE369D"/>
    <w:rsid w:val="00DF1F65"/>
    <w:rsid w:val="00E0446C"/>
    <w:rsid w:val="00E13969"/>
    <w:rsid w:val="00E15675"/>
    <w:rsid w:val="00E24ABB"/>
    <w:rsid w:val="00E328C1"/>
    <w:rsid w:val="00E63EAD"/>
    <w:rsid w:val="00E733F1"/>
    <w:rsid w:val="00E77ABA"/>
    <w:rsid w:val="00E828A6"/>
    <w:rsid w:val="00E845FA"/>
    <w:rsid w:val="00E944D9"/>
    <w:rsid w:val="00E96897"/>
    <w:rsid w:val="00EA7B38"/>
    <w:rsid w:val="00EB5107"/>
    <w:rsid w:val="00EC2E9C"/>
    <w:rsid w:val="00EC47A7"/>
    <w:rsid w:val="00ED209E"/>
    <w:rsid w:val="00ED6469"/>
    <w:rsid w:val="00F0283D"/>
    <w:rsid w:val="00F2084B"/>
    <w:rsid w:val="00F20C00"/>
    <w:rsid w:val="00F225EA"/>
    <w:rsid w:val="00F2470A"/>
    <w:rsid w:val="00F34E18"/>
    <w:rsid w:val="00F34F9D"/>
    <w:rsid w:val="00F36DAD"/>
    <w:rsid w:val="00F4197E"/>
    <w:rsid w:val="00F4515C"/>
    <w:rsid w:val="00F5553A"/>
    <w:rsid w:val="00F6407B"/>
    <w:rsid w:val="00F66C0D"/>
    <w:rsid w:val="00F67BED"/>
    <w:rsid w:val="00F72BB1"/>
    <w:rsid w:val="00F77A00"/>
    <w:rsid w:val="00F97016"/>
    <w:rsid w:val="00FA06BA"/>
    <w:rsid w:val="00FA1FCD"/>
    <w:rsid w:val="00FC0CA4"/>
    <w:rsid w:val="00FC334F"/>
    <w:rsid w:val="00FC4665"/>
    <w:rsid w:val="00FE2E7B"/>
    <w:rsid w:val="00FF0B93"/>
    <w:rsid w:val="00FF2548"/>
    <w:rsid w:val="0B94692C"/>
    <w:rsid w:val="13306FAA"/>
    <w:rsid w:val="18AF6BBB"/>
    <w:rsid w:val="1B4355C7"/>
    <w:rsid w:val="1ED748A5"/>
    <w:rsid w:val="204B5544"/>
    <w:rsid w:val="214B722E"/>
    <w:rsid w:val="23CD705F"/>
    <w:rsid w:val="2EB325D9"/>
    <w:rsid w:val="2F287CA7"/>
    <w:rsid w:val="300645D3"/>
    <w:rsid w:val="3B557F1F"/>
    <w:rsid w:val="3BC501E3"/>
    <w:rsid w:val="3EB81706"/>
    <w:rsid w:val="43376435"/>
    <w:rsid w:val="47273B5F"/>
    <w:rsid w:val="52485B5C"/>
    <w:rsid w:val="5BDC2F99"/>
    <w:rsid w:val="791B62E8"/>
    <w:rsid w:val="7DFE1C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lsdException w:name="Normal Table" w:semiHidden="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Emphasis"/>
    <w:basedOn w:val="a0"/>
    <w:uiPriority w:val="20"/>
    <w:qFormat/>
    <w:rPr>
      <w:i/>
    </w:rPr>
  </w:style>
  <w:style w:type="character" w:styleId="a5">
    <w:name w:val="Strong"/>
    <w:qFormat/>
    <w:rPr>
      <w:b/>
      <w:bCs/>
    </w:rPr>
  </w:style>
  <w:style w:type="character" w:styleId="a6">
    <w:name w:val="Hyperlink"/>
    <w:rPr>
      <w:color w:val="0000FF"/>
      <w:u w:val="single"/>
    </w:rPr>
  </w:style>
  <w:style w:type="character" w:styleId="a7">
    <w:name w:val="page number"/>
    <w:basedOn w:val="a0"/>
  </w:style>
  <w:style w:type="character" w:customStyle="1" w:styleId="Char">
    <w:name w:val="批注文字 Char"/>
    <w:link w:val="a8"/>
    <w:rPr>
      <w:rFonts w:ascii="宋体" w:eastAsia="宋体" w:hAnsi="宋体"/>
      <w:lang w:bidi="ar-SA"/>
    </w:rPr>
  </w:style>
  <w:style w:type="character" w:customStyle="1" w:styleId="Char0">
    <w:name w:val="页脚 Char"/>
    <w:link w:val="a9"/>
    <w:rPr>
      <w:kern w:val="2"/>
      <w:sz w:val="18"/>
      <w:szCs w:val="18"/>
    </w:rPr>
  </w:style>
  <w:style w:type="character" w:customStyle="1" w:styleId="Char1">
    <w:name w:val="纯文本 Char"/>
    <w:link w:val="aa"/>
    <w:rPr>
      <w:rFonts w:ascii="Calibri" w:hAnsi="Courier New" w:cs="Courier New"/>
      <w:kern w:val="2"/>
      <w:sz w:val="21"/>
      <w:szCs w:val="21"/>
    </w:rPr>
  </w:style>
  <w:style w:type="character" w:customStyle="1" w:styleId="txtcontent1">
    <w:name w:val="txtcontent1"/>
    <w:basedOn w:val="a0"/>
  </w:style>
  <w:style w:type="character" w:customStyle="1" w:styleId="Char2">
    <w:name w:val="页眉 Char"/>
    <w:link w:val="ab"/>
    <w:rPr>
      <w:kern w:val="2"/>
      <w:sz w:val="18"/>
      <w:szCs w:val="18"/>
    </w:rPr>
  </w:style>
  <w:style w:type="character" w:customStyle="1" w:styleId="apple-converted-space">
    <w:name w:val="apple-converted-space"/>
    <w:basedOn w:val="a0"/>
  </w:style>
  <w:style w:type="character" w:customStyle="1" w:styleId="ac">
    <w:name w:val="未处理的提及"/>
    <w:uiPriority w:val="99"/>
    <w:unhideWhenUsed/>
    <w:rPr>
      <w:color w:val="605E5C"/>
      <w:shd w:val="clear" w:color="auto" w:fill="E1DFDD"/>
    </w:rPr>
  </w:style>
  <w:style w:type="paragraph" w:styleId="aa">
    <w:name w:val="Plain Text"/>
    <w:basedOn w:val="a"/>
    <w:link w:val="Char1"/>
    <w:pPr>
      <w:jc w:val="left"/>
    </w:pPr>
    <w:rPr>
      <w:rFonts w:ascii="Calibri" w:hAnsi="Courier New"/>
      <w:szCs w:val="21"/>
    </w:rPr>
  </w:style>
  <w:style w:type="paragraph" w:styleId="ad">
    <w:name w:val="annotation subject"/>
    <w:basedOn w:val="a8"/>
    <w:next w:val="a8"/>
    <w:pPr>
      <w:widowControl w:val="0"/>
      <w:spacing w:before="0" w:beforeAutospacing="0" w:after="0" w:afterAutospacing="0"/>
    </w:pPr>
    <w:rPr>
      <w:rFonts w:ascii="Times New Roman" w:hAnsi="Times New Roman"/>
      <w:b/>
      <w:bCs/>
      <w:kern w:val="2"/>
      <w:sz w:val="21"/>
      <w:szCs w:val="24"/>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b">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0"/>
    <w:pPr>
      <w:tabs>
        <w:tab w:val="center" w:pos="4153"/>
        <w:tab w:val="right" w:pos="8306"/>
      </w:tabs>
      <w:snapToGrid w:val="0"/>
      <w:jc w:val="left"/>
    </w:pPr>
    <w:rPr>
      <w:sz w:val="18"/>
      <w:szCs w:val="18"/>
    </w:rPr>
  </w:style>
  <w:style w:type="paragraph" w:styleId="af">
    <w:name w:val="Balloon Text"/>
    <w:basedOn w:val="a"/>
    <w:rPr>
      <w:sz w:val="18"/>
      <w:szCs w:val="18"/>
    </w:rPr>
  </w:style>
  <w:style w:type="paragraph" w:styleId="a8">
    <w:name w:val="annotation text"/>
    <w:basedOn w:val="a"/>
    <w:link w:val="Char"/>
    <w:pPr>
      <w:widowControl/>
      <w:spacing w:before="100" w:beforeAutospacing="1" w:after="100" w:afterAutospacing="1"/>
      <w:jc w:val="left"/>
    </w:pPr>
    <w:rPr>
      <w:rFonts w:ascii="宋体" w:hAnsi="宋体"/>
      <w:kern w:val="0"/>
      <w:sz w:val="20"/>
      <w:szCs w:val="20"/>
    </w:rPr>
  </w:style>
  <w:style w:type="paragraph" w:customStyle="1" w:styleId="Style7">
    <w:name w:val="_Style 7"/>
    <w:basedOn w:val="a"/>
    <w:pPr>
      <w:autoSpaceDE w:val="0"/>
      <w:autoSpaceDN w:val="0"/>
      <w:adjustRightInd w:val="0"/>
      <w:jc w:val="left"/>
      <w:textAlignment w:val="baseline"/>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h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4</DocSecurity>
  <PresentationFormat/>
  <Lines>8</Lines>
  <Paragraphs>2</Paragraphs>
  <Slides>0</Slides>
  <Notes>0</Notes>
  <HiddenSlides>0</HiddenSlides>
  <MMClips>0</MMClips>
  <ScaleCrop>false</ScaleCrop>
  <Company>MC SYSTEM</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中海基金管理有限公司关于新增华宝证券有限责任公司为旗下</dc:title>
  <dc:subject/>
  <dc:creator>MC SYSTEM</dc:creator>
  <cp:keywords/>
  <cp:lastModifiedBy>ZHONGM</cp:lastModifiedBy>
  <cp:revision>2</cp:revision>
  <cp:lastPrinted>2012-09-06T03:23:00Z</cp:lastPrinted>
  <dcterms:created xsi:type="dcterms:W3CDTF">2020-08-18T16:00:00Z</dcterms:created>
  <dcterms:modified xsi:type="dcterms:W3CDTF">2020-08-18T16:00:00Z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