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78" w:rsidRPr="00504192" w:rsidRDefault="00916E78" w:rsidP="00916E78">
      <w:pPr>
        <w:spacing w:line="360" w:lineRule="auto"/>
        <w:jc w:val="center"/>
        <w:rPr>
          <w:rFonts w:ascii="微软雅黑" w:eastAsia="微软雅黑" w:hAnsi="微软雅黑"/>
          <w:b/>
          <w:bCs/>
        </w:rPr>
      </w:pPr>
      <w:bookmarkStart w:id="0" w:name="_GoBack"/>
      <w:bookmarkEnd w:id="0"/>
      <w:r>
        <w:rPr>
          <w:rFonts w:ascii="微软雅黑" w:eastAsia="微软雅黑" w:hAnsi="微软雅黑" w:hint="eastAsia"/>
          <w:b/>
          <w:bCs/>
          <w:color w:val="333333"/>
        </w:rPr>
        <w:t>招商国证生物医药指数分级证券投资基金</w:t>
      </w:r>
      <w:r w:rsidRPr="00586FDE">
        <w:rPr>
          <w:rFonts w:ascii="微软雅黑" w:eastAsia="微软雅黑" w:hAnsi="微软雅黑" w:hint="eastAsia"/>
          <w:b/>
          <w:bCs/>
        </w:rPr>
        <w:t>B类份额溢价风险提示</w:t>
      </w:r>
      <w:r>
        <w:rPr>
          <w:rFonts w:ascii="微软雅黑" w:eastAsia="微软雅黑" w:hAnsi="微软雅黑" w:hint="eastAsia"/>
          <w:b/>
          <w:bCs/>
        </w:rPr>
        <w:t>及停复牌</w:t>
      </w:r>
      <w:r w:rsidRPr="00586FDE">
        <w:rPr>
          <w:rFonts w:ascii="微软雅黑" w:eastAsia="微软雅黑" w:hAnsi="微软雅黑" w:hint="eastAsia"/>
          <w:b/>
          <w:bCs/>
        </w:rPr>
        <w:t>公告</w:t>
      </w:r>
    </w:p>
    <w:p w:rsidR="00143FD3" w:rsidRPr="0050633E" w:rsidRDefault="00143FD3" w:rsidP="00A8614C">
      <w:pPr>
        <w:spacing w:line="360" w:lineRule="auto"/>
        <w:ind w:firstLineChars="200" w:firstLine="420"/>
        <w:rPr>
          <w:rFonts w:ascii="微软雅黑" w:eastAsia="微软雅黑" w:hAnsi="微软雅黑"/>
        </w:rPr>
      </w:pPr>
      <w:r w:rsidRPr="0050633E">
        <w:rPr>
          <w:rFonts w:ascii="微软雅黑" w:eastAsia="微软雅黑" w:hAnsi="微软雅黑" w:hint="eastAsia"/>
        </w:rPr>
        <w:t>招商基金管理有限公司（以下简称“本基金管理人”）旗下</w:t>
      </w:r>
      <w:r>
        <w:rPr>
          <w:rFonts w:ascii="微软雅黑" w:eastAsia="微软雅黑" w:hAnsi="微软雅黑" w:hint="eastAsia"/>
        </w:rPr>
        <w:t>招商国证生物医药指数分级证券投资基金</w:t>
      </w:r>
      <w:r w:rsidRPr="00504192">
        <w:rPr>
          <w:rFonts w:ascii="微软雅黑" w:eastAsia="微软雅黑" w:hAnsi="微软雅黑" w:hint="eastAsia"/>
        </w:rPr>
        <w:t>之B类份额</w:t>
      </w:r>
      <w:r w:rsidRPr="0050633E">
        <w:rPr>
          <w:rFonts w:ascii="微软雅黑" w:eastAsia="微软雅黑" w:hAnsi="微软雅黑" w:hint="eastAsia"/>
        </w:rPr>
        <w:t>（场内简称：</w:t>
      </w:r>
      <w:r>
        <w:rPr>
          <w:rFonts w:ascii="微软雅黑" w:eastAsia="微软雅黑" w:hAnsi="微软雅黑" w:hint="eastAsia"/>
        </w:rPr>
        <w:t>生物药B</w:t>
      </w:r>
      <w:r w:rsidRPr="0050633E">
        <w:rPr>
          <w:rFonts w:ascii="微软雅黑" w:eastAsia="微软雅黑" w:hAnsi="微软雅黑" w:hint="eastAsia"/>
        </w:rPr>
        <w:t>；交易代码：</w:t>
      </w:r>
      <w:r>
        <w:rPr>
          <w:rFonts w:ascii="微软雅黑" w:eastAsia="微软雅黑" w:hAnsi="微软雅黑"/>
        </w:rPr>
        <w:t>150272</w:t>
      </w:r>
      <w:r w:rsidRPr="0050633E">
        <w:rPr>
          <w:rFonts w:ascii="微软雅黑" w:eastAsia="微软雅黑" w:hAnsi="微软雅黑" w:hint="eastAsia"/>
        </w:rPr>
        <w:t xml:space="preserve">）， </w:t>
      </w:r>
      <w:r w:rsidR="00235415">
        <w:rPr>
          <w:rFonts w:ascii="微软雅黑" w:eastAsia="微软雅黑" w:hAnsi="微软雅黑" w:hint="eastAsia"/>
        </w:rPr>
        <w:t>2020年8月10日</w:t>
      </w:r>
      <w:r w:rsidRPr="0050633E">
        <w:rPr>
          <w:rFonts w:ascii="微软雅黑" w:eastAsia="微软雅黑" w:hAnsi="微软雅黑" w:hint="eastAsia"/>
        </w:rPr>
        <w:t>在二级市场的收盘价为</w:t>
      </w:r>
      <w:r w:rsidR="00235415">
        <w:rPr>
          <w:rFonts w:ascii="微软雅黑" w:eastAsia="微软雅黑" w:hAnsi="微软雅黑" w:hint="eastAsia"/>
        </w:rPr>
        <w:t>2.939</w:t>
      </w:r>
      <w:r w:rsidRPr="00504192">
        <w:rPr>
          <w:rFonts w:ascii="微软雅黑" w:eastAsia="微软雅黑" w:hAnsi="微软雅黑" w:hint="eastAsia"/>
        </w:rPr>
        <w:t>元</w:t>
      </w:r>
      <w:r>
        <w:rPr>
          <w:rFonts w:ascii="微软雅黑" w:eastAsia="微软雅黑" w:hAnsi="微软雅黑" w:hint="eastAsia"/>
        </w:rPr>
        <w:t>，</w:t>
      </w:r>
      <w:r w:rsidRPr="0050633E">
        <w:rPr>
          <w:rFonts w:ascii="微软雅黑" w:eastAsia="微软雅黑" w:hAnsi="微软雅黑" w:hint="eastAsia"/>
        </w:rPr>
        <w:t>相对于当日</w:t>
      </w:r>
      <w:r w:rsidR="00235415" w:rsidRPr="00235415">
        <w:rPr>
          <w:rFonts w:ascii="微软雅黑" w:eastAsia="微软雅黑" w:hAnsi="微软雅黑"/>
        </w:rPr>
        <w:t>1.2758</w:t>
      </w:r>
      <w:r w:rsidRPr="00504192">
        <w:rPr>
          <w:rFonts w:ascii="微软雅黑" w:eastAsia="微软雅黑" w:hAnsi="微软雅黑" w:hint="eastAsia"/>
        </w:rPr>
        <w:t>元</w:t>
      </w:r>
      <w:r w:rsidRPr="0050633E">
        <w:rPr>
          <w:rFonts w:ascii="微软雅黑" w:eastAsia="微软雅黑" w:hAnsi="微软雅黑" w:hint="eastAsia"/>
        </w:rPr>
        <w:t>的基金份额参考净值，溢价幅度为</w:t>
      </w:r>
      <w:r w:rsidR="00235415" w:rsidRPr="00235415">
        <w:rPr>
          <w:rFonts w:ascii="微软雅黑" w:eastAsia="微软雅黑" w:hAnsi="微软雅黑"/>
        </w:rPr>
        <w:t>130.37%</w:t>
      </w:r>
      <w:r w:rsidRPr="0050633E">
        <w:rPr>
          <w:rFonts w:ascii="微软雅黑" w:eastAsia="微软雅黑" w:hAnsi="微软雅黑" w:hint="eastAsia"/>
        </w:rPr>
        <w:t>。截</w:t>
      </w:r>
      <w:r>
        <w:rPr>
          <w:rFonts w:ascii="微软雅黑" w:eastAsia="微软雅黑" w:hAnsi="微软雅黑" w:hint="eastAsia"/>
        </w:rPr>
        <w:t>至2020年8月</w:t>
      </w:r>
      <w:r w:rsidR="00235415">
        <w:rPr>
          <w:rFonts w:ascii="微软雅黑" w:eastAsia="微软雅黑" w:hAnsi="微软雅黑" w:hint="eastAsia"/>
        </w:rPr>
        <w:t>11</w:t>
      </w:r>
      <w:r>
        <w:rPr>
          <w:rFonts w:ascii="微软雅黑" w:eastAsia="微软雅黑" w:hAnsi="微软雅黑" w:hint="eastAsia"/>
        </w:rPr>
        <w:t>日</w:t>
      </w:r>
      <w:r w:rsidRPr="0050633E">
        <w:rPr>
          <w:rFonts w:ascii="微软雅黑" w:eastAsia="微软雅黑" w:hAnsi="微软雅黑" w:hint="eastAsia"/>
        </w:rPr>
        <w:t>，</w:t>
      </w:r>
      <w:r>
        <w:rPr>
          <w:rFonts w:ascii="微软雅黑" w:eastAsia="微软雅黑" w:hAnsi="微软雅黑" w:hint="eastAsia"/>
        </w:rPr>
        <w:t>招商国证生物医药</w:t>
      </w:r>
      <w:r w:rsidRPr="00504192">
        <w:rPr>
          <w:rFonts w:ascii="微软雅黑" w:eastAsia="微软雅黑" w:hAnsi="微软雅黑" w:hint="eastAsia"/>
        </w:rPr>
        <w:t>B类份额</w:t>
      </w:r>
      <w:r w:rsidRPr="0050633E">
        <w:rPr>
          <w:rFonts w:ascii="微软雅黑" w:eastAsia="微软雅黑" w:hAnsi="微软雅黑" w:hint="eastAsia"/>
        </w:rPr>
        <w:t>二级市场的收盘价为</w:t>
      </w:r>
      <w:r w:rsidR="00235415">
        <w:rPr>
          <w:rFonts w:ascii="微软雅黑" w:eastAsia="微软雅黑" w:hAnsi="微软雅黑" w:hint="eastAsia"/>
        </w:rPr>
        <w:t>2.645</w:t>
      </w:r>
      <w:r>
        <w:rPr>
          <w:rFonts w:ascii="微软雅黑" w:eastAsia="微软雅黑" w:hAnsi="微软雅黑" w:hint="eastAsia"/>
        </w:rPr>
        <w:t>元。二级市场交易价格相对于基金份额参考净值的溢价幅度较高，</w:t>
      </w:r>
      <w:r w:rsidRPr="0050633E">
        <w:rPr>
          <w:rFonts w:ascii="微软雅黑" w:eastAsia="微软雅黑" w:hAnsi="微软雅黑" w:hint="eastAsia"/>
        </w:rPr>
        <w:t xml:space="preserve">投资者如果盲目投资，可能遭受重大损失。 </w:t>
      </w:r>
    </w:p>
    <w:p w:rsidR="00916E78" w:rsidRPr="00916E78" w:rsidRDefault="00916E78" w:rsidP="00916E78">
      <w:pPr>
        <w:spacing w:line="360" w:lineRule="auto"/>
        <w:ind w:firstLineChars="200" w:firstLine="420"/>
        <w:rPr>
          <w:rFonts w:ascii="微软雅黑" w:eastAsia="微软雅黑" w:hAnsi="微软雅黑"/>
        </w:rPr>
      </w:pPr>
      <w:r>
        <w:rPr>
          <w:rFonts w:ascii="微软雅黑" w:eastAsia="微软雅黑" w:hAnsi="微软雅黑" w:hint="eastAsia"/>
        </w:rPr>
        <w:t>为了保护基金份额持有人的利益，招商国证生物医药</w:t>
      </w:r>
      <w:r w:rsidRPr="00504192">
        <w:rPr>
          <w:rFonts w:ascii="微软雅黑" w:eastAsia="微软雅黑" w:hAnsi="微软雅黑" w:hint="eastAsia"/>
        </w:rPr>
        <w:t>B类份额</w:t>
      </w:r>
      <w:r>
        <w:rPr>
          <w:rFonts w:ascii="微软雅黑" w:eastAsia="微软雅黑" w:hAnsi="微软雅黑" w:hint="eastAsia"/>
        </w:rPr>
        <w:t>将于2020年</w:t>
      </w:r>
      <w:r w:rsidR="00352E73">
        <w:rPr>
          <w:rFonts w:ascii="微软雅黑" w:eastAsia="微软雅黑" w:hAnsi="微软雅黑"/>
        </w:rPr>
        <w:t>8</w:t>
      </w:r>
      <w:r>
        <w:rPr>
          <w:rFonts w:ascii="微软雅黑" w:eastAsia="微软雅黑" w:hAnsi="微软雅黑" w:hint="eastAsia"/>
        </w:rPr>
        <w:t>月</w:t>
      </w:r>
      <w:r w:rsidR="00235415">
        <w:rPr>
          <w:rFonts w:ascii="微软雅黑" w:eastAsia="微软雅黑" w:hAnsi="微软雅黑" w:hint="eastAsia"/>
        </w:rPr>
        <w:t>12</w:t>
      </w:r>
      <w:r>
        <w:rPr>
          <w:rFonts w:ascii="微软雅黑" w:eastAsia="微软雅黑" w:hAnsi="微软雅黑" w:hint="eastAsia"/>
        </w:rPr>
        <w:t>日开市起至当日10：30停牌，自2020年</w:t>
      </w:r>
      <w:r w:rsidR="00352E73">
        <w:rPr>
          <w:rFonts w:ascii="微软雅黑" w:eastAsia="微软雅黑" w:hAnsi="微软雅黑" w:hint="eastAsia"/>
        </w:rPr>
        <w:t>8</w:t>
      </w:r>
      <w:r>
        <w:rPr>
          <w:rFonts w:ascii="微软雅黑" w:eastAsia="微软雅黑" w:hAnsi="微软雅黑" w:hint="eastAsia"/>
        </w:rPr>
        <w:t>月</w:t>
      </w:r>
      <w:r w:rsidR="00235415">
        <w:rPr>
          <w:rFonts w:ascii="微软雅黑" w:eastAsia="微软雅黑" w:hAnsi="微软雅黑" w:hint="eastAsia"/>
        </w:rPr>
        <w:t>12</w:t>
      </w:r>
      <w:r>
        <w:rPr>
          <w:rFonts w:ascii="微软雅黑" w:eastAsia="微软雅黑" w:hAnsi="微软雅黑" w:hint="eastAsia"/>
        </w:rPr>
        <w:t>日10：30复牌。</w:t>
      </w:r>
    </w:p>
    <w:p w:rsid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为此，本基金管理人提示如下：</w:t>
      </w:r>
    </w:p>
    <w:p w:rsidR="008A3F94" w:rsidRPr="00017661" w:rsidRDefault="008A3F94" w:rsidP="0050633E">
      <w:pPr>
        <w:spacing w:line="360" w:lineRule="auto"/>
        <w:ind w:firstLineChars="200" w:firstLine="420"/>
        <w:rPr>
          <w:rFonts w:ascii="微软雅黑" w:eastAsia="微软雅黑" w:hAnsi="微软雅黑"/>
          <w:b/>
        </w:rPr>
      </w:pPr>
      <w:r w:rsidRPr="00017661">
        <w:rPr>
          <w:rFonts w:ascii="微软雅黑" w:eastAsia="微软雅黑" w:hAnsi="微软雅黑" w:hint="eastAsia"/>
          <w:b/>
        </w:rPr>
        <w:t>1、根据中国人民银行、中国银行保险监督管理委员会、中国证券监督管理委员会、国家外汇管理局联合发布的《关于规范金融机构资产管理业务的指导意见》，本基金将在2020年底前完成规范整改，投资者如果高溢价买入生物药B，可能遭受重大损失</w:t>
      </w:r>
      <w:r w:rsidR="00017661" w:rsidRPr="00017661">
        <w:rPr>
          <w:rFonts w:ascii="微软雅黑" w:eastAsia="微软雅黑" w:hAnsi="微软雅黑" w:hint="eastAsia"/>
          <w:b/>
        </w:rPr>
        <w:t>，请理性投资</w:t>
      </w:r>
      <w:r w:rsidRPr="00017661">
        <w:rPr>
          <w:rFonts w:ascii="微软雅黑" w:eastAsia="微软雅黑" w:hAnsi="微软雅黑" w:hint="eastAsia"/>
          <w:b/>
        </w:rPr>
        <w:t>。</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2</w:t>
      </w:r>
      <w:r w:rsidR="0050633E" w:rsidRPr="0050633E">
        <w:rPr>
          <w:rFonts w:ascii="微软雅黑" w:eastAsia="微软雅黑" w:hAnsi="微软雅黑" w:hint="eastAsia"/>
        </w:rPr>
        <w:t>、</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表现为高风险、高收益的特征。由于</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内含杠杆机制的设计，</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参考净值的变动幅度将大于</w:t>
      </w:r>
      <w:r w:rsidR="008D3688">
        <w:rPr>
          <w:rFonts w:ascii="微软雅黑" w:eastAsia="微软雅黑" w:hAnsi="微软雅黑" w:hint="eastAsia"/>
        </w:rPr>
        <w:t>招商国证生物医药</w:t>
      </w:r>
      <w:r w:rsidR="00EA6DA2" w:rsidRPr="00EA6DA2">
        <w:rPr>
          <w:rFonts w:ascii="微软雅黑" w:eastAsia="微软雅黑" w:hAnsi="微软雅黑" w:hint="eastAsia"/>
        </w:rPr>
        <w:t>指数分级</w:t>
      </w:r>
      <w:r w:rsidR="00095501">
        <w:rPr>
          <w:rFonts w:ascii="微软雅黑" w:eastAsia="微软雅黑" w:hAnsi="微软雅黑" w:hint="eastAsia"/>
        </w:rPr>
        <w:t>份额</w:t>
      </w:r>
      <w:r w:rsidR="0050633E" w:rsidRPr="0050633E">
        <w:rPr>
          <w:rFonts w:ascii="微软雅黑" w:eastAsia="微软雅黑" w:hAnsi="微软雅黑" w:hint="eastAsia"/>
        </w:rPr>
        <w:t>（场内简称：</w:t>
      </w:r>
      <w:r w:rsidR="008D3688">
        <w:rPr>
          <w:rFonts w:ascii="微软雅黑" w:eastAsia="微软雅黑" w:hAnsi="微软雅黑" w:hint="eastAsia"/>
        </w:rPr>
        <w:t>生物医药</w:t>
      </w:r>
      <w:r w:rsidR="0050633E" w:rsidRPr="0050633E">
        <w:rPr>
          <w:rFonts w:ascii="微软雅黑" w:eastAsia="微软雅黑" w:hAnsi="微软雅黑" w:hint="eastAsia"/>
        </w:rPr>
        <w:t>，基金代码：</w:t>
      </w:r>
      <w:r w:rsidR="008D3688">
        <w:rPr>
          <w:rFonts w:ascii="微软雅黑" w:eastAsia="微软雅黑" w:hAnsi="微软雅黑"/>
        </w:rPr>
        <w:t>161726</w:t>
      </w:r>
      <w:r w:rsidR="0050633E" w:rsidRPr="0050633E">
        <w:rPr>
          <w:rFonts w:ascii="微软雅黑" w:eastAsia="微软雅黑" w:hAnsi="微软雅黑" w:hint="eastAsia"/>
        </w:rPr>
        <w:t>）净值和</w:t>
      </w:r>
      <w:r w:rsidR="008D3688">
        <w:rPr>
          <w:rFonts w:ascii="微软雅黑" w:eastAsia="微软雅黑" w:hAnsi="微软雅黑" w:hint="eastAsia"/>
        </w:rPr>
        <w:t>招商国证生物医药</w:t>
      </w:r>
      <w:r w:rsidR="008C5B75">
        <w:rPr>
          <w:rFonts w:ascii="微软雅黑" w:eastAsia="微软雅黑" w:hAnsi="微软雅黑" w:hint="eastAsia"/>
        </w:rPr>
        <w:t>A</w:t>
      </w:r>
      <w:r w:rsidR="008C5B75" w:rsidRPr="00504192">
        <w:rPr>
          <w:rFonts w:ascii="微软雅黑" w:eastAsia="微软雅黑" w:hAnsi="微软雅黑" w:hint="eastAsia"/>
        </w:rPr>
        <w:t>类份额</w:t>
      </w:r>
      <w:r w:rsidR="0050633E" w:rsidRPr="0050633E">
        <w:rPr>
          <w:rFonts w:ascii="微软雅黑" w:eastAsia="微软雅黑" w:hAnsi="微软雅黑" w:hint="eastAsia"/>
        </w:rPr>
        <w:t>（场内简称：</w:t>
      </w:r>
      <w:r w:rsidR="008D3688">
        <w:rPr>
          <w:rFonts w:ascii="微软雅黑" w:eastAsia="微软雅黑" w:hAnsi="微软雅黑" w:hint="eastAsia"/>
        </w:rPr>
        <w:t>生物药A</w:t>
      </w:r>
      <w:r w:rsidR="0050633E" w:rsidRPr="0050633E">
        <w:rPr>
          <w:rFonts w:ascii="微软雅黑" w:eastAsia="微软雅黑" w:hAnsi="微软雅黑" w:hint="eastAsia"/>
        </w:rPr>
        <w:t>，交易代码：</w:t>
      </w:r>
      <w:r w:rsidR="008D3688">
        <w:rPr>
          <w:rFonts w:ascii="微软雅黑" w:eastAsia="微软雅黑" w:hAnsi="微软雅黑"/>
        </w:rPr>
        <w:t>150271</w:t>
      </w:r>
      <w:r w:rsidR="0050633E" w:rsidRPr="0050633E">
        <w:rPr>
          <w:rFonts w:ascii="微软雅黑" w:eastAsia="微软雅黑" w:hAnsi="微软雅黑" w:hint="eastAsia"/>
        </w:rPr>
        <w:t>）参考净值的变动幅度，即</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的波动性要高于其他两类份额，其承担的风险也较高。</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 xml:space="preserve">的持有人会因杠杆倍数的变化而承担不同程度的投资风险。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3</w:t>
      </w:r>
      <w:r w:rsidR="0050633E" w:rsidRPr="0050633E">
        <w:rPr>
          <w:rFonts w:ascii="微软雅黑" w:eastAsia="微软雅黑" w:hAnsi="微软雅黑" w:hint="eastAsia"/>
        </w:rPr>
        <w:t>、</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 xml:space="preserve">的交易价格，除了有份额参考净值变化的风险外，还会受到市场的系统性风险、流动性风险等其他风险影响，可能使投资人面临损失。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lastRenderedPageBreak/>
        <w:t>4</w:t>
      </w:r>
      <w:r w:rsidR="0050633E" w:rsidRPr="0050633E">
        <w:rPr>
          <w:rFonts w:ascii="微软雅黑" w:eastAsia="微软雅黑" w:hAnsi="微软雅黑" w:hint="eastAsia"/>
        </w:rPr>
        <w:t>、截至本公告披露日，</w:t>
      </w:r>
      <w:r w:rsidR="008D3688">
        <w:rPr>
          <w:rFonts w:ascii="微软雅黑" w:eastAsia="微软雅黑" w:hAnsi="微软雅黑" w:hint="eastAsia"/>
        </w:rPr>
        <w:t>招商国证生物医药指数分级证券投资基金</w:t>
      </w:r>
      <w:r w:rsidR="0050633E" w:rsidRPr="0050633E">
        <w:rPr>
          <w:rFonts w:ascii="微软雅黑" w:eastAsia="微软雅黑" w:hAnsi="微软雅黑" w:hint="eastAsia"/>
        </w:rPr>
        <w:t xml:space="preserve">运作正常。本基金管理人仍将严格按照法律法规及基金合同进行投资运作。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5</w:t>
      </w:r>
      <w:r w:rsidR="0050633E" w:rsidRPr="0050633E">
        <w:rPr>
          <w:rFonts w:ascii="微软雅黑" w:eastAsia="微软雅黑" w:hAnsi="微软雅黑" w:hint="eastAsia"/>
        </w:rPr>
        <w:t>、截至本公告披露日，</w:t>
      </w:r>
      <w:r w:rsidR="008D3688">
        <w:rPr>
          <w:rFonts w:ascii="微软雅黑" w:eastAsia="微软雅黑" w:hAnsi="微软雅黑" w:hint="eastAsia"/>
        </w:rPr>
        <w:t>招商国证生物医药指数分级证券投资基金</w:t>
      </w:r>
      <w:r w:rsidR="0050633E" w:rsidRPr="0050633E">
        <w:rPr>
          <w:rFonts w:ascii="微软雅黑" w:eastAsia="微软雅黑" w:hAnsi="微软雅黑" w:hint="eastAsia"/>
        </w:rPr>
        <w:t>无其他应披露而未披露的重大信息。本基金管理人仍将严格按照有关规定和要求，及时做好信息披露工作。</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6</w:t>
      </w:r>
      <w:r w:rsidR="0050633E" w:rsidRPr="0050633E">
        <w:rPr>
          <w:rFonts w:ascii="微软雅黑" w:eastAsia="微软雅黑" w:hAnsi="微软雅黑" w:hint="eastAsia"/>
        </w:rPr>
        <w:t>、基金管理人承诺以诚实信用、勤勉尽责的原则管理和运用基金资产，但不保证基金一定盈利，也不保证最低收益。投资者投资于本基金前应认真阅读本基金的基金合同和招募说明书等相关法律文件。</w:t>
      </w:r>
    </w:p>
    <w:p w:rsidR="0050633E" w:rsidRP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敬请投资者注意投资风险。</w:t>
      </w:r>
    </w:p>
    <w:p w:rsidR="0050633E" w:rsidRP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特此公告。</w:t>
      </w:r>
    </w:p>
    <w:p w:rsidR="0050633E" w:rsidRPr="0050633E" w:rsidRDefault="0050633E" w:rsidP="0050633E">
      <w:pPr>
        <w:spacing w:line="360" w:lineRule="auto"/>
        <w:ind w:firstLineChars="200" w:firstLine="420"/>
        <w:jc w:val="right"/>
        <w:rPr>
          <w:rFonts w:ascii="微软雅黑" w:eastAsia="微软雅黑" w:hAnsi="微软雅黑"/>
        </w:rPr>
      </w:pPr>
      <w:r w:rsidRPr="0050633E">
        <w:rPr>
          <w:rFonts w:ascii="微软雅黑" w:eastAsia="微软雅黑" w:hAnsi="微软雅黑" w:hint="eastAsia"/>
        </w:rPr>
        <w:t>招商基金管理有限公司</w:t>
      </w:r>
    </w:p>
    <w:p w:rsidR="009848FE" w:rsidRPr="0050633E" w:rsidRDefault="008D3688" w:rsidP="0050633E">
      <w:pPr>
        <w:spacing w:line="360" w:lineRule="auto"/>
        <w:ind w:firstLineChars="200" w:firstLine="420"/>
        <w:jc w:val="right"/>
        <w:rPr>
          <w:rFonts w:ascii="微软雅黑" w:eastAsia="微软雅黑" w:hAnsi="微软雅黑"/>
        </w:rPr>
      </w:pPr>
      <w:r>
        <w:rPr>
          <w:rFonts w:ascii="微软雅黑" w:eastAsia="微软雅黑" w:hAnsi="微软雅黑" w:hint="eastAsia"/>
        </w:rPr>
        <w:t>2020年</w:t>
      </w:r>
      <w:r w:rsidR="00352E73">
        <w:rPr>
          <w:rFonts w:ascii="微软雅黑" w:eastAsia="微软雅黑" w:hAnsi="微软雅黑" w:hint="eastAsia"/>
        </w:rPr>
        <w:t>8</w:t>
      </w:r>
      <w:r>
        <w:rPr>
          <w:rFonts w:ascii="微软雅黑" w:eastAsia="微软雅黑" w:hAnsi="微软雅黑" w:hint="eastAsia"/>
        </w:rPr>
        <w:t>月</w:t>
      </w:r>
      <w:r w:rsidR="00235415">
        <w:rPr>
          <w:rFonts w:ascii="微软雅黑" w:eastAsia="微软雅黑" w:hAnsi="微软雅黑" w:hint="eastAsia"/>
        </w:rPr>
        <w:t>12</w:t>
      </w:r>
      <w:r>
        <w:rPr>
          <w:rFonts w:ascii="微软雅黑" w:eastAsia="微软雅黑" w:hAnsi="微软雅黑" w:hint="eastAsia"/>
        </w:rPr>
        <w:t>日</w:t>
      </w:r>
    </w:p>
    <w:sectPr w:rsidR="009848FE" w:rsidRPr="0050633E" w:rsidSect="005C09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8CA" w:rsidRDefault="000F48CA" w:rsidP="00F0204A">
      <w:r>
        <w:separator/>
      </w:r>
    </w:p>
  </w:endnote>
  <w:endnote w:type="continuationSeparator" w:id="0">
    <w:p w:rsidR="000F48CA" w:rsidRDefault="000F48CA" w:rsidP="00F020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8CA" w:rsidRDefault="000F48CA" w:rsidP="00F0204A">
      <w:r>
        <w:separator/>
      </w:r>
    </w:p>
  </w:footnote>
  <w:footnote w:type="continuationSeparator" w:id="0">
    <w:p w:rsidR="000F48CA" w:rsidRDefault="000F48CA" w:rsidP="00F020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33E"/>
    <w:rsid w:val="00017661"/>
    <w:rsid w:val="00036D2D"/>
    <w:rsid w:val="00036EA0"/>
    <w:rsid w:val="00037198"/>
    <w:rsid w:val="00037E0E"/>
    <w:rsid w:val="00077EE2"/>
    <w:rsid w:val="000947E8"/>
    <w:rsid w:val="00095501"/>
    <w:rsid w:val="000B3A0B"/>
    <w:rsid w:val="000B4BCB"/>
    <w:rsid w:val="000E4F61"/>
    <w:rsid w:val="000F48CA"/>
    <w:rsid w:val="000F5033"/>
    <w:rsid w:val="001360F9"/>
    <w:rsid w:val="00143FD3"/>
    <w:rsid w:val="00144708"/>
    <w:rsid w:val="00196ADB"/>
    <w:rsid w:val="001C354E"/>
    <w:rsid w:val="001C4E0E"/>
    <w:rsid w:val="001E1135"/>
    <w:rsid w:val="002304B5"/>
    <w:rsid w:val="00235415"/>
    <w:rsid w:val="0025724A"/>
    <w:rsid w:val="00263EBB"/>
    <w:rsid w:val="00266CFD"/>
    <w:rsid w:val="00274295"/>
    <w:rsid w:val="00296603"/>
    <w:rsid w:val="002D66C3"/>
    <w:rsid w:val="003228CA"/>
    <w:rsid w:val="00326768"/>
    <w:rsid w:val="00331A0A"/>
    <w:rsid w:val="003342A7"/>
    <w:rsid w:val="00342B29"/>
    <w:rsid w:val="00352160"/>
    <w:rsid w:val="00352E73"/>
    <w:rsid w:val="00353B8C"/>
    <w:rsid w:val="003717C5"/>
    <w:rsid w:val="003B3325"/>
    <w:rsid w:val="003E13AA"/>
    <w:rsid w:val="003E245E"/>
    <w:rsid w:val="003E29FA"/>
    <w:rsid w:val="004111BF"/>
    <w:rsid w:val="00417335"/>
    <w:rsid w:val="00422946"/>
    <w:rsid w:val="004331E6"/>
    <w:rsid w:val="00436473"/>
    <w:rsid w:val="00441F43"/>
    <w:rsid w:val="00482995"/>
    <w:rsid w:val="004B38C2"/>
    <w:rsid w:val="004E14D7"/>
    <w:rsid w:val="004F2388"/>
    <w:rsid w:val="00504192"/>
    <w:rsid w:val="0050633E"/>
    <w:rsid w:val="00557FF9"/>
    <w:rsid w:val="00575691"/>
    <w:rsid w:val="00584356"/>
    <w:rsid w:val="00586FDE"/>
    <w:rsid w:val="005876D1"/>
    <w:rsid w:val="005B78B2"/>
    <w:rsid w:val="005C09B3"/>
    <w:rsid w:val="005E517F"/>
    <w:rsid w:val="005E79FA"/>
    <w:rsid w:val="0063502D"/>
    <w:rsid w:val="00635C7D"/>
    <w:rsid w:val="00651DAA"/>
    <w:rsid w:val="00671DEE"/>
    <w:rsid w:val="006A0C45"/>
    <w:rsid w:val="006B7594"/>
    <w:rsid w:val="006E624B"/>
    <w:rsid w:val="006F0553"/>
    <w:rsid w:val="0070511E"/>
    <w:rsid w:val="007438C1"/>
    <w:rsid w:val="007567F4"/>
    <w:rsid w:val="007B2D04"/>
    <w:rsid w:val="007C79CA"/>
    <w:rsid w:val="007D27CE"/>
    <w:rsid w:val="007D2F5F"/>
    <w:rsid w:val="00802162"/>
    <w:rsid w:val="00827564"/>
    <w:rsid w:val="00850EC8"/>
    <w:rsid w:val="00854D4B"/>
    <w:rsid w:val="008659BF"/>
    <w:rsid w:val="008742E7"/>
    <w:rsid w:val="00880B4C"/>
    <w:rsid w:val="008A3F94"/>
    <w:rsid w:val="008B7A55"/>
    <w:rsid w:val="008C0A49"/>
    <w:rsid w:val="008C5B75"/>
    <w:rsid w:val="008D115A"/>
    <w:rsid w:val="008D3688"/>
    <w:rsid w:val="008D3ACE"/>
    <w:rsid w:val="00916E78"/>
    <w:rsid w:val="00952679"/>
    <w:rsid w:val="00955479"/>
    <w:rsid w:val="0097202C"/>
    <w:rsid w:val="00974E64"/>
    <w:rsid w:val="009848FE"/>
    <w:rsid w:val="009933CE"/>
    <w:rsid w:val="009B746F"/>
    <w:rsid w:val="009F6886"/>
    <w:rsid w:val="00A10F2E"/>
    <w:rsid w:val="00A24ACE"/>
    <w:rsid w:val="00A672AE"/>
    <w:rsid w:val="00A73B9E"/>
    <w:rsid w:val="00A802A1"/>
    <w:rsid w:val="00A8614C"/>
    <w:rsid w:val="00A90532"/>
    <w:rsid w:val="00AC5626"/>
    <w:rsid w:val="00AD09D3"/>
    <w:rsid w:val="00B009E5"/>
    <w:rsid w:val="00B07608"/>
    <w:rsid w:val="00B12148"/>
    <w:rsid w:val="00B153B3"/>
    <w:rsid w:val="00B169AD"/>
    <w:rsid w:val="00B22C74"/>
    <w:rsid w:val="00B266A5"/>
    <w:rsid w:val="00B41EAB"/>
    <w:rsid w:val="00B4641C"/>
    <w:rsid w:val="00B60ED5"/>
    <w:rsid w:val="00B940B9"/>
    <w:rsid w:val="00C238FD"/>
    <w:rsid w:val="00C3689D"/>
    <w:rsid w:val="00C37EE3"/>
    <w:rsid w:val="00C401C6"/>
    <w:rsid w:val="00C500B0"/>
    <w:rsid w:val="00C5010A"/>
    <w:rsid w:val="00C71729"/>
    <w:rsid w:val="00C85F0C"/>
    <w:rsid w:val="00C866FE"/>
    <w:rsid w:val="00C917C4"/>
    <w:rsid w:val="00CB1F93"/>
    <w:rsid w:val="00CE548F"/>
    <w:rsid w:val="00CE5DF8"/>
    <w:rsid w:val="00CE5ED4"/>
    <w:rsid w:val="00D027A5"/>
    <w:rsid w:val="00D05E24"/>
    <w:rsid w:val="00D21918"/>
    <w:rsid w:val="00D54EEE"/>
    <w:rsid w:val="00DA0873"/>
    <w:rsid w:val="00DF4AE5"/>
    <w:rsid w:val="00E05DB3"/>
    <w:rsid w:val="00E53EDB"/>
    <w:rsid w:val="00E70C49"/>
    <w:rsid w:val="00E95253"/>
    <w:rsid w:val="00EA6DA2"/>
    <w:rsid w:val="00ED3015"/>
    <w:rsid w:val="00EF69CE"/>
    <w:rsid w:val="00F0204A"/>
    <w:rsid w:val="00F24EBA"/>
    <w:rsid w:val="00F368EA"/>
    <w:rsid w:val="00F607D7"/>
    <w:rsid w:val="00FB0E2E"/>
    <w:rsid w:val="00FB1F02"/>
    <w:rsid w:val="00FE5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3E"/>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04A"/>
    <w:rPr>
      <w:rFonts w:ascii="Calibri" w:eastAsia="宋体" w:hAnsi="Calibri" w:cs="宋体"/>
      <w:kern w:val="0"/>
      <w:sz w:val="18"/>
      <w:szCs w:val="18"/>
    </w:rPr>
  </w:style>
  <w:style w:type="paragraph" w:styleId="a4">
    <w:name w:val="footer"/>
    <w:basedOn w:val="a"/>
    <w:link w:val="Char0"/>
    <w:uiPriority w:val="99"/>
    <w:unhideWhenUsed/>
    <w:rsid w:val="00F0204A"/>
    <w:pPr>
      <w:tabs>
        <w:tab w:val="center" w:pos="4153"/>
        <w:tab w:val="right" w:pos="8306"/>
      </w:tabs>
      <w:snapToGrid w:val="0"/>
      <w:jc w:val="left"/>
    </w:pPr>
    <w:rPr>
      <w:sz w:val="18"/>
      <w:szCs w:val="18"/>
    </w:rPr>
  </w:style>
  <w:style w:type="character" w:customStyle="1" w:styleId="Char0">
    <w:name w:val="页脚 Char"/>
    <w:basedOn w:val="a0"/>
    <w:link w:val="a4"/>
    <w:uiPriority w:val="99"/>
    <w:rsid w:val="00F0204A"/>
    <w:rPr>
      <w:rFonts w:ascii="Calibri" w:eastAsia="宋体" w:hAnsi="Calibri" w:cs="宋体"/>
      <w:kern w:val="0"/>
      <w:sz w:val="18"/>
      <w:szCs w:val="18"/>
    </w:rPr>
  </w:style>
  <w:style w:type="character" w:styleId="a5">
    <w:name w:val="annotation reference"/>
    <w:basedOn w:val="a0"/>
    <w:uiPriority w:val="99"/>
    <w:semiHidden/>
    <w:unhideWhenUsed/>
    <w:rsid w:val="00C3689D"/>
    <w:rPr>
      <w:sz w:val="21"/>
      <w:szCs w:val="21"/>
    </w:rPr>
  </w:style>
  <w:style w:type="paragraph" w:styleId="a6">
    <w:name w:val="annotation text"/>
    <w:basedOn w:val="a"/>
    <w:link w:val="Char1"/>
    <w:uiPriority w:val="99"/>
    <w:semiHidden/>
    <w:unhideWhenUsed/>
    <w:rsid w:val="00C3689D"/>
    <w:pPr>
      <w:jc w:val="left"/>
    </w:pPr>
  </w:style>
  <w:style w:type="character" w:customStyle="1" w:styleId="Char1">
    <w:name w:val="批注文字 Char"/>
    <w:basedOn w:val="a0"/>
    <w:link w:val="a6"/>
    <w:uiPriority w:val="99"/>
    <w:semiHidden/>
    <w:rsid w:val="00C3689D"/>
    <w:rPr>
      <w:rFonts w:ascii="Calibri" w:eastAsia="宋体" w:hAnsi="Calibri" w:cs="宋体"/>
      <w:kern w:val="0"/>
      <w:szCs w:val="21"/>
    </w:rPr>
  </w:style>
  <w:style w:type="paragraph" w:styleId="a7">
    <w:name w:val="annotation subject"/>
    <w:basedOn w:val="a6"/>
    <w:next w:val="a6"/>
    <w:link w:val="Char2"/>
    <w:uiPriority w:val="99"/>
    <w:semiHidden/>
    <w:unhideWhenUsed/>
    <w:rsid w:val="00C3689D"/>
    <w:rPr>
      <w:b/>
      <w:bCs/>
    </w:rPr>
  </w:style>
  <w:style w:type="character" w:customStyle="1" w:styleId="Char2">
    <w:name w:val="批注主题 Char"/>
    <w:basedOn w:val="Char1"/>
    <w:link w:val="a7"/>
    <w:uiPriority w:val="99"/>
    <w:semiHidden/>
    <w:rsid w:val="00C3689D"/>
    <w:rPr>
      <w:rFonts w:ascii="Calibri" w:eastAsia="宋体" w:hAnsi="Calibri" w:cs="宋体"/>
      <w:b/>
      <w:bCs/>
      <w:kern w:val="0"/>
      <w:szCs w:val="21"/>
    </w:rPr>
  </w:style>
  <w:style w:type="paragraph" w:styleId="a8">
    <w:name w:val="Balloon Text"/>
    <w:basedOn w:val="a"/>
    <w:link w:val="Char3"/>
    <w:uiPriority w:val="99"/>
    <w:semiHidden/>
    <w:unhideWhenUsed/>
    <w:rsid w:val="00C3689D"/>
    <w:rPr>
      <w:sz w:val="18"/>
      <w:szCs w:val="18"/>
    </w:rPr>
  </w:style>
  <w:style w:type="character" w:customStyle="1" w:styleId="Char3">
    <w:name w:val="批注框文本 Char"/>
    <w:basedOn w:val="a0"/>
    <w:link w:val="a8"/>
    <w:uiPriority w:val="99"/>
    <w:semiHidden/>
    <w:rsid w:val="00C3689D"/>
    <w:rPr>
      <w:rFonts w:ascii="Calibri" w:eastAsia="宋体" w:hAnsi="Calibri" w:cs="宋体"/>
      <w:kern w:val="0"/>
      <w:sz w:val="18"/>
      <w:szCs w:val="18"/>
    </w:rPr>
  </w:style>
</w:styles>
</file>

<file path=word/webSettings.xml><?xml version="1.0" encoding="utf-8"?>
<w:webSettings xmlns:r="http://schemas.openxmlformats.org/officeDocument/2006/relationships" xmlns:w="http://schemas.openxmlformats.org/wordprocessingml/2006/main">
  <w:divs>
    <w:div w:id="9450541">
      <w:bodyDiv w:val="1"/>
      <w:marLeft w:val="0"/>
      <w:marRight w:val="0"/>
      <w:marTop w:val="0"/>
      <w:marBottom w:val="0"/>
      <w:divBdr>
        <w:top w:val="none" w:sz="0" w:space="0" w:color="auto"/>
        <w:left w:val="none" w:sz="0" w:space="0" w:color="auto"/>
        <w:bottom w:val="none" w:sz="0" w:space="0" w:color="auto"/>
        <w:right w:val="none" w:sz="0" w:space="0" w:color="auto"/>
      </w:divBdr>
    </w:div>
    <w:div w:id="18748671">
      <w:bodyDiv w:val="1"/>
      <w:marLeft w:val="0"/>
      <w:marRight w:val="0"/>
      <w:marTop w:val="0"/>
      <w:marBottom w:val="0"/>
      <w:divBdr>
        <w:top w:val="none" w:sz="0" w:space="0" w:color="auto"/>
        <w:left w:val="none" w:sz="0" w:space="0" w:color="auto"/>
        <w:bottom w:val="none" w:sz="0" w:space="0" w:color="auto"/>
        <w:right w:val="none" w:sz="0" w:space="0" w:color="auto"/>
      </w:divBdr>
    </w:div>
    <w:div w:id="165437023">
      <w:bodyDiv w:val="1"/>
      <w:marLeft w:val="0"/>
      <w:marRight w:val="0"/>
      <w:marTop w:val="0"/>
      <w:marBottom w:val="0"/>
      <w:divBdr>
        <w:top w:val="none" w:sz="0" w:space="0" w:color="auto"/>
        <w:left w:val="none" w:sz="0" w:space="0" w:color="auto"/>
        <w:bottom w:val="none" w:sz="0" w:space="0" w:color="auto"/>
        <w:right w:val="none" w:sz="0" w:space="0" w:color="auto"/>
      </w:divBdr>
    </w:div>
    <w:div w:id="253630156">
      <w:bodyDiv w:val="1"/>
      <w:marLeft w:val="0"/>
      <w:marRight w:val="0"/>
      <w:marTop w:val="0"/>
      <w:marBottom w:val="0"/>
      <w:divBdr>
        <w:top w:val="none" w:sz="0" w:space="0" w:color="auto"/>
        <w:left w:val="none" w:sz="0" w:space="0" w:color="auto"/>
        <w:bottom w:val="none" w:sz="0" w:space="0" w:color="auto"/>
        <w:right w:val="none" w:sz="0" w:space="0" w:color="auto"/>
      </w:divBdr>
    </w:div>
    <w:div w:id="507840124">
      <w:bodyDiv w:val="1"/>
      <w:marLeft w:val="0"/>
      <w:marRight w:val="0"/>
      <w:marTop w:val="0"/>
      <w:marBottom w:val="0"/>
      <w:divBdr>
        <w:top w:val="none" w:sz="0" w:space="0" w:color="auto"/>
        <w:left w:val="none" w:sz="0" w:space="0" w:color="auto"/>
        <w:bottom w:val="none" w:sz="0" w:space="0" w:color="auto"/>
        <w:right w:val="none" w:sz="0" w:space="0" w:color="auto"/>
      </w:divBdr>
    </w:div>
    <w:div w:id="572087533">
      <w:bodyDiv w:val="1"/>
      <w:marLeft w:val="0"/>
      <w:marRight w:val="0"/>
      <w:marTop w:val="0"/>
      <w:marBottom w:val="0"/>
      <w:divBdr>
        <w:top w:val="none" w:sz="0" w:space="0" w:color="auto"/>
        <w:left w:val="none" w:sz="0" w:space="0" w:color="auto"/>
        <w:bottom w:val="none" w:sz="0" w:space="0" w:color="auto"/>
        <w:right w:val="none" w:sz="0" w:space="0" w:color="auto"/>
      </w:divBdr>
    </w:div>
    <w:div w:id="704066805">
      <w:bodyDiv w:val="1"/>
      <w:marLeft w:val="0"/>
      <w:marRight w:val="0"/>
      <w:marTop w:val="0"/>
      <w:marBottom w:val="0"/>
      <w:divBdr>
        <w:top w:val="none" w:sz="0" w:space="0" w:color="auto"/>
        <w:left w:val="none" w:sz="0" w:space="0" w:color="auto"/>
        <w:bottom w:val="none" w:sz="0" w:space="0" w:color="auto"/>
        <w:right w:val="none" w:sz="0" w:space="0" w:color="auto"/>
      </w:divBdr>
    </w:div>
    <w:div w:id="898056625">
      <w:bodyDiv w:val="1"/>
      <w:marLeft w:val="0"/>
      <w:marRight w:val="0"/>
      <w:marTop w:val="0"/>
      <w:marBottom w:val="0"/>
      <w:divBdr>
        <w:top w:val="none" w:sz="0" w:space="0" w:color="auto"/>
        <w:left w:val="none" w:sz="0" w:space="0" w:color="auto"/>
        <w:bottom w:val="none" w:sz="0" w:space="0" w:color="auto"/>
        <w:right w:val="none" w:sz="0" w:space="0" w:color="auto"/>
      </w:divBdr>
    </w:div>
    <w:div w:id="915819633">
      <w:bodyDiv w:val="1"/>
      <w:marLeft w:val="0"/>
      <w:marRight w:val="0"/>
      <w:marTop w:val="0"/>
      <w:marBottom w:val="0"/>
      <w:divBdr>
        <w:top w:val="none" w:sz="0" w:space="0" w:color="auto"/>
        <w:left w:val="none" w:sz="0" w:space="0" w:color="auto"/>
        <w:bottom w:val="none" w:sz="0" w:space="0" w:color="auto"/>
        <w:right w:val="none" w:sz="0" w:space="0" w:color="auto"/>
      </w:divBdr>
    </w:div>
    <w:div w:id="973874657">
      <w:bodyDiv w:val="1"/>
      <w:marLeft w:val="0"/>
      <w:marRight w:val="0"/>
      <w:marTop w:val="0"/>
      <w:marBottom w:val="0"/>
      <w:divBdr>
        <w:top w:val="none" w:sz="0" w:space="0" w:color="auto"/>
        <w:left w:val="none" w:sz="0" w:space="0" w:color="auto"/>
        <w:bottom w:val="none" w:sz="0" w:space="0" w:color="auto"/>
        <w:right w:val="none" w:sz="0" w:space="0" w:color="auto"/>
      </w:divBdr>
    </w:div>
    <w:div w:id="1237863547">
      <w:bodyDiv w:val="1"/>
      <w:marLeft w:val="0"/>
      <w:marRight w:val="0"/>
      <w:marTop w:val="0"/>
      <w:marBottom w:val="0"/>
      <w:divBdr>
        <w:top w:val="none" w:sz="0" w:space="0" w:color="auto"/>
        <w:left w:val="none" w:sz="0" w:space="0" w:color="auto"/>
        <w:bottom w:val="none" w:sz="0" w:space="0" w:color="auto"/>
        <w:right w:val="none" w:sz="0" w:space="0" w:color="auto"/>
      </w:divBdr>
    </w:div>
    <w:div w:id="1433086032">
      <w:bodyDiv w:val="1"/>
      <w:marLeft w:val="0"/>
      <w:marRight w:val="0"/>
      <w:marTop w:val="0"/>
      <w:marBottom w:val="0"/>
      <w:divBdr>
        <w:top w:val="none" w:sz="0" w:space="0" w:color="auto"/>
        <w:left w:val="none" w:sz="0" w:space="0" w:color="auto"/>
        <w:bottom w:val="none" w:sz="0" w:space="0" w:color="auto"/>
        <w:right w:val="none" w:sz="0" w:space="0" w:color="auto"/>
      </w:divBdr>
    </w:div>
    <w:div w:id="1473405111">
      <w:bodyDiv w:val="1"/>
      <w:marLeft w:val="0"/>
      <w:marRight w:val="0"/>
      <w:marTop w:val="0"/>
      <w:marBottom w:val="0"/>
      <w:divBdr>
        <w:top w:val="none" w:sz="0" w:space="0" w:color="auto"/>
        <w:left w:val="none" w:sz="0" w:space="0" w:color="auto"/>
        <w:bottom w:val="none" w:sz="0" w:space="0" w:color="auto"/>
        <w:right w:val="none" w:sz="0" w:space="0" w:color="auto"/>
      </w:divBdr>
    </w:div>
    <w:div w:id="1597980973">
      <w:bodyDiv w:val="1"/>
      <w:marLeft w:val="0"/>
      <w:marRight w:val="0"/>
      <w:marTop w:val="0"/>
      <w:marBottom w:val="0"/>
      <w:divBdr>
        <w:top w:val="none" w:sz="0" w:space="0" w:color="auto"/>
        <w:left w:val="none" w:sz="0" w:space="0" w:color="auto"/>
        <w:bottom w:val="none" w:sz="0" w:space="0" w:color="auto"/>
        <w:right w:val="none" w:sz="0" w:space="0" w:color="auto"/>
      </w:divBdr>
    </w:div>
    <w:div w:id="1666785104">
      <w:bodyDiv w:val="1"/>
      <w:marLeft w:val="0"/>
      <w:marRight w:val="0"/>
      <w:marTop w:val="0"/>
      <w:marBottom w:val="0"/>
      <w:divBdr>
        <w:top w:val="none" w:sz="0" w:space="0" w:color="auto"/>
        <w:left w:val="none" w:sz="0" w:space="0" w:color="auto"/>
        <w:bottom w:val="none" w:sz="0" w:space="0" w:color="auto"/>
        <w:right w:val="none" w:sz="0" w:space="0" w:color="auto"/>
      </w:divBdr>
    </w:div>
    <w:div w:id="2015255832">
      <w:bodyDiv w:val="1"/>
      <w:marLeft w:val="0"/>
      <w:marRight w:val="0"/>
      <w:marTop w:val="0"/>
      <w:marBottom w:val="0"/>
      <w:divBdr>
        <w:top w:val="none" w:sz="0" w:space="0" w:color="auto"/>
        <w:left w:val="none" w:sz="0" w:space="0" w:color="auto"/>
        <w:bottom w:val="none" w:sz="0" w:space="0" w:color="auto"/>
        <w:right w:val="none" w:sz="0" w:space="0" w:color="auto"/>
      </w:divBdr>
    </w:div>
    <w:div w:id="20686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897</Characters>
  <Application>Microsoft Office Word</Application>
  <DocSecurity>4</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冯浩然</dc:creator>
  <cp:lastModifiedBy>ZHONGM</cp:lastModifiedBy>
  <cp:revision>2</cp:revision>
  <cp:lastPrinted>2018-02-06T07:20:00Z</cp:lastPrinted>
  <dcterms:created xsi:type="dcterms:W3CDTF">2020-08-11T16:01:00Z</dcterms:created>
  <dcterms:modified xsi:type="dcterms:W3CDTF">2020-08-11T16:01:00Z</dcterms:modified>
</cp:coreProperties>
</file>