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A5" w:rsidRPr="00D92A22" w:rsidRDefault="00825EA5" w:rsidP="009B58D0">
      <w:pPr>
        <w:widowControl/>
        <w:autoSpaceDE w:val="0"/>
        <w:autoSpaceDN w:val="0"/>
        <w:ind w:firstLine="482"/>
        <w:jc w:val="center"/>
        <w:textAlignment w:val="bottom"/>
        <w:rPr>
          <w:rFonts w:ascii="宋体" w:hAnsi="宋体" w:hint="eastAsia"/>
          <w:b/>
        </w:rPr>
      </w:pPr>
    </w:p>
    <w:p w:rsidR="00825EA5" w:rsidRPr="00D92A22" w:rsidRDefault="00825EA5" w:rsidP="009B58D0">
      <w:pPr>
        <w:widowControl/>
        <w:autoSpaceDE w:val="0"/>
        <w:autoSpaceDN w:val="0"/>
        <w:ind w:firstLine="482"/>
        <w:jc w:val="center"/>
        <w:textAlignment w:val="bottom"/>
        <w:rPr>
          <w:rFonts w:ascii="宋体" w:hAnsi="宋体"/>
          <w:b/>
        </w:rPr>
      </w:pPr>
    </w:p>
    <w:p w:rsidR="00825EA5" w:rsidRPr="00D92A22" w:rsidRDefault="00825EA5" w:rsidP="009B58D0">
      <w:pPr>
        <w:widowControl/>
        <w:autoSpaceDE w:val="0"/>
        <w:autoSpaceDN w:val="0"/>
        <w:ind w:firstLine="482"/>
        <w:jc w:val="center"/>
        <w:textAlignment w:val="bottom"/>
        <w:rPr>
          <w:rFonts w:ascii="宋体" w:hAnsi="宋体"/>
          <w:b/>
        </w:rPr>
      </w:pPr>
    </w:p>
    <w:p w:rsidR="00825EA5" w:rsidRPr="00D92A22" w:rsidRDefault="00825EA5" w:rsidP="009B58D0">
      <w:pPr>
        <w:widowControl/>
        <w:autoSpaceDE w:val="0"/>
        <w:autoSpaceDN w:val="0"/>
        <w:ind w:firstLine="482"/>
        <w:jc w:val="center"/>
        <w:textAlignment w:val="bottom"/>
        <w:rPr>
          <w:rFonts w:ascii="宋体" w:hAnsi="宋体"/>
          <w:b/>
        </w:rPr>
      </w:pPr>
    </w:p>
    <w:p w:rsidR="00825EA5" w:rsidRPr="00D92A22" w:rsidRDefault="00825EA5" w:rsidP="009B58D0">
      <w:pPr>
        <w:widowControl/>
        <w:autoSpaceDE w:val="0"/>
        <w:autoSpaceDN w:val="0"/>
        <w:spacing w:after="240"/>
        <w:ind w:firstLine="482"/>
        <w:jc w:val="center"/>
        <w:textAlignment w:val="bottom"/>
        <w:rPr>
          <w:rFonts w:ascii="宋体" w:hAnsi="宋体"/>
          <w:b/>
        </w:rPr>
      </w:pPr>
    </w:p>
    <w:p w:rsidR="00F84AF3" w:rsidRDefault="00114B27" w:rsidP="0034520F">
      <w:pPr>
        <w:pStyle w:val="11"/>
        <w:tabs>
          <w:tab w:val="right" w:leader="dot" w:pos="8296"/>
        </w:tabs>
        <w:spacing w:after="0"/>
        <w:ind w:firstLine="720"/>
        <w:jc w:val="center"/>
        <w:rPr>
          <w:rFonts w:ascii="宋体" w:hAnsi="宋体"/>
          <w:sz w:val="36"/>
        </w:rPr>
      </w:pPr>
      <w:bookmarkStart w:id="0" w:name="_Toc174790124"/>
      <w:r>
        <w:rPr>
          <w:rFonts w:ascii="宋体" w:hAnsi="宋体" w:hint="eastAsia"/>
          <w:sz w:val="36"/>
        </w:rPr>
        <w:t>富国恒生中国企业交易型开放式指数</w:t>
      </w:r>
    </w:p>
    <w:p w:rsidR="000A0669" w:rsidRDefault="00114B27" w:rsidP="0034520F">
      <w:pPr>
        <w:pStyle w:val="11"/>
        <w:tabs>
          <w:tab w:val="right" w:leader="dot" w:pos="8296"/>
        </w:tabs>
        <w:spacing w:after="0"/>
        <w:ind w:firstLine="720"/>
        <w:jc w:val="center"/>
        <w:rPr>
          <w:rFonts w:ascii="宋体" w:hAnsi="宋体" w:hint="eastAsia"/>
          <w:sz w:val="36"/>
        </w:rPr>
      </w:pPr>
      <w:r>
        <w:rPr>
          <w:rFonts w:ascii="宋体" w:hAnsi="宋体" w:hint="eastAsia"/>
          <w:sz w:val="36"/>
        </w:rPr>
        <w:t>证券投资基金招募说明书（更新）</w:t>
      </w:r>
    </w:p>
    <w:bookmarkEnd w:id="0"/>
    <w:p w:rsidR="0075677D" w:rsidRPr="0075677D" w:rsidRDefault="0075677D" w:rsidP="009B58D0">
      <w:pPr>
        <w:ind w:firstLine="723"/>
        <w:jc w:val="center"/>
        <w:rPr>
          <w:rFonts w:ascii="宋体" w:hAnsi="宋体" w:hint="eastAsia"/>
          <w:b/>
          <w:bCs/>
          <w:caps/>
          <w:sz w:val="36"/>
          <w:szCs w:val="20"/>
        </w:rPr>
      </w:pPr>
      <w:r w:rsidRPr="0075677D">
        <w:rPr>
          <w:rFonts w:ascii="宋体" w:hAnsi="宋体" w:hint="eastAsia"/>
          <w:b/>
          <w:bCs/>
          <w:caps/>
          <w:sz w:val="36"/>
          <w:szCs w:val="20"/>
        </w:rPr>
        <w:t>（摘要）</w:t>
      </w:r>
    </w:p>
    <w:p w:rsidR="00825EA5" w:rsidRPr="0046299B" w:rsidRDefault="00825EA5" w:rsidP="009B58D0">
      <w:pPr>
        <w:ind w:firstLine="480"/>
        <w:rPr>
          <w:rFonts w:ascii="宋体" w:hAnsi="宋体"/>
        </w:rPr>
      </w:pPr>
    </w:p>
    <w:p w:rsidR="00825EA5" w:rsidRPr="00D92A22" w:rsidRDefault="00825EA5" w:rsidP="0046299B">
      <w:pPr>
        <w:widowControl/>
        <w:autoSpaceDE w:val="0"/>
        <w:autoSpaceDN w:val="0"/>
        <w:spacing w:after="240"/>
        <w:ind w:firstLine="482"/>
        <w:jc w:val="center"/>
        <w:textAlignment w:val="bottom"/>
        <w:rPr>
          <w:rFonts w:ascii="宋体" w:hAnsi="宋体"/>
          <w:b/>
        </w:rPr>
      </w:pPr>
      <w:r w:rsidRPr="00D92A22">
        <w:rPr>
          <w:rFonts w:ascii="宋体" w:hAnsi="宋体" w:hint="eastAsia"/>
          <w:b/>
        </w:rPr>
        <w:t>（</w:t>
      </w:r>
      <w:r w:rsidR="00114B27">
        <w:rPr>
          <w:rFonts w:ascii="宋体" w:hAnsi="宋体" w:hint="eastAsia"/>
          <w:b/>
        </w:rPr>
        <w:t>二</w:t>
      </w:r>
      <w:r w:rsidR="00114B27">
        <w:rPr>
          <w:rFonts w:ascii="宋体" w:hAnsi="宋体"/>
          <w:b/>
        </w:rPr>
        <w:t>0二0</w:t>
      </w:r>
      <w:r w:rsidR="00146676">
        <w:rPr>
          <w:rFonts w:ascii="宋体" w:hAnsi="宋体"/>
          <w:b/>
        </w:rPr>
        <w:t>年第</w:t>
      </w:r>
      <w:r w:rsidR="00444945">
        <w:rPr>
          <w:rFonts w:ascii="宋体" w:hAnsi="宋体"/>
          <w:b/>
        </w:rPr>
        <w:t>三</w:t>
      </w:r>
      <w:r w:rsidR="00114B27">
        <w:rPr>
          <w:rFonts w:ascii="宋体" w:hAnsi="宋体"/>
          <w:b/>
        </w:rPr>
        <w:t>号</w:t>
      </w:r>
      <w:r w:rsidRPr="00D92A22">
        <w:rPr>
          <w:rFonts w:ascii="宋体" w:hAnsi="宋体" w:hint="eastAsia"/>
          <w:b/>
        </w:rPr>
        <w:t>）</w:t>
      </w:r>
    </w:p>
    <w:p w:rsidR="00825EA5" w:rsidRPr="0075677D" w:rsidRDefault="00825EA5" w:rsidP="009B58D0">
      <w:pPr>
        <w:widowControl/>
        <w:autoSpaceDE w:val="0"/>
        <w:autoSpaceDN w:val="0"/>
        <w:spacing w:after="240"/>
        <w:ind w:firstLine="480"/>
        <w:jc w:val="left"/>
        <w:textAlignment w:val="bottom"/>
        <w:rPr>
          <w:rFonts w:ascii="宋体" w:hAnsi="宋体"/>
        </w:rPr>
      </w:pPr>
    </w:p>
    <w:p w:rsidR="00E63CF8" w:rsidRDefault="00E63CF8" w:rsidP="00A202EB">
      <w:pPr>
        <w:ind w:firstLine="480"/>
        <w:rPr>
          <w:rFonts w:ascii="宋体" w:hAnsi="宋体" w:hint="eastAsia"/>
        </w:rPr>
      </w:pPr>
    </w:p>
    <w:p w:rsidR="007C5A7F" w:rsidRDefault="007C5A7F" w:rsidP="00A202EB">
      <w:pPr>
        <w:ind w:firstLine="480"/>
        <w:rPr>
          <w:rFonts w:ascii="宋体" w:hAnsi="宋体"/>
        </w:rPr>
        <w:sectPr w:rsidR="007C5A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pPr>
    </w:p>
    <w:p w:rsidR="002D5672" w:rsidRPr="002D5672" w:rsidRDefault="00825EA5" w:rsidP="002C4552">
      <w:pPr>
        <w:snapToGrid w:val="0"/>
        <w:ind w:firstLine="643"/>
        <w:jc w:val="center"/>
        <w:rPr>
          <w:rFonts w:ascii="宋体" w:hAnsi="宋体"/>
          <w:b/>
          <w:bCs/>
        </w:rPr>
      </w:pPr>
      <w:r w:rsidRPr="00D92A22">
        <w:rPr>
          <w:rFonts w:ascii="宋体" w:hAnsi="宋体"/>
          <w:b/>
          <w:bCs/>
          <w:sz w:val="32"/>
        </w:rPr>
        <w:lastRenderedPageBreak/>
        <w:t>重要提示</w:t>
      </w:r>
    </w:p>
    <w:p w:rsidR="00114B27" w:rsidRDefault="00114B27" w:rsidP="00D7392F">
      <w:pPr>
        <w:ind w:firstLine="480"/>
        <w:rPr>
          <w:rFonts w:ascii="宋体" w:hAnsi="宋体"/>
        </w:rPr>
      </w:pPr>
      <w:r>
        <w:rPr>
          <w:rFonts w:ascii="宋体" w:hAnsi="宋体" w:hint="eastAsia"/>
        </w:rPr>
        <w:t>富国恒生中国企业交易型开放式指数证券投资基金（以下简称“本基金”）已于</w:t>
      </w:r>
      <w:r>
        <w:rPr>
          <w:rFonts w:ascii="宋体" w:hAnsi="宋体"/>
        </w:rPr>
        <w:t>2018年5月31日获得中国证监会准予注册的批复（证监许可〔2018〕905号《关于准予富国恒生中国企业交易型开放式指数证券投资基金注册的批复》）。</w:t>
      </w:r>
    </w:p>
    <w:p w:rsidR="00114B27" w:rsidRDefault="00114B27" w:rsidP="00D7392F">
      <w:pPr>
        <w:ind w:firstLine="480"/>
        <w:rPr>
          <w:rFonts w:ascii="宋体" w:hAnsi="宋体"/>
        </w:rPr>
      </w:pPr>
      <w:r>
        <w:rPr>
          <w:rFonts w:ascii="宋体" w:hAnsi="宋体" w:hint="eastAsia"/>
        </w:rPr>
        <w:t>基金管理人保证本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114B27" w:rsidRDefault="00114B27" w:rsidP="00D7392F">
      <w:pPr>
        <w:ind w:firstLine="480"/>
        <w:rPr>
          <w:rFonts w:ascii="宋体" w:hAnsi="宋体"/>
        </w:rPr>
      </w:pPr>
      <w:r>
        <w:rPr>
          <w:rFonts w:ascii="宋体" w:hAnsi="宋体" w:hint="eastAsia"/>
        </w:rPr>
        <w:t>本基金主要通过港股互联互通机制投资于香港证券市场，除了需要承担与境内证券投资基金类似的市场波动风险等一般投资风险之外，本基金还面临汇率风险、香港市场风险等境外证券市场投资所面临的特别投资风险，基金净值会因为香港证券市场波动等因素产生波动，投资者根据所持有的基金份额享受基金收益，同时承担相应的投资风险。本基金投资中的风险包括：因政治、经济、社会等环境因素对证券价格产生影响而形成的系统性风险、汇率风险、港股交易失败风险；基金所投资的股票、债券、衍生品等各种投资工具的相关风险；由于基金份额持有人连续大量赎回基金产生的流动性风险；本基金的特定风险等。本基金是股票基金，风险与收益高于货币市场基金、债券基金和混合基金。本基金主要投资于标的指数成份股及备选成份股，具有与标的指数相似的风险收益特征，在股票基金中属于中等风险、中等收益的产品。</w:t>
      </w:r>
    </w:p>
    <w:p w:rsidR="00114B27" w:rsidRDefault="00114B27" w:rsidP="00D7392F">
      <w:pPr>
        <w:ind w:firstLine="480"/>
        <w:rPr>
          <w:rFonts w:ascii="宋体" w:hAnsi="宋体"/>
        </w:rPr>
      </w:pPr>
      <w:r>
        <w:rPr>
          <w:rFonts w:ascii="宋体" w:hAnsi="宋体" w:hint="eastAsia"/>
        </w:rPr>
        <w:t>投资有风险，投资者认购（或申购）基金时应认真阅读本招募说明书。基金管理人提醒投资者基金投资的“买者自负”原则，在投资者作出投资决策后，基金运营状况与基金净值变化引致的投资风险，由投资者自行负责。</w:t>
      </w:r>
    </w:p>
    <w:p w:rsidR="00114B27" w:rsidRDefault="00114B27" w:rsidP="00D7392F">
      <w:pPr>
        <w:ind w:firstLine="480"/>
        <w:rPr>
          <w:rFonts w:ascii="宋体" w:hAnsi="宋体"/>
        </w:rPr>
      </w:pPr>
      <w:r>
        <w:rPr>
          <w:rFonts w:ascii="宋体" w:hAnsi="宋体" w:hint="eastAsia"/>
        </w:rPr>
        <w:t>投资者认购本基金时需具有深圳证券账户，但需注意：使用基金账户只能参与本基金的现金认购和二级市场交易，如投资者需要参与基金的申购、赎回，则应使用</w:t>
      </w:r>
      <w:r>
        <w:rPr>
          <w:rFonts w:ascii="宋体" w:hAnsi="宋体"/>
        </w:rPr>
        <w:t>A股账户。本基金以人民币募集和计价，主要通过港股通投资于香港市场以港币计价的金融工具，人民币对港币的汇率的波动可能加大基金净值的波动，从而对基金业绩产生影响。</w:t>
      </w:r>
    </w:p>
    <w:p w:rsidR="00114B27" w:rsidRDefault="00114B27" w:rsidP="00D7392F">
      <w:pPr>
        <w:ind w:firstLine="480"/>
        <w:rPr>
          <w:rFonts w:ascii="宋体" w:hAnsi="宋体"/>
        </w:rPr>
      </w:pPr>
      <w:r>
        <w:rPr>
          <w:rFonts w:ascii="宋体" w:hAnsi="宋体" w:hint="eastAsia"/>
        </w:rPr>
        <w:t>基金的过往业绩并不预示其未来表现。基金管理人管理的其他基金的业绩并不构成新基金业绩表现的保证。</w:t>
      </w:r>
    </w:p>
    <w:p w:rsidR="00114B27" w:rsidRDefault="00114B27" w:rsidP="00D7392F">
      <w:pPr>
        <w:ind w:firstLine="480"/>
        <w:rPr>
          <w:rFonts w:ascii="宋体" w:hAnsi="宋体"/>
        </w:rPr>
      </w:pPr>
      <w:r>
        <w:rPr>
          <w:rFonts w:ascii="宋体" w:hAnsi="宋体" w:hint="eastAsia"/>
        </w:rPr>
        <w:lastRenderedPageBreak/>
        <w:t>基金管理人依照恪尽职守、诚实信用、谨慎勤勉的原则管理和运用基金财产，但不保证基金一定盈利，也不保证最低收益。</w:t>
      </w:r>
    </w:p>
    <w:p w:rsidR="00114B27" w:rsidRDefault="00114B27" w:rsidP="00D7392F">
      <w:pPr>
        <w:ind w:firstLine="480"/>
        <w:rPr>
          <w:rFonts w:ascii="宋体" w:hAnsi="宋体"/>
        </w:rPr>
      </w:pPr>
      <w:r>
        <w:rPr>
          <w:rFonts w:ascii="宋体" w:hAnsi="宋体" w:hint="eastAsia"/>
        </w:rPr>
        <w:t>本基金投资相关股票市场交易互联互通机制试点允许买卖的规定范围内的香港联合交易所上市的股票（以下简称“港股通标的股票”），将承担港股通机制下因投资环境、投资标的、市场制度以及交易规则等差异带来的特有风险。</w:t>
      </w:r>
    </w:p>
    <w:p w:rsidR="00114B27" w:rsidRDefault="00114B27" w:rsidP="00D7392F">
      <w:pPr>
        <w:ind w:firstLine="480"/>
        <w:rPr>
          <w:rFonts w:ascii="宋体" w:hAnsi="宋体"/>
        </w:rPr>
      </w:pPr>
      <w:r>
        <w:rPr>
          <w:rFonts w:ascii="宋体" w:hAnsi="宋体" w:hint="eastAsia"/>
        </w:rPr>
        <w:t>本招募说明书所载内容截止至</w:t>
      </w:r>
      <w:r>
        <w:rPr>
          <w:rFonts w:ascii="宋体" w:hAnsi="宋体"/>
        </w:rPr>
        <w:t>2020年1月20日，基金投资组合报告和基金业绩表现截止至2019年12月31日（财务数据未经审计）。</w:t>
      </w:r>
    </w:p>
    <w:p w:rsidR="00640E3E" w:rsidRPr="00D7392F" w:rsidRDefault="00114B27" w:rsidP="00DD4E2D">
      <w:pPr>
        <w:ind w:firstLine="480"/>
        <w:rPr>
          <w:rFonts w:ascii="宋体" w:hAnsi="宋体" w:hint="eastAsia"/>
        </w:rPr>
      </w:pPr>
      <w:r>
        <w:rPr>
          <w:rFonts w:ascii="宋体" w:hAnsi="宋体" w:hint="eastAsia"/>
        </w:rPr>
        <w:t>本次主要更新内容如下：</w:t>
      </w:r>
      <w:r w:rsidR="00DD4E2D" w:rsidRPr="00DD4E2D">
        <w:rPr>
          <w:rFonts w:ascii="宋体" w:hAnsi="宋体" w:hint="eastAsia"/>
        </w:rPr>
        <w:t>在“第三部分 基金管理人”部分，更新了基金经理的相关信息。</w:t>
      </w:r>
    </w:p>
    <w:p w:rsidR="00C93E26" w:rsidRPr="00FA70E4" w:rsidRDefault="00C93E26" w:rsidP="00C93E26">
      <w:pPr>
        <w:pStyle w:val="1"/>
        <w:keepLines/>
        <w:numPr>
          <w:ilvl w:val="0"/>
          <w:numId w:val="15"/>
        </w:numPr>
        <w:ind w:left="0" w:firstLine="562"/>
      </w:pPr>
      <w:bookmarkStart w:id="1" w:name="_Toc174790128"/>
      <w:r w:rsidRPr="00FA70E4">
        <w:t>基金管理人</w:t>
      </w:r>
    </w:p>
    <w:p w:rsidR="00C93E26" w:rsidRPr="003746BB" w:rsidRDefault="00C93E26" w:rsidP="00C93E26">
      <w:pPr>
        <w:pStyle w:val="2"/>
        <w:numPr>
          <w:ilvl w:val="1"/>
          <w:numId w:val="15"/>
        </w:numPr>
        <w:ind w:firstLine="482"/>
      </w:pPr>
      <w:r w:rsidRPr="003746BB">
        <w:t>基金管理人概况</w:t>
      </w:r>
      <w:r w:rsidRPr="003746BB">
        <w:t xml:space="preserve"> </w:t>
      </w:r>
    </w:p>
    <w:p w:rsidR="00114B27" w:rsidRDefault="00114B27" w:rsidP="003D7B6D">
      <w:pPr>
        <w:ind w:firstLine="480"/>
        <w:rPr>
          <w:rFonts w:ascii="宋体" w:hAnsi="宋体"/>
        </w:rPr>
      </w:pPr>
      <w:r>
        <w:rPr>
          <w:rFonts w:ascii="宋体" w:hAnsi="宋体" w:hint="eastAsia"/>
        </w:rPr>
        <w:t>名称：富国基金管理有限公司</w:t>
      </w:r>
    </w:p>
    <w:p w:rsidR="00114B27" w:rsidRDefault="00114B27" w:rsidP="003D7B6D">
      <w:pPr>
        <w:ind w:firstLine="480"/>
        <w:rPr>
          <w:rFonts w:ascii="宋体" w:hAnsi="宋体"/>
        </w:rPr>
      </w:pPr>
      <w:r>
        <w:rPr>
          <w:rFonts w:ascii="宋体" w:hAnsi="宋体" w:hint="eastAsia"/>
        </w:rPr>
        <w:t>注册地址：中国（上海）自由贸易试验区</w:t>
      </w:r>
      <w:r w:rsidR="001D6C39" w:rsidRPr="006D45B7">
        <w:rPr>
          <w:rFonts w:hint="eastAsia"/>
        </w:rPr>
        <w:t>世纪大道</w:t>
      </w:r>
      <w:r w:rsidR="001D6C39" w:rsidRPr="006D45B7">
        <w:rPr>
          <w:rFonts w:hint="eastAsia"/>
        </w:rPr>
        <w:t>1196</w:t>
      </w:r>
      <w:r w:rsidR="001D6C39" w:rsidRPr="006D45B7">
        <w:rPr>
          <w:rFonts w:hint="eastAsia"/>
        </w:rPr>
        <w:t>号世纪汇办公楼二座</w:t>
      </w:r>
      <w:r w:rsidR="001D6C39" w:rsidRPr="006D45B7">
        <w:rPr>
          <w:rFonts w:hint="eastAsia"/>
        </w:rPr>
        <w:t>27-30</w:t>
      </w:r>
      <w:r w:rsidR="001D6C39" w:rsidRPr="006D45B7">
        <w:rPr>
          <w:rFonts w:hint="eastAsia"/>
        </w:rPr>
        <w:t>层</w:t>
      </w:r>
    </w:p>
    <w:p w:rsidR="00114B27" w:rsidRDefault="00114B27" w:rsidP="003D7B6D">
      <w:pPr>
        <w:ind w:firstLine="480"/>
        <w:rPr>
          <w:rFonts w:ascii="宋体" w:hAnsi="宋体"/>
        </w:rPr>
      </w:pPr>
      <w:r>
        <w:rPr>
          <w:rFonts w:ascii="宋体" w:hAnsi="宋体" w:hint="eastAsia"/>
        </w:rPr>
        <w:t>办公地址：上海市浦东新区</w:t>
      </w:r>
      <w:r w:rsidR="001D6C39" w:rsidRPr="006D45B7">
        <w:rPr>
          <w:rFonts w:hint="eastAsia"/>
        </w:rPr>
        <w:t>世纪大道</w:t>
      </w:r>
      <w:r w:rsidR="001D6C39" w:rsidRPr="006D45B7">
        <w:rPr>
          <w:rFonts w:hint="eastAsia"/>
        </w:rPr>
        <w:t>1196</w:t>
      </w:r>
      <w:r w:rsidR="001D6C39" w:rsidRPr="006D45B7">
        <w:rPr>
          <w:rFonts w:hint="eastAsia"/>
        </w:rPr>
        <w:t>号世纪汇办公楼二座</w:t>
      </w:r>
      <w:r w:rsidR="001D6C39" w:rsidRPr="006D45B7">
        <w:rPr>
          <w:rFonts w:hint="eastAsia"/>
        </w:rPr>
        <w:t>27-30</w:t>
      </w:r>
      <w:r w:rsidR="001D6C39" w:rsidRPr="006D45B7">
        <w:rPr>
          <w:rFonts w:hint="eastAsia"/>
        </w:rPr>
        <w:t>层</w:t>
      </w:r>
    </w:p>
    <w:p w:rsidR="00114B27" w:rsidRDefault="00114B27" w:rsidP="003D7B6D">
      <w:pPr>
        <w:ind w:firstLine="480"/>
        <w:rPr>
          <w:rFonts w:ascii="宋体" w:hAnsi="宋体"/>
        </w:rPr>
      </w:pPr>
      <w:r>
        <w:rPr>
          <w:rFonts w:ascii="宋体" w:hAnsi="宋体" w:hint="eastAsia"/>
        </w:rPr>
        <w:t>法定代表人：裴长江</w:t>
      </w:r>
    </w:p>
    <w:p w:rsidR="00114B27" w:rsidRDefault="00114B27" w:rsidP="003D7B6D">
      <w:pPr>
        <w:ind w:firstLine="480"/>
        <w:rPr>
          <w:rFonts w:ascii="宋体" w:hAnsi="宋体"/>
        </w:rPr>
      </w:pPr>
      <w:r>
        <w:rPr>
          <w:rFonts w:ascii="宋体" w:hAnsi="宋体" w:hint="eastAsia"/>
        </w:rPr>
        <w:t>总经理：陈戈</w:t>
      </w:r>
    </w:p>
    <w:p w:rsidR="00114B27" w:rsidRDefault="00114B27" w:rsidP="003D7B6D">
      <w:pPr>
        <w:ind w:firstLine="480"/>
        <w:rPr>
          <w:rFonts w:ascii="宋体" w:hAnsi="宋体"/>
        </w:rPr>
      </w:pPr>
      <w:r>
        <w:rPr>
          <w:rFonts w:ascii="宋体" w:hAnsi="宋体" w:hint="eastAsia"/>
        </w:rPr>
        <w:t>成立日期：</w:t>
      </w:r>
      <w:r>
        <w:rPr>
          <w:rFonts w:ascii="宋体" w:hAnsi="宋体"/>
        </w:rPr>
        <w:t>1999年4月13日</w:t>
      </w:r>
    </w:p>
    <w:p w:rsidR="00114B27" w:rsidRDefault="00114B27" w:rsidP="003D7B6D">
      <w:pPr>
        <w:ind w:firstLine="480"/>
        <w:rPr>
          <w:rFonts w:ascii="宋体" w:hAnsi="宋体"/>
        </w:rPr>
      </w:pPr>
      <w:r>
        <w:rPr>
          <w:rFonts w:ascii="宋体" w:hAnsi="宋体" w:hint="eastAsia"/>
        </w:rPr>
        <w:t>电话：（</w:t>
      </w:r>
      <w:r>
        <w:rPr>
          <w:rFonts w:ascii="宋体" w:hAnsi="宋体"/>
        </w:rPr>
        <w:t>021）20361818</w:t>
      </w:r>
    </w:p>
    <w:p w:rsidR="00114B27" w:rsidRDefault="00114B27" w:rsidP="003D7B6D">
      <w:pPr>
        <w:ind w:firstLine="480"/>
        <w:rPr>
          <w:rFonts w:ascii="宋体" w:hAnsi="宋体"/>
        </w:rPr>
      </w:pPr>
      <w:r>
        <w:rPr>
          <w:rFonts w:ascii="宋体" w:hAnsi="宋体" w:hint="eastAsia"/>
        </w:rPr>
        <w:t>传真：（</w:t>
      </w:r>
      <w:r>
        <w:rPr>
          <w:rFonts w:ascii="宋体" w:hAnsi="宋体"/>
        </w:rPr>
        <w:t>021）20361616</w:t>
      </w:r>
    </w:p>
    <w:p w:rsidR="00114B27" w:rsidRDefault="00114B27" w:rsidP="003D7B6D">
      <w:pPr>
        <w:ind w:firstLine="480"/>
        <w:rPr>
          <w:rFonts w:ascii="宋体" w:hAnsi="宋体"/>
        </w:rPr>
      </w:pPr>
      <w:r>
        <w:rPr>
          <w:rFonts w:ascii="宋体" w:hAnsi="宋体" w:hint="eastAsia"/>
        </w:rPr>
        <w:t>联系人：赵瑛</w:t>
      </w:r>
    </w:p>
    <w:p w:rsidR="00C93E26" w:rsidRPr="00D92A22" w:rsidRDefault="00114B27" w:rsidP="003D7B6D">
      <w:pPr>
        <w:ind w:firstLine="480"/>
        <w:rPr>
          <w:rFonts w:ascii="宋体" w:hAnsi="宋体"/>
        </w:rPr>
      </w:pPr>
      <w:r>
        <w:rPr>
          <w:rFonts w:ascii="宋体" w:hAnsi="宋体" w:hint="eastAsia"/>
        </w:rPr>
        <w:t>注册资本：</w:t>
      </w:r>
      <w:r>
        <w:rPr>
          <w:rFonts w:ascii="宋体" w:hAnsi="宋体"/>
        </w:rPr>
        <w:t>5.2亿元人民币</w:t>
      </w:r>
    </w:p>
    <w:p w:rsidR="00C93E26" w:rsidRPr="00D92A22" w:rsidRDefault="00C93E26" w:rsidP="003D7B6D">
      <w:pPr>
        <w:ind w:firstLine="480"/>
        <w:rPr>
          <w:rFonts w:ascii="宋体" w:hAnsi="宋体"/>
        </w:rPr>
      </w:pPr>
      <w:r w:rsidRPr="00D92A22">
        <w:rPr>
          <w:rFonts w:ascii="宋体" w:hAnsi="宋体"/>
        </w:rPr>
        <w:t>股权结构（</w:t>
      </w:r>
      <w:r w:rsidRPr="00D92A22">
        <w:rPr>
          <w:rFonts w:ascii="宋体" w:hAnsi="宋体" w:hint="eastAsia"/>
        </w:rPr>
        <w:t>截止于</w:t>
      </w:r>
      <w:r w:rsidR="00114B27">
        <w:rPr>
          <w:rFonts w:ascii="宋体" w:hAnsi="宋体"/>
        </w:rPr>
        <w:t>2020年01月20日</w:t>
      </w:r>
      <w:r w:rsidRPr="00D92A22">
        <w:rPr>
          <w:rFonts w:ascii="宋体" w:hAnsi="宋体"/>
        </w:rPr>
        <w:t>）：</w:t>
      </w: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3"/>
        <w:gridCol w:w="4014"/>
      </w:tblGrid>
      <w:tr w:rsidR="00C93E26" w:rsidRPr="00AA6861" w:rsidTr="003D7B6D">
        <w:trPr>
          <w:jc w:val="center"/>
        </w:trPr>
        <w:tc>
          <w:tcPr>
            <w:tcW w:w="4213" w:type="dxa"/>
          </w:tcPr>
          <w:p w:rsidR="00C93E26" w:rsidRPr="00AA6861" w:rsidRDefault="00C93E26" w:rsidP="003D7B6D">
            <w:pPr>
              <w:ind w:firstLine="420"/>
              <w:jc w:val="center"/>
              <w:rPr>
                <w:rFonts w:ascii="宋体" w:hAnsi="宋体"/>
                <w:sz w:val="21"/>
                <w:szCs w:val="21"/>
              </w:rPr>
            </w:pPr>
            <w:r w:rsidRPr="00AA6861">
              <w:rPr>
                <w:rFonts w:ascii="宋体" w:hAnsi="宋体"/>
                <w:sz w:val="21"/>
                <w:szCs w:val="21"/>
              </w:rPr>
              <w:t>股东名称</w:t>
            </w:r>
          </w:p>
        </w:tc>
        <w:tc>
          <w:tcPr>
            <w:tcW w:w="4014" w:type="dxa"/>
          </w:tcPr>
          <w:p w:rsidR="00C93E26" w:rsidRPr="00AA6861" w:rsidRDefault="00C93E26" w:rsidP="003D7B6D">
            <w:pPr>
              <w:ind w:firstLine="420"/>
              <w:jc w:val="center"/>
              <w:rPr>
                <w:rFonts w:ascii="宋体" w:hAnsi="宋体"/>
                <w:sz w:val="21"/>
                <w:szCs w:val="21"/>
              </w:rPr>
            </w:pPr>
            <w:r w:rsidRPr="00AA6861">
              <w:rPr>
                <w:rFonts w:ascii="宋体" w:hAnsi="宋体"/>
                <w:sz w:val="21"/>
                <w:szCs w:val="21"/>
              </w:rPr>
              <w:t>出资比例</w:t>
            </w:r>
          </w:p>
        </w:tc>
      </w:tr>
      <w:tr w:rsidR="00C93E26" w:rsidRPr="00AA6861" w:rsidTr="003D7B6D">
        <w:trPr>
          <w:jc w:val="center"/>
        </w:trPr>
        <w:tc>
          <w:tcPr>
            <w:tcW w:w="4213" w:type="dxa"/>
          </w:tcPr>
          <w:p w:rsidR="00C93E26" w:rsidRPr="00AA6861" w:rsidRDefault="00114B27" w:rsidP="003D7B6D">
            <w:pPr>
              <w:ind w:firstLine="420"/>
              <w:jc w:val="center"/>
              <w:rPr>
                <w:rFonts w:ascii="宋体" w:hAnsi="宋体"/>
                <w:sz w:val="21"/>
                <w:szCs w:val="21"/>
              </w:rPr>
            </w:pPr>
            <w:r>
              <w:rPr>
                <w:rFonts w:ascii="宋体" w:hAnsi="宋体" w:hint="eastAsia"/>
                <w:sz w:val="21"/>
                <w:szCs w:val="21"/>
              </w:rPr>
              <w:t>海通证券股份有限公司</w:t>
            </w:r>
          </w:p>
        </w:tc>
        <w:tc>
          <w:tcPr>
            <w:tcW w:w="4014" w:type="dxa"/>
          </w:tcPr>
          <w:p w:rsidR="00C93E26" w:rsidRPr="00AA6861" w:rsidRDefault="00114B27" w:rsidP="003D7B6D">
            <w:pPr>
              <w:ind w:firstLine="420"/>
              <w:jc w:val="center"/>
              <w:rPr>
                <w:rFonts w:ascii="宋体" w:hAnsi="宋体"/>
                <w:sz w:val="21"/>
                <w:szCs w:val="21"/>
              </w:rPr>
            </w:pPr>
            <w:r>
              <w:rPr>
                <w:rFonts w:ascii="宋体" w:hAnsi="宋体"/>
                <w:sz w:val="21"/>
                <w:szCs w:val="21"/>
              </w:rPr>
              <w:t>27.78%</w:t>
            </w:r>
          </w:p>
        </w:tc>
      </w:tr>
      <w:tr w:rsidR="00114B27" w:rsidRPr="00AA6861" w:rsidTr="003D7B6D">
        <w:trPr>
          <w:jc w:val="center"/>
        </w:trPr>
        <w:tc>
          <w:tcPr>
            <w:tcW w:w="4213" w:type="dxa"/>
          </w:tcPr>
          <w:p w:rsidR="00114B27" w:rsidRDefault="00114B27" w:rsidP="003D7B6D">
            <w:pPr>
              <w:ind w:firstLine="420"/>
              <w:jc w:val="center"/>
              <w:rPr>
                <w:rFonts w:ascii="宋体" w:hAnsi="宋体" w:hint="eastAsia"/>
                <w:sz w:val="21"/>
                <w:szCs w:val="21"/>
              </w:rPr>
            </w:pPr>
            <w:r>
              <w:rPr>
                <w:rFonts w:ascii="宋体" w:hAnsi="宋体" w:hint="eastAsia"/>
                <w:sz w:val="21"/>
                <w:szCs w:val="21"/>
              </w:rPr>
              <w:t>申万宏源证券有限公司</w:t>
            </w:r>
          </w:p>
        </w:tc>
        <w:tc>
          <w:tcPr>
            <w:tcW w:w="4014" w:type="dxa"/>
          </w:tcPr>
          <w:p w:rsidR="00114B27" w:rsidRDefault="00114B27" w:rsidP="003D7B6D">
            <w:pPr>
              <w:ind w:firstLine="420"/>
              <w:jc w:val="center"/>
              <w:rPr>
                <w:rFonts w:ascii="宋体" w:hAnsi="宋体"/>
                <w:sz w:val="21"/>
                <w:szCs w:val="21"/>
              </w:rPr>
            </w:pPr>
            <w:r>
              <w:rPr>
                <w:rFonts w:ascii="宋体" w:hAnsi="宋体"/>
                <w:sz w:val="21"/>
                <w:szCs w:val="21"/>
              </w:rPr>
              <w:t>27.78%</w:t>
            </w:r>
          </w:p>
        </w:tc>
      </w:tr>
      <w:tr w:rsidR="00114B27" w:rsidRPr="00AA6861" w:rsidTr="003D7B6D">
        <w:trPr>
          <w:jc w:val="center"/>
        </w:trPr>
        <w:tc>
          <w:tcPr>
            <w:tcW w:w="4213" w:type="dxa"/>
          </w:tcPr>
          <w:p w:rsidR="00114B27" w:rsidRDefault="00114B27" w:rsidP="003D7B6D">
            <w:pPr>
              <w:ind w:firstLine="420"/>
              <w:jc w:val="center"/>
              <w:rPr>
                <w:rFonts w:ascii="宋体" w:hAnsi="宋体" w:hint="eastAsia"/>
                <w:sz w:val="21"/>
                <w:szCs w:val="21"/>
              </w:rPr>
            </w:pPr>
            <w:r>
              <w:rPr>
                <w:rFonts w:ascii="宋体" w:hAnsi="宋体" w:hint="eastAsia"/>
                <w:sz w:val="21"/>
                <w:szCs w:val="21"/>
              </w:rPr>
              <w:t>加拿大蒙特利尔银行</w:t>
            </w:r>
          </w:p>
        </w:tc>
        <w:tc>
          <w:tcPr>
            <w:tcW w:w="4014" w:type="dxa"/>
          </w:tcPr>
          <w:p w:rsidR="00114B27" w:rsidRDefault="00114B27" w:rsidP="003D7B6D">
            <w:pPr>
              <w:ind w:firstLine="420"/>
              <w:jc w:val="center"/>
              <w:rPr>
                <w:rFonts w:ascii="宋体" w:hAnsi="宋体"/>
                <w:sz w:val="21"/>
                <w:szCs w:val="21"/>
              </w:rPr>
            </w:pPr>
            <w:r>
              <w:rPr>
                <w:rFonts w:ascii="宋体" w:hAnsi="宋体"/>
                <w:sz w:val="21"/>
                <w:szCs w:val="21"/>
              </w:rPr>
              <w:t>27.78%</w:t>
            </w:r>
          </w:p>
        </w:tc>
      </w:tr>
      <w:tr w:rsidR="00114B27" w:rsidRPr="00AA6861" w:rsidTr="003D7B6D">
        <w:trPr>
          <w:jc w:val="center"/>
        </w:trPr>
        <w:tc>
          <w:tcPr>
            <w:tcW w:w="4213" w:type="dxa"/>
          </w:tcPr>
          <w:p w:rsidR="00114B27" w:rsidRDefault="00114B27" w:rsidP="003D7B6D">
            <w:pPr>
              <w:ind w:firstLine="420"/>
              <w:jc w:val="center"/>
              <w:rPr>
                <w:rFonts w:ascii="宋体" w:hAnsi="宋体" w:hint="eastAsia"/>
                <w:sz w:val="21"/>
                <w:szCs w:val="21"/>
              </w:rPr>
            </w:pPr>
            <w:r>
              <w:rPr>
                <w:rFonts w:ascii="宋体" w:hAnsi="宋体" w:hint="eastAsia"/>
                <w:sz w:val="21"/>
                <w:szCs w:val="21"/>
              </w:rPr>
              <w:t>山东省国际信托股份有限公司</w:t>
            </w:r>
          </w:p>
        </w:tc>
        <w:tc>
          <w:tcPr>
            <w:tcW w:w="4014" w:type="dxa"/>
          </w:tcPr>
          <w:p w:rsidR="00114B27" w:rsidRDefault="00114B27" w:rsidP="003D7B6D">
            <w:pPr>
              <w:ind w:firstLine="420"/>
              <w:jc w:val="center"/>
              <w:rPr>
                <w:rFonts w:ascii="宋体" w:hAnsi="宋体"/>
                <w:sz w:val="21"/>
                <w:szCs w:val="21"/>
              </w:rPr>
            </w:pPr>
            <w:r>
              <w:rPr>
                <w:rFonts w:ascii="宋体" w:hAnsi="宋体"/>
                <w:sz w:val="21"/>
                <w:szCs w:val="21"/>
              </w:rPr>
              <w:t>16.68%</w:t>
            </w:r>
          </w:p>
        </w:tc>
      </w:tr>
    </w:tbl>
    <w:p w:rsidR="00C93E26" w:rsidRPr="00625B35" w:rsidRDefault="00114B27" w:rsidP="003D7B6D">
      <w:pPr>
        <w:ind w:firstLine="480"/>
        <w:rPr>
          <w:rFonts w:ascii="宋体" w:hAnsi="宋体" w:hint="eastAsia"/>
        </w:rPr>
      </w:pPr>
      <w:r>
        <w:rPr>
          <w:rFonts w:ascii="宋体" w:hAnsi="宋体" w:hint="eastAsia"/>
        </w:rPr>
        <w:t>公司设立了投资决策委员会和风险控制委员会等专业委员会。投资决策委员会负责制定基金投资的重大决策和投资风险管理。风险控制委员会负责公司日常运作的风险控制和管理工作，确保公司日常经营活动符合相关法律法规和行业监管规则，防范和化解运作风险、合规与道德风险。</w:t>
      </w:r>
    </w:p>
    <w:p w:rsidR="00114B27" w:rsidRDefault="00114B27" w:rsidP="003D7B6D">
      <w:pPr>
        <w:ind w:firstLine="480"/>
        <w:rPr>
          <w:rFonts w:ascii="宋体" w:hAnsi="宋体"/>
        </w:rPr>
      </w:pPr>
      <w:r>
        <w:rPr>
          <w:rFonts w:ascii="宋体" w:hAnsi="宋体" w:hint="eastAsia"/>
        </w:rPr>
        <w:t>公司目前下设二十八个部门、三个分公司和二个子公司，分别是：权益投资部、固定收益投资部、固定收益专户投资部、固定收益信用研究部、固定收益策略研究部、多元资产投资部、量化投资部、海外权益投资部、权益专户投资部、养老金投资部、权益研究部、集中交易部、机构业务部、养老金业务部、银行业务部、机构服务部、零售业务部、营销管理部、客户服务部、电子商务部、战略与产品部、合规稽核部、风险管理部、计划财务部、人力资源部、综合管理部（董事会办公室）、信息技术部、运营部、北京分公司、成都分公司、广州分公司、富国资产管理（香港）有限公司、富国资产管理（上海）有限公司。</w:t>
      </w:r>
    </w:p>
    <w:p w:rsidR="00114B27" w:rsidRDefault="00114B27" w:rsidP="003D7B6D">
      <w:pPr>
        <w:ind w:firstLine="480"/>
        <w:rPr>
          <w:rFonts w:ascii="宋体" w:hAnsi="宋体"/>
        </w:rPr>
      </w:pPr>
      <w:r>
        <w:rPr>
          <w:rFonts w:ascii="宋体" w:hAnsi="宋体" w:hint="eastAsia"/>
        </w:rPr>
        <w:t>权益投资部：负责权益类基金产品的投资管理；固定收益投资部：负责固定收益类公募产品和非固定收益类公募产品的债券部分（包括公司自有资金等）的投资管理；固定收益专户投资部：负责一对一、一对多等非公募固定收益类专户的投资管理；固定收益信用研究部：建立和完善债券信用评级体系，开展信用研究等，为公司固定收益类投资决策提供研究支持；固定收益策略研究部：开展固定收益投资策略研究，统一固定收益投资中台管理，为公司固定收益类投资决策和执行提供发展建议、研究支持和风险控制；多元资产投资部：根据法律法规、公司规章制度、契约要求，在授权范围内，负责</w:t>
      </w:r>
      <w:r>
        <w:rPr>
          <w:rFonts w:ascii="宋体" w:hAnsi="宋体"/>
        </w:rPr>
        <w:t>FOF基金投资运作和跨资产、跨品种、跨策略的多元资产配置产品的投资管理；量化投资部：负责公司有关量化投资管理业务；海外权益投资部：负责公司在中国境外（含香港）的权益投资管理；权益专户投资部：负责社保、保险、QFII、一对一、一对多等非公募权益类专户的投资管理；养老金投资部：负责养老金（企业年金、职业年金、基本养老金、社保等）及类养老金专户等产品的投资管理；权益研究部：负责行业研究、上市公司研究和宏观研究等；集中交易部：负责投资交易和风险控制；机构业</w:t>
      </w:r>
      <w:r>
        <w:rPr>
          <w:rFonts w:ascii="宋体" w:hAnsi="宋体" w:hint="eastAsia"/>
        </w:rPr>
        <w:t>务部：负责保险、财务公司、上市公司、主权财富基金、基金会、券商、信托、私募、同业养老金管理人、同业公募基金</w:t>
      </w:r>
      <w:r>
        <w:rPr>
          <w:rFonts w:ascii="宋体" w:hAnsi="宋体"/>
        </w:rPr>
        <w:t>FOF、海外客户等客群的销售与服务；养老金业务部：负责养老金第一、第二支柱客户、共同参与第三支柱客户的销售与服务；银行业务部：负责银行客户的金融市场部、同业部、资产管理部、私人银行部等部门非代销销售与服务；机构服务部：负责协调三个机构销售部门对接公司资源，实现项目落地，提供专业支持和项目管理,对公司已有机构客户进行持续专业服务；零售业务部：管理华东营销中心、华中营销中心、广东营销中心、深圳营销中心、北</w:t>
      </w:r>
      <w:r>
        <w:rPr>
          <w:rFonts w:ascii="宋体" w:hAnsi="宋体" w:hint="eastAsia"/>
        </w:rPr>
        <w:t>京营销中心、东北营销中心、西部营销中心、华北营销中心，负责公募基金的零售业务；营销管理部：负责营销计划的拟定和落实、品牌建设和媒介关系管理，为零售和机构业务团队、子公司等提供一站式销售支持；客户服务部：拟定客户服务策略，制定客户服务规范，建设客户服务团队，提高客户满意度，收集客户信息，分析客户需求，支持公司决策；电子商务部：负责基金电子商务发展趋势分析，拟定并落实公司电子商务发展策略和实施细则，有效推进公司电子商务业务；战略与产品部：负责开发、维护公募和非公募产品，协助管理层研究、制定、落实、调整公司发展战略，建立数据搜集、分析平台，为公司投资决策、销售决策、业务发展、绩效分析等提供整合的数据支持；合规稽核部：履行合规审查、合规检查、合规咨询、反洗钱、合规宣导与培训、合规监测等合规管理职责，开展内部审计，管理信息披露、法律事务等；风险管理部：执行公司整体风险管理策略，牵头拟定公司风险管理制度与流程，组织开展风险识别、评估、报告、监测与应对，负责公司旗下各投资组合合规监控等；信息技术部：负责软件开发与系统维护等；运营部：负责基金会计与清算；计划财务部：负责公司财务计划与管理；人力资源部：负责人力资源规划与管理；综合管理部（董事会办公室）：负责公司董事会日常事务、公司文秘管理、公司（内部）宣传、信息调研、行政后勤管理等工作；富国资产管理（香港）有限公司：证券交易、就证券提供意见和提供资产管理；富国资产管理（上海）有限公司：经营特定客户资产管理以及中国证监会认可的其他业务。</w:t>
      </w:r>
    </w:p>
    <w:p w:rsidR="00C93E26" w:rsidRPr="00D92A22" w:rsidRDefault="00114B27" w:rsidP="003D7B6D">
      <w:pPr>
        <w:ind w:firstLine="480"/>
        <w:rPr>
          <w:rFonts w:ascii="宋体" w:hAnsi="宋体" w:hint="eastAsia"/>
        </w:rPr>
      </w:pPr>
      <w:r>
        <w:rPr>
          <w:rFonts w:ascii="宋体" w:hAnsi="宋体" w:hint="eastAsia"/>
        </w:rPr>
        <w:t>截止到</w:t>
      </w:r>
      <w:r>
        <w:rPr>
          <w:rFonts w:ascii="宋体" w:hAnsi="宋体"/>
        </w:rPr>
        <w:t>2020年1月31日，公司有员工481人，其中70%具有硕士以上学历。</w:t>
      </w:r>
    </w:p>
    <w:p w:rsidR="00C93E26" w:rsidRPr="003746BB" w:rsidRDefault="00C93E26" w:rsidP="00C93E26">
      <w:pPr>
        <w:pStyle w:val="2"/>
        <w:numPr>
          <w:ilvl w:val="1"/>
          <w:numId w:val="15"/>
        </w:numPr>
        <w:ind w:firstLine="482"/>
      </w:pPr>
      <w:r w:rsidRPr="003746BB">
        <w:t>主要人员情况</w:t>
      </w:r>
    </w:p>
    <w:p w:rsidR="00C93E26" w:rsidRPr="003746BB" w:rsidRDefault="00C93E26" w:rsidP="00C93E26">
      <w:pPr>
        <w:pStyle w:val="3"/>
        <w:numPr>
          <w:ilvl w:val="2"/>
          <w:numId w:val="15"/>
        </w:numPr>
        <w:ind w:firstLine="482"/>
        <w:rPr>
          <w:rFonts w:hint="eastAsia"/>
        </w:rPr>
      </w:pPr>
      <w:r w:rsidRPr="003746BB">
        <w:rPr>
          <w:rFonts w:hint="eastAsia"/>
        </w:rPr>
        <w:t>董事会成员</w:t>
      </w:r>
    </w:p>
    <w:p w:rsidR="00114B27" w:rsidRDefault="00114B27" w:rsidP="003D7B6D">
      <w:pPr>
        <w:adjustRightInd w:val="0"/>
        <w:snapToGrid w:val="0"/>
        <w:ind w:firstLine="480"/>
        <w:rPr>
          <w:rFonts w:ascii="宋体" w:hAnsi="宋体"/>
        </w:rPr>
      </w:pPr>
      <w:r>
        <w:rPr>
          <w:rFonts w:ascii="宋体" w:hAnsi="宋体" w:hint="eastAsia"/>
        </w:rPr>
        <w:t>裴长江先生，董事长，研究生学历。现任海通证券股份有限公司副总经理。历任上海万国证券公司研究部研究员、闸北营业部总经理助理、总经理，申银万国证券公司闸北营业部总经理、浙江管理总部副总经理、经纪总部副总经理，华宝信托投资有限责任公司投资总监，华宝兴业基金管理有限公司董事兼总经理。</w:t>
      </w:r>
    </w:p>
    <w:p w:rsidR="00114B27" w:rsidRDefault="00114B27" w:rsidP="003D7B6D">
      <w:pPr>
        <w:adjustRightInd w:val="0"/>
        <w:snapToGrid w:val="0"/>
        <w:ind w:firstLine="480"/>
        <w:rPr>
          <w:rFonts w:ascii="宋体" w:hAnsi="宋体"/>
        </w:rPr>
      </w:pPr>
      <w:r>
        <w:rPr>
          <w:rFonts w:ascii="宋体" w:hAnsi="宋体" w:hint="eastAsia"/>
        </w:rPr>
        <w:t>陈戈先生，董事，总经理，研究生学历。历任国泰君安证券有限责任公司研究所研究员，富国基金管理有限公司研究员、基金经理、研究部总经理、总经理助理、副总经理，</w:t>
      </w:r>
      <w:r>
        <w:rPr>
          <w:rFonts w:ascii="宋体" w:hAnsi="宋体"/>
        </w:rPr>
        <w:t>2005年4月至2014年4月任富国天益价值证券投资基金基金经理。</w:t>
      </w:r>
    </w:p>
    <w:p w:rsidR="00114B27" w:rsidRDefault="00114B27" w:rsidP="003D7B6D">
      <w:pPr>
        <w:adjustRightInd w:val="0"/>
        <w:snapToGrid w:val="0"/>
        <w:ind w:firstLine="480"/>
        <w:rPr>
          <w:rFonts w:ascii="宋体" w:hAnsi="宋体"/>
        </w:rPr>
      </w:pPr>
      <w:r>
        <w:rPr>
          <w:rFonts w:ascii="宋体" w:hAnsi="宋体" w:hint="eastAsia"/>
        </w:rPr>
        <w:t>麦陈婉芬女士（</w:t>
      </w:r>
      <w:r>
        <w:rPr>
          <w:rFonts w:ascii="宋体" w:hAnsi="宋体"/>
        </w:rPr>
        <w:t>Constance Mak），董事，文学及商学学士，加拿大特许会计师。现任BMO金融集团亚洲业务总经理（General Manager, Asia, International, BMO Financial Group），中加贸易理事会董事和加拿大中文电视台顾问团的成员。历任St. Margaret’s College教师，加拿大毕马威 (KPMG) 会计事务所的合伙人。</w:t>
      </w:r>
    </w:p>
    <w:p w:rsidR="00114B27" w:rsidRDefault="00114B27" w:rsidP="003D7B6D">
      <w:pPr>
        <w:adjustRightInd w:val="0"/>
        <w:snapToGrid w:val="0"/>
        <w:ind w:firstLine="480"/>
        <w:rPr>
          <w:rFonts w:ascii="宋体" w:hAnsi="宋体"/>
        </w:rPr>
      </w:pPr>
      <w:r>
        <w:rPr>
          <w:rFonts w:ascii="宋体" w:hAnsi="宋体" w:hint="eastAsia"/>
        </w:rPr>
        <w:t>方荣义先生，董事，博士，研究生学历，高级会计师。现任申万宏源证券有限公司副总经理、首席风险官、财务总监、董事会秘书。历任北京用友电子财务技术有限公司研究所信息中心副主任，厦门大学工商管理教育中心副教授，中国人民银行深圳经济特区分行</w:t>
      </w:r>
      <w:r>
        <w:rPr>
          <w:rFonts w:ascii="宋体" w:hAnsi="宋体"/>
        </w:rPr>
        <w:t>(深圳市中心支行)会计处副处长，中国人民银行深圳市中心支行非银行金融机构处处长，中国银行业监督管理委员会深圳监管局财务会计处处长、国有银行监管处处长，申银万国证券股份有限公司财务总监。</w:t>
      </w:r>
    </w:p>
    <w:p w:rsidR="00114B27" w:rsidRDefault="00114B27" w:rsidP="003D7B6D">
      <w:pPr>
        <w:adjustRightInd w:val="0"/>
        <w:snapToGrid w:val="0"/>
        <w:ind w:firstLine="480"/>
        <w:rPr>
          <w:rFonts w:ascii="宋体" w:hAnsi="宋体"/>
        </w:rPr>
      </w:pPr>
      <w:r>
        <w:rPr>
          <w:rFonts w:ascii="宋体" w:hAnsi="宋体" w:hint="eastAsia"/>
        </w:rPr>
        <w:t>张信军先生，董事，研究生学历。现任海通证券股份有限公司财务总监、海通国际控股有限公司副总经理兼财务总监。历任海通证券有限公司财务会计部员工、计划财务部资产管理部副经理</w:t>
      </w:r>
      <w:r>
        <w:rPr>
          <w:rFonts w:ascii="宋体" w:hAnsi="宋体"/>
        </w:rPr>
        <w:t>/经理、海通国际证券集团有限公司首席财务官、海通国际控股有限</w:t>
      </w:r>
      <w:r>
        <w:rPr>
          <w:rFonts w:ascii="宋体" w:hAnsi="宋体" w:hint="eastAsia"/>
        </w:rPr>
        <w:t>公司首席风险官。</w:t>
      </w:r>
    </w:p>
    <w:p w:rsidR="00797C18" w:rsidRDefault="00114B27" w:rsidP="003D7B6D">
      <w:pPr>
        <w:adjustRightInd w:val="0"/>
        <w:snapToGrid w:val="0"/>
        <w:ind w:firstLine="480"/>
        <w:rPr>
          <w:rFonts w:ascii="宋体" w:hAnsi="宋体" w:hint="eastAsia"/>
        </w:rPr>
      </w:pPr>
      <w:r>
        <w:rPr>
          <w:rFonts w:ascii="宋体" w:hAnsi="宋体"/>
        </w:rPr>
        <w:t>Edgar Normund Legzdins先生，董事，本科学历，加拿大特许会计师。现任BMO金融集团国际业务全球总裁（SVP&amp;Managing Director, International, BMO Financial Group）。1980年至1984年在Coopers&amp;Lybrand担任审计工作；1984年加入加拿大BMO银行金融集团蒙特利尔银行。</w:t>
      </w:r>
    </w:p>
    <w:p w:rsidR="00797C18" w:rsidRDefault="00114B27" w:rsidP="003D7B6D">
      <w:pPr>
        <w:adjustRightInd w:val="0"/>
        <w:snapToGrid w:val="0"/>
        <w:ind w:firstLine="480"/>
        <w:rPr>
          <w:rFonts w:ascii="宋体" w:hAnsi="宋体" w:hint="eastAsia"/>
        </w:rPr>
      </w:pPr>
      <w:r>
        <w:rPr>
          <w:rFonts w:ascii="宋体" w:hAnsi="宋体"/>
        </w:rPr>
        <w:t>张科先生，董事，本科学历，经济师。现任山东省国际信托股份有限公司固有业务管理部总经理。历任山东省国际信托股份有限公司基金贷款部业务员、</w:t>
      </w:r>
      <w:r>
        <w:rPr>
          <w:rFonts w:ascii="宋体" w:hAnsi="宋体" w:hint="eastAsia"/>
        </w:rPr>
        <w:t>基金投资部业务员、基建基金管理部业务员、基建基金管理部信托经理、基建基金管理部副总经理、固有业务管理部总经理。</w:t>
      </w:r>
    </w:p>
    <w:p w:rsidR="00797C18" w:rsidRDefault="00114B27" w:rsidP="003D7B6D">
      <w:pPr>
        <w:adjustRightInd w:val="0"/>
        <w:snapToGrid w:val="0"/>
        <w:ind w:firstLine="480"/>
        <w:rPr>
          <w:rFonts w:ascii="宋体" w:hAnsi="宋体" w:hint="eastAsia"/>
        </w:rPr>
      </w:pPr>
      <w:r>
        <w:rPr>
          <w:rFonts w:ascii="宋体" w:hAnsi="宋体" w:hint="eastAsia"/>
        </w:rPr>
        <w:t>何宗豪先生，董事，硕士。现任申万宏源证券有限公司计划财务管理总部总经理。历任人民银行上海市徐汇区办事处计划信贷科、组织科科员；工商银行徐汇区办事处建国西路分理处党支部代书记、党支部书记兼分理处副主任（主持工作）；上海申银证券公司财会部员工；上海申银证券公司浦东公司财会部筹备负责人；上海申银证券公司浦东公司财会部副经理、经理；申银万国证券股份有限公司浦东分公司财会部经理、申银万国证</w:t>
      </w:r>
      <w:r w:rsidR="00797C18">
        <w:rPr>
          <w:rFonts w:ascii="宋体" w:hAnsi="宋体" w:hint="eastAsia"/>
        </w:rPr>
        <w:t>券</w:t>
      </w:r>
      <w:r>
        <w:rPr>
          <w:rFonts w:ascii="宋体" w:hAnsi="宋体" w:hint="eastAsia"/>
        </w:rPr>
        <w:t>股份有限公司财会管理总部部门经理、总经理助理、申银万国证券股份有限公司计划财会管理总部副总经理、总经理。</w:t>
      </w:r>
    </w:p>
    <w:p w:rsidR="00797C18" w:rsidRDefault="00114B27" w:rsidP="003D7B6D">
      <w:pPr>
        <w:adjustRightInd w:val="0"/>
        <w:snapToGrid w:val="0"/>
        <w:ind w:firstLine="480"/>
        <w:rPr>
          <w:rFonts w:ascii="宋体" w:hAnsi="宋体" w:hint="eastAsia"/>
        </w:rPr>
      </w:pPr>
      <w:r>
        <w:rPr>
          <w:rFonts w:ascii="宋体" w:hAnsi="宋体" w:hint="eastAsia"/>
        </w:rPr>
        <w:t>黄平先生，独立董事，研究生学历。现任上海盛源实业（集团）有限公司董事局主席。历任上海市劳改局政治处主任；上海华夏立向实业有限公司副总经理；上海盛源实业（集团）有限公司总经理、总裁。</w:t>
      </w:r>
    </w:p>
    <w:p w:rsidR="00797C18" w:rsidRDefault="00114B27" w:rsidP="003D7B6D">
      <w:pPr>
        <w:adjustRightInd w:val="0"/>
        <w:snapToGrid w:val="0"/>
        <w:ind w:firstLine="480"/>
        <w:rPr>
          <w:rFonts w:ascii="宋体" w:hAnsi="宋体" w:hint="eastAsia"/>
        </w:rPr>
      </w:pPr>
      <w:r>
        <w:rPr>
          <w:rFonts w:ascii="宋体" w:hAnsi="宋体" w:hint="eastAsia"/>
        </w:rPr>
        <w:t>季文冠先生，独立董事，研究生学历。现任上海金融业联合会常务副理事长。历任上海仪器仪表研究所计划科副科长、办公室副主任、办公室主任、副所长；上海市浦东新区综合规划土地局办公室副主任、办公室主任、局长助理、副局长、党组副书记；上海市浦东新区政府办公室主任、外事办公室主任、区政府党组成员；上海市松江区区委常委、副区长；上海市金融服务办公室副主任、中共上海市金融工作委员会书记；上海市政协常委、上海市政协民族和宗教委员会主任。</w:t>
      </w:r>
    </w:p>
    <w:p w:rsidR="00797C18" w:rsidRDefault="00114B27" w:rsidP="003D7B6D">
      <w:pPr>
        <w:adjustRightInd w:val="0"/>
        <w:snapToGrid w:val="0"/>
        <w:ind w:firstLine="480"/>
        <w:rPr>
          <w:rFonts w:ascii="宋体" w:hAnsi="宋体" w:hint="eastAsia"/>
        </w:rPr>
      </w:pPr>
      <w:r>
        <w:rPr>
          <w:rFonts w:ascii="宋体" w:hAnsi="宋体" w:hint="eastAsia"/>
        </w:rPr>
        <w:t>伍时焯</w:t>
      </w:r>
      <w:r>
        <w:rPr>
          <w:rFonts w:ascii="宋体" w:hAnsi="宋体"/>
        </w:rPr>
        <w:t xml:space="preserve"> (Cary S. Ng) 先生，独立董事，研究生学历，加拿大特许会计师。现已退休。1976年加入加拿大毕马威会计事务所的前身Thorne Riddell公司担任审计工作，有30余年财务管理及信息系统项目管理经验，曾任职在 Neo Materials Technologies Inc. 前身AMR Technologies Inc., MLJ Global Business Developments Inc., UniLink Tele.com Inc. 等国际性公司为首席财务总监(CFO)及财务副总裁，圣力嘉学院(Seneca College)工商系会计及财务金融科教授。</w:t>
      </w:r>
    </w:p>
    <w:p w:rsidR="00C93E26" w:rsidRPr="00D92A22" w:rsidRDefault="00114B27" w:rsidP="003D7B6D">
      <w:pPr>
        <w:adjustRightInd w:val="0"/>
        <w:snapToGrid w:val="0"/>
        <w:ind w:firstLine="480"/>
        <w:rPr>
          <w:rFonts w:ascii="宋体" w:hAnsi="宋体" w:hint="eastAsia"/>
        </w:rPr>
      </w:pPr>
      <w:r>
        <w:rPr>
          <w:rFonts w:ascii="宋体" w:hAnsi="宋体"/>
        </w:rPr>
        <w:t>李宪明先生，独立董事，研究生学历。现任上海市锦天城律师事务所律师、高级合伙人。历任吉林大学法学院教师。</w:t>
      </w:r>
    </w:p>
    <w:p w:rsidR="00C93E26" w:rsidRPr="003746BB" w:rsidRDefault="00C93E26" w:rsidP="00C93E26">
      <w:pPr>
        <w:pStyle w:val="3"/>
        <w:numPr>
          <w:ilvl w:val="2"/>
          <w:numId w:val="15"/>
        </w:numPr>
        <w:ind w:firstLine="482"/>
        <w:rPr>
          <w:rFonts w:hint="eastAsia"/>
        </w:rPr>
      </w:pPr>
      <w:r w:rsidRPr="003746BB">
        <w:rPr>
          <w:rFonts w:hint="eastAsia"/>
        </w:rPr>
        <w:t>监事会成员</w:t>
      </w:r>
    </w:p>
    <w:p w:rsidR="00114B27" w:rsidRDefault="00114B27" w:rsidP="003D7B6D">
      <w:pPr>
        <w:adjustRightInd w:val="0"/>
        <w:snapToGrid w:val="0"/>
        <w:ind w:firstLine="480"/>
        <w:rPr>
          <w:rFonts w:ascii="宋体" w:hAnsi="宋体"/>
        </w:rPr>
      </w:pPr>
      <w:r>
        <w:rPr>
          <w:rFonts w:ascii="宋体" w:hAnsi="宋体" w:hint="eastAsia"/>
        </w:rPr>
        <w:t>付吉广先生，监事长，研究生学历。现任山东省国际信托股份有限公司风控总监。历任济宁信托投资公司投资部科员，济宁市留庄港运输总公司董事、副总经理，山东省国际信托投资有限公司投行业务部业务经理、副经理；山东省国际信托投资有限公司稽核法律部经理，山东省中鲁远洋渔业股份有限公司财务总监，山东省国际信托有限公司信托业务四部经理。</w:t>
      </w:r>
    </w:p>
    <w:p w:rsidR="00114B27" w:rsidRDefault="00114B27" w:rsidP="003D7B6D">
      <w:pPr>
        <w:adjustRightInd w:val="0"/>
        <w:snapToGrid w:val="0"/>
        <w:ind w:firstLine="480"/>
        <w:rPr>
          <w:rFonts w:ascii="宋体" w:hAnsi="宋体"/>
        </w:rPr>
      </w:pPr>
      <w:r>
        <w:rPr>
          <w:rFonts w:ascii="宋体" w:hAnsi="宋体" w:hint="eastAsia"/>
        </w:rPr>
        <w:t>沈寅先生，监事，本科学历。现任申万宏源证券有限公司合规与风险管理中心法律合规总部副总经理，风险管理办公室副主任，公司律师。历任上海市高级人民法院助理研究员，上海市中级人民法院、上海市第二中级人民法院助理审判员、审判员、审判组长，办公室综合科科长，以及上海仲裁委员会仲裁员。</w:t>
      </w:r>
    </w:p>
    <w:p w:rsidR="00114B27" w:rsidRDefault="00114B27" w:rsidP="003D7B6D">
      <w:pPr>
        <w:adjustRightInd w:val="0"/>
        <w:snapToGrid w:val="0"/>
        <w:ind w:firstLine="480"/>
        <w:rPr>
          <w:rFonts w:ascii="宋体" w:hAnsi="宋体"/>
        </w:rPr>
      </w:pPr>
      <w:r>
        <w:rPr>
          <w:rFonts w:ascii="宋体" w:hAnsi="宋体" w:hint="eastAsia"/>
        </w:rPr>
        <w:t>张晓燕女士，监事，博士。现任蒙特利尔银行亚洲区和蒙特利尔银行（中国）有限公司首席风险官。历任美国加州理工学院化学系研究员，加拿大多伦多大学化学系助理教授，蒙特利尔银行市场风险管理部模型发展和风险审查高级经理，蒙特利尔银行操作风险资本管理总监，道明证券交易风险管理部副总裁兼总监，华侨银行集团市场风险控制主管，新加坡交易所高级副总裁和风险管理部主管。</w:t>
      </w:r>
    </w:p>
    <w:p w:rsidR="00114B27" w:rsidRDefault="00114B27" w:rsidP="003D7B6D">
      <w:pPr>
        <w:adjustRightInd w:val="0"/>
        <w:snapToGrid w:val="0"/>
        <w:ind w:firstLine="480"/>
        <w:rPr>
          <w:rFonts w:ascii="宋体" w:hAnsi="宋体"/>
        </w:rPr>
      </w:pPr>
      <w:r>
        <w:rPr>
          <w:rFonts w:ascii="宋体" w:hAnsi="宋体" w:hint="eastAsia"/>
        </w:rPr>
        <w:t>侍旭先生，监事，研究生学历。现任海通证券股份有限公司稽核部副总经理、职工监事、海通开元投资有限公司董事、海通新创投资管理有限公司监事。历任海通证券股份有限公司稽核部二级部副经理、二级部经理、稽核部总经理助理等。</w:t>
      </w:r>
    </w:p>
    <w:p w:rsidR="00114B27" w:rsidRDefault="00114B27" w:rsidP="003D7B6D">
      <w:pPr>
        <w:adjustRightInd w:val="0"/>
        <w:snapToGrid w:val="0"/>
        <w:ind w:firstLine="480"/>
        <w:rPr>
          <w:rFonts w:ascii="宋体" w:hAnsi="宋体"/>
        </w:rPr>
      </w:pPr>
      <w:r>
        <w:rPr>
          <w:rFonts w:ascii="宋体" w:hAnsi="宋体" w:hint="eastAsia"/>
        </w:rPr>
        <w:t>李雪薇女士，监事，研究生学历。现任富国基金管理有限公司运营部副总经理。历任富国基金管理有限公司资金清算员、登记结算主管、运营总监助理、运营部运营副总监、运营部运营总监。</w:t>
      </w:r>
    </w:p>
    <w:p w:rsidR="00114B27" w:rsidRDefault="00114B27" w:rsidP="003D7B6D">
      <w:pPr>
        <w:adjustRightInd w:val="0"/>
        <w:snapToGrid w:val="0"/>
        <w:ind w:firstLine="480"/>
        <w:rPr>
          <w:rFonts w:ascii="宋体" w:hAnsi="宋体"/>
        </w:rPr>
      </w:pPr>
      <w:r>
        <w:rPr>
          <w:rFonts w:ascii="宋体" w:hAnsi="宋体" w:hint="eastAsia"/>
        </w:rPr>
        <w:t>肖凯先生，监事，博士。现任富国基金管理有限公司集中交易部风控总监。历任上海金新金融工程研究院部门经理、友联战略管理中心部门经理、富国基金管理有限公司监察部风控监察员、高级风控监察员、稽核副总监。</w:t>
      </w:r>
    </w:p>
    <w:p w:rsidR="00114B27" w:rsidRDefault="00114B27" w:rsidP="003D7B6D">
      <w:pPr>
        <w:adjustRightInd w:val="0"/>
        <w:snapToGrid w:val="0"/>
        <w:ind w:firstLine="480"/>
        <w:rPr>
          <w:rFonts w:ascii="宋体" w:hAnsi="宋体"/>
        </w:rPr>
      </w:pPr>
      <w:r>
        <w:rPr>
          <w:rFonts w:ascii="宋体" w:hAnsi="宋体" w:hint="eastAsia"/>
        </w:rPr>
        <w:t>杨轶琴女士，监事，本科学历。现任富国基金管理有限公司零售业务部零售总监助理。历任辽宁省证券公司北京西路营业部客户经理、富国基金管理有限公司客户服务经理、营销策划经理、销售支持经理、高级销售支持经理。</w:t>
      </w:r>
    </w:p>
    <w:p w:rsidR="00C93E26" w:rsidRPr="00D92A22" w:rsidRDefault="00114B27" w:rsidP="003D7B6D">
      <w:pPr>
        <w:adjustRightInd w:val="0"/>
        <w:snapToGrid w:val="0"/>
        <w:ind w:firstLine="480"/>
        <w:rPr>
          <w:rFonts w:ascii="宋体" w:hAnsi="宋体" w:hint="eastAsia"/>
        </w:rPr>
      </w:pPr>
      <w:r>
        <w:rPr>
          <w:rFonts w:ascii="宋体" w:hAnsi="宋体" w:hint="eastAsia"/>
        </w:rPr>
        <w:t>沈詹慧女士，监事，本科学历。现任富国基金管理有限公司综合管理部副总经理。历任上海交通大学南洋中学教师、博朗软件开发</w:t>
      </w:r>
      <w:r>
        <w:rPr>
          <w:rFonts w:ascii="宋体" w:hAnsi="宋体"/>
        </w:rPr>
        <w:t>(上海)有限公司招聘主管、思源电气股份有限公司人事行政部部长、富国基金管理有限公司人事经理、总监助理。</w:t>
      </w:r>
    </w:p>
    <w:p w:rsidR="00C93E26" w:rsidRPr="003746BB" w:rsidRDefault="00C93E26" w:rsidP="00C93E26">
      <w:pPr>
        <w:pStyle w:val="3"/>
        <w:numPr>
          <w:ilvl w:val="2"/>
          <w:numId w:val="15"/>
        </w:numPr>
        <w:ind w:firstLine="482"/>
        <w:rPr>
          <w:rFonts w:hint="eastAsia"/>
        </w:rPr>
      </w:pPr>
      <w:r w:rsidRPr="003746BB">
        <w:rPr>
          <w:rFonts w:hint="eastAsia"/>
        </w:rPr>
        <w:t>督察长</w:t>
      </w:r>
    </w:p>
    <w:p w:rsidR="00C93E26" w:rsidRPr="00D92A22" w:rsidRDefault="00114B27" w:rsidP="003D7B6D">
      <w:pPr>
        <w:adjustRightInd w:val="0"/>
        <w:snapToGrid w:val="0"/>
        <w:ind w:firstLine="480"/>
        <w:rPr>
          <w:rFonts w:ascii="宋体" w:hAnsi="宋体" w:hint="eastAsia"/>
        </w:rPr>
      </w:pPr>
      <w:r>
        <w:rPr>
          <w:rFonts w:ascii="宋体" w:hAnsi="宋体" w:hint="eastAsia"/>
        </w:rPr>
        <w:t>赵瑛女士，研究生学历，硕士学位。曾任职于海通证券有限公司国际业务部、上海国盛（集团）有限公司资产管理部</w:t>
      </w:r>
      <w:r>
        <w:rPr>
          <w:rFonts w:ascii="宋体" w:hAnsi="宋体"/>
        </w:rPr>
        <w:t>/风险管理部、海通证券股份有限公司合规与风险管理总部、上海海通证券资产管理有限公司合规与风控部；2015年7月加入富国基金管理有限公司，历任监察稽核部总经理，现任富国基金管理有限公司督察长。</w:t>
      </w:r>
    </w:p>
    <w:p w:rsidR="00C93E26" w:rsidRPr="003746BB" w:rsidRDefault="00C93E26" w:rsidP="00C93E26">
      <w:pPr>
        <w:pStyle w:val="3"/>
        <w:numPr>
          <w:ilvl w:val="2"/>
          <w:numId w:val="15"/>
        </w:numPr>
        <w:ind w:firstLine="482"/>
        <w:rPr>
          <w:rFonts w:hint="eastAsia"/>
        </w:rPr>
      </w:pPr>
      <w:r w:rsidRPr="003746BB">
        <w:rPr>
          <w:rFonts w:hint="eastAsia"/>
        </w:rPr>
        <w:t>经营管理层人员</w:t>
      </w:r>
    </w:p>
    <w:p w:rsidR="00114B27" w:rsidRDefault="00114B27" w:rsidP="003D7B6D">
      <w:pPr>
        <w:adjustRightInd w:val="0"/>
        <w:snapToGrid w:val="0"/>
        <w:ind w:firstLine="480"/>
        <w:rPr>
          <w:rFonts w:ascii="宋体" w:hAnsi="宋体"/>
        </w:rPr>
      </w:pPr>
      <w:r>
        <w:rPr>
          <w:rFonts w:ascii="宋体" w:hAnsi="宋体" w:hint="eastAsia"/>
        </w:rPr>
        <w:t>陈戈先生，总经理（简历请参见上述关于董事的介绍）。</w:t>
      </w:r>
    </w:p>
    <w:p w:rsidR="00114B27" w:rsidRDefault="00114B27" w:rsidP="003D7B6D">
      <w:pPr>
        <w:adjustRightInd w:val="0"/>
        <w:snapToGrid w:val="0"/>
        <w:ind w:firstLine="480"/>
        <w:rPr>
          <w:rFonts w:ascii="宋体" w:hAnsi="宋体"/>
        </w:rPr>
      </w:pPr>
      <w:r>
        <w:rPr>
          <w:rFonts w:ascii="宋体" w:hAnsi="宋体" w:hint="eastAsia"/>
        </w:rPr>
        <w:t>林志松先生，本科学历，工商管理硕士学位。曾任漳州进出口商品检验局秘书、晋江进出口商品检验局办事处负责人、厦门证券公司业务经理；</w:t>
      </w:r>
      <w:r>
        <w:rPr>
          <w:rFonts w:ascii="宋体" w:hAnsi="宋体"/>
        </w:rPr>
        <w:t>1998年10月参与富国基金管理有限公司筹备，历任监察稽核部稽察员、高级稽察员、部门副经理、部门经理、督察长，现任富国基金管理有限公司副总经理兼首席信息官。</w:t>
      </w:r>
    </w:p>
    <w:p w:rsidR="00114B27" w:rsidRDefault="00114B27" w:rsidP="003D7B6D">
      <w:pPr>
        <w:adjustRightInd w:val="0"/>
        <w:snapToGrid w:val="0"/>
        <w:ind w:firstLine="480"/>
        <w:rPr>
          <w:rFonts w:ascii="宋体" w:hAnsi="宋体"/>
        </w:rPr>
      </w:pPr>
      <w:r>
        <w:rPr>
          <w:rFonts w:ascii="宋体" w:hAnsi="宋体" w:hint="eastAsia"/>
        </w:rPr>
        <w:t>陆文佳女士，研究生学历，硕士学位。曾任中国建设银行上海市分行职员，华安基金管理有限公司市场总监、副营销总裁；</w:t>
      </w:r>
      <w:r>
        <w:rPr>
          <w:rFonts w:ascii="宋体" w:hAnsi="宋体"/>
        </w:rPr>
        <w:t>2014年5月加入富国基金管理有限公司，现任富国基金管理有限公司副</w:t>
      </w:r>
      <w:r>
        <w:rPr>
          <w:rFonts w:ascii="宋体" w:hAnsi="宋体" w:hint="eastAsia"/>
        </w:rPr>
        <w:t>总经理。</w:t>
      </w:r>
    </w:p>
    <w:p w:rsidR="00114B27" w:rsidRDefault="00114B27" w:rsidP="003D7B6D">
      <w:pPr>
        <w:adjustRightInd w:val="0"/>
        <w:snapToGrid w:val="0"/>
        <w:ind w:firstLine="480"/>
        <w:rPr>
          <w:rFonts w:ascii="宋体" w:hAnsi="宋体"/>
        </w:rPr>
      </w:pPr>
      <w:r>
        <w:rPr>
          <w:rFonts w:ascii="宋体" w:hAnsi="宋体" w:hint="eastAsia"/>
        </w:rPr>
        <w:t>李笑薇女士，研究生学历，博士学位，高级经济师。曾任国家教委外资贷款办公室项目官员，摩根士丹利资本国际</w:t>
      </w:r>
      <w:r>
        <w:rPr>
          <w:rFonts w:ascii="宋体" w:hAnsi="宋体"/>
        </w:rPr>
        <w:t>Barra公司（MSCI BARRA）BARRA股票风险评估部高级研究员，巴克莱国际投资管理公司（Barclays Global Investors）大中华主动股票投资总监、高级基金经理及高级研究员；2009年6月加入富国基金管理有限公司，历任基金经理、量化与海外投资部总经理、公司总经理助理，现任富国基金管理有限公司副总经理兼基金经理。</w:t>
      </w:r>
    </w:p>
    <w:p w:rsidR="00C93E26" w:rsidRPr="00D92A22" w:rsidRDefault="00114B27" w:rsidP="003D7B6D">
      <w:pPr>
        <w:adjustRightInd w:val="0"/>
        <w:snapToGrid w:val="0"/>
        <w:ind w:firstLine="480"/>
        <w:rPr>
          <w:rFonts w:ascii="宋体" w:hAnsi="宋体" w:hint="eastAsia"/>
        </w:rPr>
      </w:pPr>
      <w:r>
        <w:rPr>
          <w:rFonts w:ascii="宋体" w:hAnsi="宋体" w:hint="eastAsia"/>
        </w:rPr>
        <w:t>朱少醒先生，研究生学历，博士学位。</w:t>
      </w:r>
      <w:r>
        <w:rPr>
          <w:rFonts w:ascii="宋体" w:hAnsi="宋体"/>
        </w:rPr>
        <w:t>2000年6月加入富国基金</w:t>
      </w:r>
      <w:r>
        <w:rPr>
          <w:rFonts w:ascii="宋体" w:hAnsi="宋体" w:hint="eastAsia"/>
        </w:rPr>
        <w:t>管理有限公司，历任产品开发主管、基金经理助理、基金经理、研究部总经理、权益投资部总经理、公司总经理助理，现任富国基金管理有限公司副总经理兼基金经理。</w:t>
      </w:r>
    </w:p>
    <w:p w:rsidR="00C93E26" w:rsidRPr="003746BB" w:rsidRDefault="00C93E26" w:rsidP="00C93E26">
      <w:pPr>
        <w:pStyle w:val="3"/>
        <w:numPr>
          <w:ilvl w:val="2"/>
          <w:numId w:val="15"/>
        </w:numPr>
        <w:ind w:firstLine="482"/>
      </w:pPr>
      <w:r w:rsidRPr="003746BB">
        <w:t>本基金基金经理</w:t>
      </w:r>
    </w:p>
    <w:p w:rsidR="003A318F" w:rsidRPr="003A318F" w:rsidRDefault="003A318F" w:rsidP="003A318F">
      <w:pPr>
        <w:adjustRightInd w:val="0"/>
        <w:snapToGrid w:val="0"/>
        <w:ind w:firstLine="480"/>
        <w:rPr>
          <w:rFonts w:ascii="宋体" w:hAnsi="宋体" w:hint="eastAsia"/>
        </w:rPr>
      </w:pPr>
      <w:r w:rsidRPr="003A318F">
        <w:rPr>
          <w:rFonts w:ascii="宋体" w:hAnsi="宋体" w:hint="eastAsia"/>
        </w:rPr>
        <w:t>（1）现任基金经理</w:t>
      </w:r>
    </w:p>
    <w:p w:rsidR="00606FED" w:rsidRDefault="00606FED" w:rsidP="00606FED">
      <w:pPr>
        <w:adjustRightInd w:val="0"/>
        <w:snapToGrid w:val="0"/>
        <w:ind w:firstLine="480"/>
        <w:rPr>
          <w:rFonts w:ascii="宋体" w:hAnsi="宋体"/>
        </w:rPr>
      </w:pPr>
      <w:r w:rsidRPr="004028CA">
        <w:rPr>
          <w:rFonts w:ascii="宋体" w:hAnsi="宋体" w:hint="eastAsia"/>
        </w:rPr>
        <w:t xml:space="preserve">1）王保合，博士，曾任富国基金管理有限公司研究员、富国沪深300增强证券投资基金基金经理助理；2011年3月起任上证综指交易型开放式指数证券投资基金、富国上证综指交易型开放式指数证券投资基金联接基金基金经理，2013年9月起任富国创业板指数分级证券投资基金基金经理，2014年4月起任富国中证军工指数分级证券投资基金基金经理，2015年4月起任富国中证移动互联网指数分级证券投资基金、富国中证国有企业改革指数分级证券投资基金基金经理,2015年5月起任富国中证全指证券公司指数分级证券投资基金、富国中证银行指数分级证券投资基金（已于2019年5月10日变更为富国中证银行指数型证券投资基金）基金经理，2017年9月至2019年10月任富国丰利增强债券型发起式证券投资基金基金经理。2018年3月至2019年10月任富国中证10年期国债交易型开放式指数证券投资基金基金经理，2019年3月起任富国恒生中国企业交易型开放式指数证券投资基金基金经理，2019年11月起任富国中证国企一带一路交易型开放式指数证券投资基金基金经理，2019年12月起任富国中证国企一带一路交易型开放式指数证券投资基金联接基金基金经理；兼任量化投资部总经理。具有基金从业资格。 </w:t>
      </w:r>
    </w:p>
    <w:p w:rsidR="00606FED" w:rsidRPr="00CC2D6A" w:rsidRDefault="00606FED" w:rsidP="00606FED">
      <w:pPr>
        <w:adjustRightInd w:val="0"/>
        <w:snapToGrid w:val="0"/>
        <w:ind w:firstLine="480"/>
        <w:rPr>
          <w:rFonts w:ascii="宋体" w:hAnsi="宋体" w:hint="eastAsia"/>
        </w:rPr>
      </w:pPr>
      <w:r w:rsidRPr="004028CA">
        <w:rPr>
          <w:rFonts w:ascii="宋体" w:hAnsi="宋体" w:hint="eastAsia"/>
        </w:rPr>
        <w:t>2）曹璐迪，硕士，自2016年7月起历任富国基金管理有限公司助理定量研究员、定量研究员；自2020年5月起任富国中证价值交易型开放式指数证券投资基金、富国中证价值交易型开放式指数证券投资基金联接基金基金经理，自2020年8月起任富国恒生中国企业交易型开放式指数证券投资基金、富国创业板交易型开放式指数证券投资基金基金经理。具有基金从业资格。</w:t>
      </w:r>
    </w:p>
    <w:p w:rsidR="00606FED" w:rsidRPr="00CC2D6A" w:rsidRDefault="00606FED" w:rsidP="00606FED">
      <w:pPr>
        <w:adjustRightInd w:val="0"/>
        <w:snapToGrid w:val="0"/>
        <w:ind w:firstLine="480"/>
        <w:rPr>
          <w:rFonts w:ascii="宋体" w:hAnsi="宋体" w:hint="eastAsia"/>
        </w:rPr>
      </w:pPr>
      <w:r w:rsidRPr="00CC2D6A">
        <w:rPr>
          <w:rFonts w:ascii="宋体" w:hAnsi="宋体" w:hint="eastAsia"/>
        </w:rPr>
        <w:t>（2）历任基金经理</w:t>
      </w:r>
    </w:p>
    <w:p w:rsidR="00606FED" w:rsidRDefault="00606FED" w:rsidP="00606FED">
      <w:pPr>
        <w:adjustRightInd w:val="0"/>
        <w:snapToGrid w:val="0"/>
        <w:ind w:firstLine="480"/>
        <w:rPr>
          <w:rFonts w:ascii="宋体" w:hAnsi="宋体"/>
        </w:rPr>
      </w:pPr>
      <w:r w:rsidRPr="00CC2D6A">
        <w:rPr>
          <w:rFonts w:ascii="宋体" w:hAnsi="宋体" w:hint="eastAsia"/>
        </w:rPr>
        <w:t>张峰自2019年3月至2020年6月担任本基金基金经理</w:t>
      </w:r>
      <w:r>
        <w:rPr>
          <w:rFonts w:ascii="宋体" w:hAnsi="宋体" w:hint="eastAsia"/>
        </w:rPr>
        <w:t>；</w:t>
      </w:r>
    </w:p>
    <w:p w:rsidR="00C93E26" w:rsidRDefault="00606FED" w:rsidP="003A318F">
      <w:pPr>
        <w:adjustRightInd w:val="0"/>
        <w:snapToGrid w:val="0"/>
        <w:ind w:firstLine="480"/>
        <w:rPr>
          <w:rFonts w:ascii="宋体" w:hAnsi="宋体" w:hint="eastAsia"/>
        </w:rPr>
      </w:pPr>
      <w:r w:rsidRPr="0071120F">
        <w:rPr>
          <w:rFonts w:ascii="宋体" w:hAnsi="宋体" w:hint="eastAsia"/>
        </w:rPr>
        <w:t>王乐乐自2019年3月至2020年8月担任本基金基金经理。</w:t>
      </w:r>
    </w:p>
    <w:p w:rsidR="00C93E26" w:rsidRPr="003746BB" w:rsidRDefault="00C93E26" w:rsidP="00C93E26">
      <w:pPr>
        <w:pStyle w:val="3"/>
        <w:numPr>
          <w:ilvl w:val="2"/>
          <w:numId w:val="15"/>
        </w:numPr>
        <w:ind w:firstLine="482"/>
      </w:pPr>
      <w:r w:rsidRPr="003746BB">
        <w:t>投资决策委员会成员</w:t>
      </w:r>
    </w:p>
    <w:p w:rsidR="00C93E26" w:rsidRPr="00D92A22" w:rsidRDefault="00114B27" w:rsidP="003D7B6D">
      <w:pPr>
        <w:adjustRightInd w:val="0"/>
        <w:snapToGrid w:val="0"/>
        <w:ind w:firstLine="480"/>
        <w:rPr>
          <w:rFonts w:ascii="宋体" w:hAnsi="宋体" w:hint="eastAsia"/>
        </w:rPr>
      </w:pPr>
      <w:r>
        <w:rPr>
          <w:rFonts w:ascii="宋体" w:hAnsi="宋体" w:hint="eastAsia"/>
        </w:rPr>
        <w:t>公司投委会成员：总经理陈戈，分管副总经理朱少醒，分管副总经理李笑薇</w:t>
      </w:r>
    </w:p>
    <w:p w:rsidR="00C93E26" w:rsidRPr="003746BB" w:rsidRDefault="00C93E26" w:rsidP="00C93E26">
      <w:pPr>
        <w:pStyle w:val="3"/>
        <w:numPr>
          <w:ilvl w:val="2"/>
          <w:numId w:val="15"/>
        </w:numPr>
        <w:ind w:firstLine="482"/>
      </w:pPr>
      <w:r>
        <w:rPr>
          <w:rFonts w:hint="eastAsia"/>
        </w:rPr>
        <w:t>其他</w:t>
      </w:r>
    </w:p>
    <w:p w:rsidR="00C93E26" w:rsidRDefault="00114B27" w:rsidP="003D7B6D">
      <w:pPr>
        <w:adjustRightInd w:val="0"/>
        <w:snapToGrid w:val="0"/>
        <w:ind w:firstLine="480"/>
        <w:rPr>
          <w:rFonts w:ascii="宋体" w:hAnsi="宋体" w:hint="eastAsia"/>
        </w:rPr>
      </w:pPr>
      <w:r>
        <w:rPr>
          <w:rFonts w:ascii="宋体" w:hAnsi="宋体" w:hint="eastAsia"/>
        </w:rPr>
        <w:t>上述人员之间不存在近亲属关系。</w:t>
      </w:r>
    </w:p>
    <w:p w:rsidR="00C93E26" w:rsidRPr="00FA70E4" w:rsidRDefault="00C93E26" w:rsidP="00C93E26">
      <w:pPr>
        <w:pStyle w:val="1"/>
        <w:keepLines/>
        <w:numPr>
          <w:ilvl w:val="0"/>
          <w:numId w:val="15"/>
        </w:numPr>
        <w:ind w:left="0" w:firstLine="562"/>
      </w:pPr>
      <w:bookmarkStart w:id="2" w:name="_Toc426979842"/>
      <w:r w:rsidRPr="00FA70E4">
        <w:t>基金托管人</w:t>
      </w:r>
      <w:bookmarkEnd w:id="2"/>
    </w:p>
    <w:p w:rsidR="00114B27" w:rsidRPr="004740A6" w:rsidRDefault="00114B27" w:rsidP="008D6A0F">
      <w:pPr>
        <w:adjustRightInd w:val="0"/>
        <w:snapToGrid w:val="0"/>
        <w:ind w:firstLine="482"/>
        <w:rPr>
          <w:b/>
        </w:rPr>
      </w:pPr>
      <w:r>
        <w:rPr>
          <w:rFonts w:hint="eastAsia"/>
          <w:b/>
        </w:rPr>
        <w:t>一、</w:t>
      </w:r>
      <w:r w:rsidRPr="004740A6">
        <w:rPr>
          <w:rFonts w:hint="eastAsia"/>
          <w:b/>
        </w:rPr>
        <w:t>基金托管人基本情况</w:t>
      </w:r>
    </w:p>
    <w:p w:rsidR="00114B27" w:rsidRPr="008A2119" w:rsidRDefault="00114B27" w:rsidP="008D6A0F">
      <w:pPr>
        <w:adjustRightInd w:val="0"/>
        <w:snapToGrid w:val="0"/>
        <w:ind w:firstLine="480"/>
        <w:rPr>
          <w:rFonts w:ascii="宋体" w:hAnsi="宋体" w:hint="eastAsia"/>
        </w:rPr>
      </w:pPr>
      <w:r w:rsidRPr="008A2119">
        <w:rPr>
          <w:rFonts w:ascii="宋体" w:hAnsi="宋体" w:hint="eastAsia"/>
        </w:rPr>
        <w:t>名称：中国工商银行股份有限公司</w:t>
      </w:r>
    </w:p>
    <w:p w:rsidR="00114B27" w:rsidRPr="008A2119" w:rsidRDefault="00114B27" w:rsidP="008D6A0F">
      <w:pPr>
        <w:adjustRightInd w:val="0"/>
        <w:snapToGrid w:val="0"/>
        <w:ind w:firstLine="480"/>
        <w:rPr>
          <w:rFonts w:ascii="宋体" w:hAnsi="宋体" w:hint="eastAsia"/>
        </w:rPr>
      </w:pPr>
      <w:r w:rsidRPr="008A2119">
        <w:rPr>
          <w:rFonts w:ascii="宋体" w:hAnsi="宋体" w:hint="eastAsia"/>
        </w:rPr>
        <w:t>注册地址：北京市西城区复兴门内大街55号</w:t>
      </w:r>
    </w:p>
    <w:p w:rsidR="00114B27" w:rsidRPr="008A2119" w:rsidRDefault="00114B27" w:rsidP="008D6A0F">
      <w:pPr>
        <w:adjustRightInd w:val="0"/>
        <w:snapToGrid w:val="0"/>
        <w:ind w:firstLine="480"/>
        <w:rPr>
          <w:rFonts w:ascii="宋体" w:hAnsi="宋体" w:hint="eastAsia"/>
        </w:rPr>
      </w:pPr>
      <w:r w:rsidRPr="008A2119">
        <w:rPr>
          <w:rFonts w:ascii="宋体" w:hAnsi="宋体" w:hint="eastAsia"/>
        </w:rPr>
        <w:t>成立时间：1984年1月1日</w:t>
      </w:r>
    </w:p>
    <w:p w:rsidR="00114B27" w:rsidRPr="008A2119" w:rsidRDefault="00114B27" w:rsidP="008D6A0F">
      <w:pPr>
        <w:adjustRightInd w:val="0"/>
        <w:snapToGrid w:val="0"/>
        <w:ind w:firstLine="480"/>
        <w:rPr>
          <w:rFonts w:ascii="宋体" w:hAnsi="宋体" w:hint="eastAsia"/>
        </w:rPr>
      </w:pPr>
      <w:r w:rsidRPr="008A2119">
        <w:rPr>
          <w:rFonts w:ascii="宋体" w:hAnsi="宋体" w:hint="eastAsia"/>
        </w:rPr>
        <w:t>法定代表人：</w:t>
      </w:r>
      <w:r>
        <w:rPr>
          <w:rFonts w:ascii="宋体" w:hAnsi="宋体" w:hint="eastAsia"/>
        </w:rPr>
        <w:t>陈四清</w:t>
      </w:r>
    </w:p>
    <w:p w:rsidR="00114B27" w:rsidRPr="008A2119" w:rsidRDefault="00114B27" w:rsidP="008D6A0F">
      <w:pPr>
        <w:adjustRightInd w:val="0"/>
        <w:snapToGrid w:val="0"/>
        <w:ind w:firstLine="480"/>
        <w:rPr>
          <w:rFonts w:ascii="宋体" w:hAnsi="宋体" w:hint="eastAsia"/>
        </w:rPr>
      </w:pPr>
      <w:r w:rsidRPr="008A2119">
        <w:rPr>
          <w:rFonts w:ascii="宋体" w:hAnsi="宋体" w:hint="eastAsia"/>
        </w:rPr>
        <w:t>注册资本：人民币3</w:t>
      </w:r>
      <w:r>
        <w:rPr>
          <w:rFonts w:ascii="宋体" w:hAnsi="宋体" w:hint="eastAsia"/>
        </w:rPr>
        <w:t>5</w:t>
      </w:r>
      <w:r w:rsidRPr="008A2119">
        <w:rPr>
          <w:rFonts w:ascii="宋体" w:hAnsi="宋体" w:hint="eastAsia"/>
        </w:rPr>
        <w:t>,</w:t>
      </w:r>
      <w:r>
        <w:rPr>
          <w:rFonts w:ascii="宋体" w:hAnsi="宋体" w:hint="eastAsia"/>
        </w:rPr>
        <w:t>640</w:t>
      </w:r>
      <w:r w:rsidRPr="008A2119">
        <w:rPr>
          <w:rFonts w:ascii="宋体" w:hAnsi="宋体" w:hint="eastAsia"/>
        </w:rPr>
        <w:t>,</w:t>
      </w:r>
      <w:r>
        <w:rPr>
          <w:rFonts w:ascii="宋体" w:hAnsi="宋体" w:hint="eastAsia"/>
        </w:rPr>
        <w:t>625</w:t>
      </w:r>
      <w:r w:rsidRPr="008A2119">
        <w:rPr>
          <w:rFonts w:ascii="宋体" w:hAnsi="宋体" w:hint="eastAsia"/>
        </w:rPr>
        <w:t>.</w:t>
      </w:r>
      <w:r w:rsidRPr="00F97B8B">
        <w:rPr>
          <w:rFonts w:ascii="宋体" w:hAnsi="宋体"/>
        </w:rPr>
        <w:t>7089</w:t>
      </w:r>
      <w:r w:rsidRPr="008A2119">
        <w:rPr>
          <w:rFonts w:ascii="宋体" w:hAnsi="宋体" w:hint="eastAsia"/>
        </w:rPr>
        <w:t>万元</w:t>
      </w:r>
    </w:p>
    <w:p w:rsidR="00114B27" w:rsidRPr="008A2119" w:rsidRDefault="00114B27" w:rsidP="008D6A0F">
      <w:pPr>
        <w:adjustRightInd w:val="0"/>
        <w:snapToGrid w:val="0"/>
        <w:ind w:firstLine="480"/>
        <w:rPr>
          <w:rFonts w:ascii="宋体" w:hAnsi="宋体" w:hint="eastAsia"/>
        </w:rPr>
      </w:pPr>
      <w:r w:rsidRPr="008A2119">
        <w:rPr>
          <w:rFonts w:ascii="宋体" w:hAnsi="宋体" w:hint="eastAsia"/>
        </w:rPr>
        <w:t>联系电话：010-66105799</w:t>
      </w:r>
    </w:p>
    <w:p w:rsidR="00114B27" w:rsidRPr="00B603C3" w:rsidRDefault="00114B27" w:rsidP="008D6A0F">
      <w:pPr>
        <w:adjustRightInd w:val="0"/>
        <w:snapToGrid w:val="0"/>
        <w:ind w:firstLine="480"/>
        <w:rPr>
          <w:rFonts w:ascii="宋体" w:hAnsi="宋体"/>
        </w:rPr>
      </w:pPr>
      <w:r w:rsidRPr="008A2119">
        <w:rPr>
          <w:rFonts w:ascii="宋体" w:hAnsi="宋体" w:hint="eastAsia"/>
        </w:rPr>
        <w:t>联系人：郭明</w:t>
      </w:r>
    </w:p>
    <w:p w:rsidR="00114B27" w:rsidRPr="004740A6" w:rsidRDefault="00114B27" w:rsidP="008D6A0F">
      <w:pPr>
        <w:adjustRightInd w:val="0"/>
        <w:snapToGrid w:val="0"/>
        <w:ind w:firstLine="482"/>
        <w:rPr>
          <w:b/>
        </w:rPr>
      </w:pPr>
      <w:r>
        <w:rPr>
          <w:rFonts w:hint="eastAsia"/>
          <w:b/>
        </w:rPr>
        <w:t>二、</w:t>
      </w:r>
      <w:r w:rsidRPr="004740A6">
        <w:rPr>
          <w:rFonts w:hint="eastAsia"/>
          <w:b/>
        </w:rPr>
        <w:t>主要人员情况</w:t>
      </w:r>
    </w:p>
    <w:p w:rsidR="00114B27" w:rsidRPr="00B603C3" w:rsidRDefault="00114B27" w:rsidP="008D6A0F">
      <w:pPr>
        <w:adjustRightInd w:val="0"/>
        <w:snapToGrid w:val="0"/>
        <w:ind w:firstLine="480"/>
        <w:rPr>
          <w:rFonts w:ascii="宋体" w:hAnsi="宋体"/>
        </w:rPr>
      </w:pPr>
      <w:r w:rsidRPr="00F97B8B">
        <w:rPr>
          <w:rFonts w:ascii="宋体" w:hAnsi="宋体" w:hint="eastAsia"/>
        </w:rPr>
        <w:t>截至2019年9月，中国工商银行资产托管部共有员工208人，平均年龄33岁，95%以上员工拥有大学本科以上学历，高管人员均拥有研究生以上学历或高级技术职称。</w:t>
      </w:r>
    </w:p>
    <w:p w:rsidR="00114B27" w:rsidRPr="004740A6" w:rsidRDefault="00114B27" w:rsidP="008D6A0F">
      <w:pPr>
        <w:adjustRightInd w:val="0"/>
        <w:snapToGrid w:val="0"/>
        <w:ind w:firstLine="482"/>
        <w:rPr>
          <w:b/>
        </w:rPr>
      </w:pPr>
      <w:r w:rsidRPr="004740A6">
        <w:rPr>
          <w:rFonts w:hint="eastAsia"/>
          <w:b/>
        </w:rPr>
        <w:t>三、基金托管业务经营情况</w:t>
      </w:r>
    </w:p>
    <w:p w:rsidR="00114B27" w:rsidRPr="00B603C3" w:rsidRDefault="00114B27" w:rsidP="008D6A0F">
      <w:pPr>
        <w:adjustRightInd w:val="0"/>
        <w:snapToGrid w:val="0"/>
        <w:ind w:firstLine="480"/>
        <w:rPr>
          <w:rFonts w:ascii="宋体" w:hAnsi="宋体"/>
        </w:rPr>
      </w:pPr>
      <w:r w:rsidRPr="00F97B8B">
        <w:rPr>
          <w:rFonts w:ascii="宋体" w:hAnsi="宋体"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中国工商银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认可和广泛好评。</w:t>
      </w:r>
    </w:p>
    <w:p w:rsidR="00114B27" w:rsidRPr="00E700BB" w:rsidRDefault="00114B27" w:rsidP="00114B27">
      <w:pPr>
        <w:adjustRightInd w:val="0"/>
        <w:snapToGrid w:val="0"/>
        <w:spacing w:before="50" w:after="50"/>
        <w:ind w:firstLine="480"/>
        <w:rPr>
          <w:rFonts w:hint="eastAsia"/>
        </w:rPr>
      </w:pPr>
    </w:p>
    <w:p w:rsidR="00C93E26" w:rsidRPr="00FA70E4" w:rsidRDefault="00C93E26" w:rsidP="00C93E26">
      <w:pPr>
        <w:pStyle w:val="1"/>
        <w:keepLines/>
        <w:numPr>
          <w:ilvl w:val="0"/>
          <w:numId w:val="15"/>
        </w:numPr>
        <w:ind w:left="0" w:firstLine="562"/>
      </w:pPr>
      <w:bookmarkStart w:id="3" w:name="_Toc426979843"/>
      <w:r w:rsidRPr="00FA70E4">
        <w:t>相关服务机构</w:t>
      </w:r>
      <w:bookmarkEnd w:id="3"/>
    </w:p>
    <w:p w:rsidR="00C93E26" w:rsidRPr="003746BB" w:rsidRDefault="00C93E26" w:rsidP="00C93E26">
      <w:pPr>
        <w:pStyle w:val="2"/>
        <w:numPr>
          <w:ilvl w:val="1"/>
          <w:numId w:val="15"/>
        </w:numPr>
        <w:ind w:firstLine="482"/>
        <w:rPr>
          <w:rFonts w:hint="eastAsia"/>
        </w:rPr>
      </w:pPr>
      <w:r w:rsidRPr="003746BB">
        <w:t>基金</w:t>
      </w:r>
      <w:r w:rsidRPr="003746BB">
        <w:rPr>
          <w:rFonts w:hint="eastAsia"/>
        </w:rPr>
        <w:t>销售</w:t>
      </w:r>
      <w:r w:rsidRPr="003746BB">
        <w:t>机构</w:t>
      </w:r>
      <w:r w:rsidRPr="003746BB">
        <w:t xml:space="preserve"> </w:t>
      </w:r>
    </w:p>
    <w:p w:rsidR="00C93E26" w:rsidRPr="003746BB" w:rsidRDefault="00C93E26" w:rsidP="00C93E26">
      <w:pPr>
        <w:pStyle w:val="3"/>
        <w:numPr>
          <w:ilvl w:val="2"/>
          <w:numId w:val="15"/>
        </w:numPr>
        <w:ind w:firstLine="482"/>
        <w:rPr>
          <w:rFonts w:hint="eastAsia"/>
        </w:rPr>
      </w:pPr>
      <w:r w:rsidRPr="003746BB">
        <w:rPr>
          <w:rFonts w:hint="eastAsia"/>
        </w:rPr>
        <w:t>直销机构</w:t>
      </w:r>
    </w:p>
    <w:p w:rsidR="00114B27" w:rsidRDefault="00114B27" w:rsidP="003D7B6D">
      <w:pPr>
        <w:widowControl/>
        <w:ind w:firstLine="480"/>
        <w:rPr>
          <w:rFonts w:ascii="宋体" w:hAnsi="宋体"/>
        </w:rPr>
      </w:pPr>
      <w:r>
        <w:rPr>
          <w:rFonts w:ascii="宋体" w:hAnsi="宋体" w:hint="eastAsia"/>
        </w:rPr>
        <w:t>名称：富国基金管理有限公司</w:t>
      </w:r>
    </w:p>
    <w:p w:rsidR="00114B27" w:rsidRDefault="00114B27" w:rsidP="003D7B6D">
      <w:pPr>
        <w:widowControl/>
        <w:ind w:firstLine="480"/>
        <w:rPr>
          <w:rFonts w:ascii="宋体" w:hAnsi="宋体"/>
        </w:rPr>
      </w:pPr>
      <w:r>
        <w:rPr>
          <w:rFonts w:ascii="宋体" w:hAnsi="宋体" w:hint="eastAsia"/>
        </w:rPr>
        <w:t>住所：中国（上海）自由贸易试验区世纪大道</w:t>
      </w:r>
      <w:r>
        <w:rPr>
          <w:rFonts w:ascii="宋体" w:hAnsi="宋体"/>
        </w:rPr>
        <w:t>1196号世纪汇办公楼二座27-30层</w:t>
      </w:r>
    </w:p>
    <w:p w:rsidR="00114B27" w:rsidRDefault="00114B27" w:rsidP="003D7B6D">
      <w:pPr>
        <w:widowControl/>
        <w:ind w:firstLine="480"/>
        <w:rPr>
          <w:rFonts w:ascii="宋体" w:hAnsi="宋体"/>
        </w:rPr>
      </w:pPr>
      <w:r>
        <w:rPr>
          <w:rFonts w:ascii="宋体" w:hAnsi="宋体" w:hint="eastAsia"/>
        </w:rPr>
        <w:t>办公地址：中国（上海）自由贸易试验区世纪大道</w:t>
      </w:r>
      <w:r>
        <w:rPr>
          <w:rFonts w:ascii="宋体" w:hAnsi="宋体"/>
        </w:rPr>
        <w:t>1196号世纪汇办公楼二座27-30层</w:t>
      </w:r>
    </w:p>
    <w:p w:rsidR="00114B27" w:rsidRDefault="00114B27" w:rsidP="003D7B6D">
      <w:pPr>
        <w:widowControl/>
        <w:ind w:firstLine="480"/>
        <w:rPr>
          <w:rFonts w:ascii="宋体" w:hAnsi="宋体"/>
        </w:rPr>
      </w:pPr>
      <w:r>
        <w:rPr>
          <w:rFonts w:ascii="宋体" w:hAnsi="宋体" w:hint="eastAsia"/>
        </w:rPr>
        <w:t>法定代表人：裴长江</w:t>
      </w:r>
    </w:p>
    <w:p w:rsidR="00114B27" w:rsidRDefault="00114B27" w:rsidP="003D7B6D">
      <w:pPr>
        <w:widowControl/>
        <w:ind w:firstLine="480"/>
        <w:rPr>
          <w:rFonts w:ascii="宋体" w:hAnsi="宋体"/>
        </w:rPr>
      </w:pPr>
      <w:r>
        <w:rPr>
          <w:rFonts w:ascii="宋体" w:hAnsi="宋体" w:hint="eastAsia"/>
        </w:rPr>
        <w:t>总经理：陈戈</w:t>
      </w:r>
    </w:p>
    <w:p w:rsidR="00114B27" w:rsidRDefault="00114B27" w:rsidP="003D7B6D">
      <w:pPr>
        <w:widowControl/>
        <w:ind w:firstLine="480"/>
        <w:rPr>
          <w:rFonts w:ascii="宋体" w:hAnsi="宋体"/>
        </w:rPr>
      </w:pPr>
      <w:r>
        <w:rPr>
          <w:rFonts w:ascii="宋体" w:hAnsi="宋体" w:hint="eastAsia"/>
        </w:rPr>
        <w:t>成立日期：</w:t>
      </w:r>
      <w:r>
        <w:rPr>
          <w:rFonts w:ascii="宋体" w:hAnsi="宋体"/>
        </w:rPr>
        <w:t>1999年4月13日</w:t>
      </w:r>
    </w:p>
    <w:p w:rsidR="00114B27" w:rsidRDefault="00114B27" w:rsidP="003D7B6D">
      <w:pPr>
        <w:widowControl/>
        <w:ind w:firstLine="480"/>
        <w:rPr>
          <w:rFonts w:ascii="宋体" w:hAnsi="宋体"/>
        </w:rPr>
      </w:pPr>
      <w:r>
        <w:rPr>
          <w:rFonts w:ascii="宋体" w:hAnsi="宋体" w:hint="eastAsia"/>
        </w:rPr>
        <w:t>直销网点：直销中心</w:t>
      </w:r>
    </w:p>
    <w:p w:rsidR="00114B27" w:rsidRDefault="00114B27" w:rsidP="003D7B6D">
      <w:pPr>
        <w:widowControl/>
        <w:ind w:firstLine="480"/>
        <w:rPr>
          <w:rFonts w:ascii="宋体" w:hAnsi="宋体"/>
        </w:rPr>
      </w:pPr>
      <w:r>
        <w:rPr>
          <w:rFonts w:ascii="宋体" w:hAnsi="宋体" w:hint="eastAsia"/>
        </w:rPr>
        <w:t>直销中心地址：上海市浦东新区世纪大道</w:t>
      </w:r>
      <w:r>
        <w:rPr>
          <w:rFonts w:ascii="宋体" w:hAnsi="宋体"/>
        </w:rPr>
        <w:t>1196号世纪汇二座27层</w:t>
      </w:r>
    </w:p>
    <w:p w:rsidR="00114B27" w:rsidRDefault="00114B27" w:rsidP="003D7B6D">
      <w:pPr>
        <w:widowControl/>
        <w:ind w:firstLine="480"/>
        <w:rPr>
          <w:rFonts w:ascii="宋体" w:hAnsi="宋体"/>
        </w:rPr>
      </w:pPr>
      <w:r>
        <w:rPr>
          <w:rFonts w:ascii="宋体" w:hAnsi="宋体" w:hint="eastAsia"/>
        </w:rPr>
        <w:t>客户服务统一咨询电话：</w:t>
      </w:r>
      <w:r>
        <w:rPr>
          <w:rFonts w:ascii="宋体" w:hAnsi="宋体"/>
        </w:rPr>
        <w:t>95105686、4008880688（全国统一，免长途话费）</w:t>
      </w:r>
    </w:p>
    <w:p w:rsidR="00114B27" w:rsidRDefault="00114B27" w:rsidP="003D7B6D">
      <w:pPr>
        <w:widowControl/>
        <w:ind w:firstLine="480"/>
        <w:rPr>
          <w:rFonts w:ascii="宋体" w:hAnsi="宋体"/>
        </w:rPr>
      </w:pPr>
      <w:r>
        <w:rPr>
          <w:rFonts w:ascii="宋体" w:hAnsi="宋体" w:hint="eastAsia"/>
        </w:rPr>
        <w:t>传真：</w:t>
      </w:r>
      <w:r>
        <w:rPr>
          <w:rFonts w:ascii="宋体" w:hAnsi="宋体"/>
        </w:rPr>
        <w:t>021-20513177</w:t>
      </w:r>
    </w:p>
    <w:p w:rsidR="00114B27" w:rsidRDefault="00114B27" w:rsidP="003D7B6D">
      <w:pPr>
        <w:widowControl/>
        <w:ind w:firstLine="480"/>
        <w:rPr>
          <w:rFonts w:ascii="宋体" w:hAnsi="宋体"/>
        </w:rPr>
      </w:pPr>
      <w:r>
        <w:rPr>
          <w:rFonts w:ascii="宋体" w:hAnsi="宋体" w:hint="eastAsia"/>
        </w:rPr>
        <w:t>联系人：孙迪</w:t>
      </w:r>
    </w:p>
    <w:p w:rsidR="00C93E26" w:rsidRDefault="00114B27" w:rsidP="003D7B6D">
      <w:pPr>
        <w:widowControl/>
        <w:ind w:firstLine="480"/>
        <w:rPr>
          <w:rFonts w:ascii="宋体" w:hAnsi="宋体" w:hint="eastAsia"/>
        </w:rPr>
      </w:pPr>
      <w:r>
        <w:rPr>
          <w:rFonts w:ascii="宋体" w:hAnsi="宋体" w:hint="eastAsia"/>
        </w:rPr>
        <w:t>公司网站：</w:t>
      </w:r>
      <w:r>
        <w:rPr>
          <w:rFonts w:ascii="宋体" w:hAnsi="宋体"/>
        </w:rPr>
        <w:t>www.fullgoal.com.cn</w:t>
      </w:r>
    </w:p>
    <w:p w:rsidR="00C93E26" w:rsidRPr="003746BB" w:rsidRDefault="00C93E26" w:rsidP="00C93E26">
      <w:pPr>
        <w:pStyle w:val="3"/>
        <w:numPr>
          <w:ilvl w:val="2"/>
          <w:numId w:val="15"/>
        </w:numPr>
        <w:ind w:firstLine="482"/>
        <w:rPr>
          <w:rFonts w:hint="eastAsia"/>
        </w:rPr>
      </w:pPr>
      <w:r>
        <w:rPr>
          <w:rFonts w:hint="eastAsia"/>
        </w:rPr>
        <w:t>场外</w:t>
      </w:r>
      <w:r w:rsidRPr="003746BB">
        <w:rPr>
          <w:rFonts w:hint="eastAsia"/>
        </w:rPr>
        <w:t>代销机构</w:t>
      </w:r>
    </w:p>
    <w:p w:rsidR="00114B27" w:rsidRDefault="00114B27" w:rsidP="003D7B6D">
      <w:pPr>
        <w:widowControl/>
        <w:ind w:firstLine="480"/>
        <w:rPr>
          <w:rFonts w:ascii="宋体" w:hAnsi="宋体"/>
        </w:rPr>
      </w:pPr>
      <w:bookmarkStart w:id="4" w:name="_GoBack"/>
      <w:bookmarkEnd w:id="4"/>
      <w:r>
        <w:rPr>
          <w:rFonts w:ascii="宋体" w:hAnsi="宋体"/>
        </w:rPr>
        <w:t>( 1 )国泰君安证券股份有限公司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中国 上海-自由贸易试验区商城路618号</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上海市浦东新区银城中路168号上海银行大厦29楼</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杨德红</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芮敏琪</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400-8888-666/ 95521</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www.gtja.com</w:t>
      </w:r>
    </w:p>
    <w:p w:rsidR="00114B27" w:rsidRDefault="00114B27" w:rsidP="003D7B6D">
      <w:pPr>
        <w:widowControl/>
        <w:ind w:firstLine="480"/>
        <w:rPr>
          <w:rFonts w:ascii="宋体" w:hAnsi="宋体"/>
        </w:rPr>
      </w:pPr>
      <w:r>
        <w:rPr>
          <w:rFonts w:ascii="宋体" w:hAnsi="宋体"/>
        </w:rPr>
        <w:t>( 2 )中信建投证券股份有限公司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北京市朝阳区安立路66号4号楼</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北京市朝阳门内大街188号</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王常青</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权唐</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400-8888-108</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www.csc108.com</w:t>
      </w:r>
    </w:p>
    <w:p w:rsidR="00114B27" w:rsidRDefault="00114B27" w:rsidP="003D7B6D">
      <w:pPr>
        <w:widowControl/>
        <w:ind w:firstLine="480"/>
        <w:rPr>
          <w:rFonts w:ascii="宋体" w:hAnsi="宋体"/>
        </w:rPr>
      </w:pPr>
      <w:r>
        <w:rPr>
          <w:rFonts w:ascii="宋体" w:hAnsi="宋体"/>
        </w:rPr>
        <w:t>( 3 )国信证券股份有限公司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深圳市罗湖区红岭中路1012号国信证券大厦16-26层</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深圳市罗湖区红岭中路1012号国信证券大厦16-26层</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何如</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周杨</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95536</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www.guosen.com.cn</w:t>
      </w:r>
    </w:p>
    <w:p w:rsidR="00114B27" w:rsidRDefault="00114B27" w:rsidP="003D7B6D">
      <w:pPr>
        <w:widowControl/>
        <w:ind w:firstLine="480"/>
        <w:rPr>
          <w:rFonts w:ascii="宋体" w:hAnsi="宋体"/>
        </w:rPr>
      </w:pPr>
      <w:r>
        <w:rPr>
          <w:rFonts w:ascii="宋体" w:hAnsi="宋体"/>
        </w:rPr>
        <w:t>( 4 )招商证券股份有限公司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深圳市福田区益田路江苏大厦A座39—45层</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深圳市福田区福华一路111号招商证券大厦23楼</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宫少林</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林生迎</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95565、400-8888-111</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www.newone.com.cn</w:t>
      </w:r>
    </w:p>
    <w:p w:rsidR="00114B27" w:rsidRDefault="00114B27" w:rsidP="003D7B6D">
      <w:pPr>
        <w:widowControl/>
        <w:ind w:firstLine="480"/>
        <w:rPr>
          <w:rFonts w:ascii="宋体" w:hAnsi="宋体"/>
        </w:rPr>
      </w:pPr>
      <w:r>
        <w:rPr>
          <w:rFonts w:ascii="宋体" w:hAnsi="宋体"/>
        </w:rPr>
        <w:t>( 5 )广发证券股份有限公司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广州天河区天河北路183-187号大都会广场43楼 4301-4316房-</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广东省广州天河北路大都会广场5、18、19、36、38、41和42楼</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孙树明</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黄岚</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95575</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www.gf.com.cn</w:t>
      </w:r>
    </w:p>
    <w:p w:rsidR="00114B27" w:rsidRDefault="00114B27" w:rsidP="003D7B6D">
      <w:pPr>
        <w:widowControl/>
        <w:ind w:firstLine="480"/>
        <w:rPr>
          <w:rFonts w:ascii="宋体" w:hAnsi="宋体"/>
        </w:rPr>
      </w:pPr>
      <w:r>
        <w:rPr>
          <w:rFonts w:ascii="宋体" w:hAnsi="宋体"/>
        </w:rPr>
        <w:t>( 6 )中信证券股份有限公司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广东省深圳市福田区中心三路8号卓越时代广场二期北座</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北京市朝阳区亮马桥路8号中信证券大厦</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张佑君</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顾凌</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95548或4008895548</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www.cs.ecitic.com</w:t>
      </w:r>
    </w:p>
    <w:p w:rsidR="00114B27" w:rsidRDefault="00114B27" w:rsidP="003D7B6D">
      <w:pPr>
        <w:widowControl/>
        <w:ind w:firstLine="480"/>
        <w:rPr>
          <w:rFonts w:ascii="宋体" w:hAnsi="宋体"/>
        </w:rPr>
      </w:pPr>
      <w:r>
        <w:rPr>
          <w:rFonts w:ascii="宋体" w:hAnsi="宋体"/>
        </w:rPr>
        <w:t>( 7 )中国银河证券股份有限公司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北京市西城区金融大街35号国际企业大厦C座</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北京市西城区金融大街35号国际企业大厦C座</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陈有安</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邓颜</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4008-888-888</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www.chinastock.com.cn</w:t>
      </w:r>
    </w:p>
    <w:p w:rsidR="00114B27" w:rsidRDefault="00114B27" w:rsidP="003D7B6D">
      <w:pPr>
        <w:widowControl/>
        <w:ind w:firstLine="480"/>
        <w:rPr>
          <w:rFonts w:ascii="宋体" w:hAnsi="宋体"/>
        </w:rPr>
      </w:pPr>
      <w:r>
        <w:rPr>
          <w:rFonts w:ascii="宋体" w:hAnsi="宋体"/>
        </w:rPr>
        <w:t>( 8 )海通证券股份有限公司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上海市广东路689号</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上海市广东路689</w:t>
      </w:r>
      <w:r>
        <w:rPr>
          <w:rFonts w:ascii="宋体" w:hAnsi="宋体" w:hint="eastAsia"/>
        </w:rPr>
        <w:t>号</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周杰</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李笑鸣</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95553</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www.htsec.com</w:t>
      </w:r>
    </w:p>
    <w:p w:rsidR="00114B27" w:rsidRDefault="00114B27" w:rsidP="003D7B6D">
      <w:pPr>
        <w:widowControl/>
        <w:ind w:firstLine="480"/>
        <w:rPr>
          <w:rFonts w:ascii="宋体" w:hAnsi="宋体"/>
        </w:rPr>
      </w:pPr>
      <w:r>
        <w:rPr>
          <w:rFonts w:ascii="宋体" w:hAnsi="宋体"/>
        </w:rPr>
        <w:t>( 9 )中信证券山东有限责任公司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青岛市崂山区深圳路222号青岛国际金融广场1号楼20层</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青岛市崂山区深圳路222号青岛国际金融广场1号楼20层</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姜晓林</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吴忠超</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95548或400-889-5548</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www.zxzqsd.com.cn</w:t>
      </w:r>
    </w:p>
    <w:p w:rsidR="00114B27" w:rsidRDefault="00114B27" w:rsidP="003D7B6D">
      <w:pPr>
        <w:widowControl/>
        <w:ind w:firstLine="480"/>
        <w:rPr>
          <w:rFonts w:ascii="宋体" w:hAnsi="宋体"/>
        </w:rPr>
      </w:pPr>
      <w:r>
        <w:rPr>
          <w:rFonts w:ascii="宋体" w:hAnsi="宋体"/>
        </w:rPr>
        <w:t>( 10 )光大证券股份有限公司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上海市静安区新闸路1508号</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上海市</w:t>
      </w:r>
      <w:r>
        <w:rPr>
          <w:rFonts w:ascii="宋体" w:hAnsi="宋体" w:hint="eastAsia"/>
        </w:rPr>
        <w:t>静安区新闸路</w:t>
      </w:r>
      <w:r>
        <w:rPr>
          <w:rFonts w:ascii="宋体" w:hAnsi="宋体"/>
        </w:rPr>
        <w:t>1508号</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周健男</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姚巍</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95525</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www.ebscn.com</w:t>
      </w:r>
    </w:p>
    <w:p w:rsidR="00114B27" w:rsidRDefault="00114B27" w:rsidP="003D7B6D">
      <w:pPr>
        <w:widowControl/>
        <w:ind w:firstLine="480"/>
        <w:rPr>
          <w:rFonts w:ascii="宋体" w:hAnsi="宋体"/>
        </w:rPr>
      </w:pPr>
      <w:r>
        <w:rPr>
          <w:rFonts w:ascii="宋体" w:hAnsi="宋体"/>
        </w:rPr>
        <w:t>( 11 )平安证券股份有限公司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深圳市福田区金田路大中华国际交易广场8楼</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深圳市福田区金田路大中华国际交易广场8楼</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杨宇翔</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吴琼</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95511-8</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stock.pingan.com</w:t>
      </w:r>
    </w:p>
    <w:p w:rsidR="00114B27" w:rsidRDefault="00114B27" w:rsidP="003D7B6D">
      <w:pPr>
        <w:widowControl/>
        <w:ind w:firstLine="480"/>
        <w:rPr>
          <w:rFonts w:ascii="宋体" w:hAnsi="宋体"/>
        </w:rPr>
      </w:pPr>
      <w:r>
        <w:rPr>
          <w:rFonts w:ascii="宋体" w:hAnsi="宋体"/>
        </w:rPr>
        <w:t>( 12 )国都证券股份有限公司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北京市东城区东直门南大街3号国华投资大厦9层10层</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北京市东城区东直门南</w:t>
      </w:r>
      <w:r>
        <w:rPr>
          <w:rFonts w:ascii="宋体" w:hAnsi="宋体" w:hint="eastAsia"/>
        </w:rPr>
        <w:t>大街</w:t>
      </w:r>
      <w:r>
        <w:rPr>
          <w:rFonts w:ascii="宋体" w:hAnsi="宋体"/>
        </w:rPr>
        <w:t>3号国华投资大厦9层10层</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王少华</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黄静</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400-818-8118</w:t>
      </w:r>
    </w:p>
    <w:p w:rsidR="00114B27" w:rsidRDefault="00114B27" w:rsidP="003D7B6D">
      <w:pPr>
        <w:widowControl/>
        <w:ind w:firstLine="480"/>
        <w:rPr>
          <w:rFonts w:ascii="宋体" w:hAnsi="宋体"/>
        </w:rPr>
      </w:pPr>
      <w:r>
        <w:rPr>
          <w:rFonts w:ascii="宋体" w:hAnsi="宋体" w:hint="eastAsia"/>
        </w:rPr>
        <w:t>公司网站：</w:t>
      </w:r>
      <w:r>
        <w:rPr>
          <w:rFonts w:ascii="宋体" w:hAnsi="宋体"/>
        </w:rPr>
        <w:t xml:space="preserve"> www.guodu.com</w:t>
      </w:r>
    </w:p>
    <w:p w:rsidR="00114B27" w:rsidRDefault="00114B27" w:rsidP="003D7B6D">
      <w:pPr>
        <w:widowControl/>
        <w:ind w:firstLine="480"/>
        <w:rPr>
          <w:rFonts w:ascii="宋体" w:hAnsi="宋体"/>
        </w:rPr>
      </w:pPr>
      <w:r>
        <w:rPr>
          <w:rFonts w:ascii="宋体" w:hAnsi="宋体"/>
        </w:rPr>
        <w:t>( 13 )中泰证券股份有限公司</w:t>
      </w:r>
    </w:p>
    <w:p w:rsidR="00114B27" w:rsidRDefault="00114B27" w:rsidP="003D7B6D">
      <w:pPr>
        <w:widowControl/>
        <w:ind w:firstLine="480"/>
        <w:rPr>
          <w:rFonts w:ascii="宋体" w:hAnsi="宋体"/>
        </w:rPr>
      </w:pPr>
      <w:r>
        <w:rPr>
          <w:rFonts w:ascii="宋体" w:hAnsi="宋体" w:hint="eastAsia"/>
        </w:rPr>
        <w:t>注册地址：</w:t>
      </w:r>
      <w:r>
        <w:rPr>
          <w:rFonts w:ascii="宋体" w:hAnsi="宋体"/>
        </w:rPr>
        <w:t xml:space="preserve"> 济南市经七路86号</w:t>
      </w:r>
    </w:p>
    <w:p w:rsidR="00114B27" w:rsidRDefault="00114B27" w:rsidP="003D7B6D">
      <w:pPr>
        <w:widowControl/>
        <w:ind w:firstLine="480"/>
        <w:rPr>
          <w:rFonts w:ascii="宋体" w:hAnsi="宋体"/>
        </w:rPr>
      </w:pPr>
      <w:r>
        <w:rPr>
          <w:rFonts w:ascii="宋体" w:hAnsi="宋体" w:hint="eastAsia"/>
        </w:rPr>
        <w:t>办公地址：</w:t>
      </w:r>
      <w:r>
        <w:rPr>
          <w:rFonts w:ascii="宋体" w:hAnsi="宋体"/>
        </w:rPr>
        <w:t xml:space="preserve"> 济南市经七路86号23层</w:t>
      </w:r>
    </w:p>
    <w:p w:rsidR="00114B27" w:rsidRDefault="00114B27" w:rsidP="003D7B6D">
      <w:pPr>
        <w:widowControl/>
        <w:ind w:firstLine="480"/>
        <w:rPr>
          <w:rFonts w:ascii="宋体" w:hAnsi="宋体"/>
        </w:rPr>
      </w:pPr>
      <w:r>
        <w:rPr>
          <w:rFonts w:ascii="宋体" w:hAnsi="宋体" w:hint="eastAsia"/>
        </w:rPr>
        <w:t>法人代表：</w:t>
      </w:r>
      <w:r>
        <w:rPr>
          <w:rFonts w:ascii="宋体" w:hAnsi="宋体"/>
        </w:rPr>
        <w:t xml:space="preserve"> 李玮</w:t>
      </w:r>
    </w:p>
    <w:p w:rsidR="00114B27" w:rsidRDefault="00114B27" w:rsidP="003D7B6D">
      <w:pPr>
        <w:widowControl/>
        <w:ind w:firstLine="480"/>
        <w:rPr>
          <w:rFonts w:ascii="宋体" w:hAnsi="宋体"/>
        </w:rPr>
      </w:pPr>
      <w:r>
        <w:rPr>
          <w:rFonts w:ascii="宋体" w:hAnsi="宋体" w:hint="eastAsia"/>
        </w:rPr>
        <w:t>联系人员：</w:t>
      </w:r>
      <w:r>
        <w:rPr>
          <w:rFonts w:ascii="宋体" w:hAnsi="宋体"/>
        </w:rPr>
        <w:t xml:space="preserve"> 吴阳</w:t>
      </w:r>
    </w:p>
    <w:p w:rsidR="00114B27" w:rsidRDefault="00114B27" w:rsidP="003D7B6D">
      <w:pPr>
        <w:widowControl/>
        <w:ind w:firstLine="480"/>
        <w:rPr>
          <w:rFonts w:ascii="宋体" w:hAnsi="宋体"/>
        </w:rPr>
      </w:pPr>
      <w:r>
        <w:rPr>
          <w:rFonts w:ascii="宋体" w:hAnsi="宋体" w:hint="eastAsia"/>
        </w:rPr>
        <w:t>客服电话：</w:t>
      </w:r>
      <w:r>
        <w:rPr>
          <w:rFonts w:ascii="宋体" w:hAnsi="宋体"/>
        </w:rPr>
        <w:t xml:space="preserve"> 95538</w:t>
      </w:r>
    </w:p>
    <w:p w:rsidR="00C93E26" w:rsidRDefault="00114B27" w:rsidP="003D7B6D">
      <w:pPr>
        <w:widowControl/>
        <w:ind w:firstLine="480"/>
        <w:rPr>
          <w:rFonts w:ascii="宋体" w:hAnsi="宋体" w:hint="eastAsia"/>
        </w:rPr>
      </w:pPr>
      <w:r>
        <w:rPr>
          <w:rFonts w:ascii="宋体" w:hAnsi="宋体" w:hint="eastAsia"/>
        </w:rPr>
        <w:t>公司网站：</w:t>
      </w:r>
      <w:r>
        <w:rPr>
          <w:rFonts w:ascii="宋体" w:hAnsi="宋体"/>
        </w:rPr>
        <w:t xml:space="preserve"> www.qlzq.com.cn</w:t>
      </w:r>
    </w:p>
    <w:p w:rsidR="00C93E26" w:rsidRPr="003746BB" w:rsidRDefault="00C93E26" w:rsidP="00C93E26">
      <w:pPr>
        <w:pStyle w:val="3"/>
        <w:numPr>
          <w:ilvl w:val="2"/>
          <w:numId w:val="15"/>
        </w:numPr>
        <w:ind w:firstLine="482"/>
        <w:rPr>
          <w:rFonts w:hint="eastAsia"/>
        </w:rPr>
      </w:pPr>
      <w:r w:rsidRPr="003746BB">
        <w:rPr>
          <w:rFonts w:hint="eastAsia"/>
        </w:rPr>
        <w:t>场内销售机构</w:t>
      </w:r>
    </w:p>
    <w:p w:rsidR="00C93E26" w:rsidRDefault="00797C18" w:rsidP="003D7B6D">
      <w:pPr>
        <w:ind w:firstLine="480"/>
        <w:rPr>
          <w:rFonts w:hint="eastAsia"/>
        </w:rPr>
      </w:pPr>
      <w:r>
        <w:rPr>
          <w:rFonts w:hint="eastAsia"/>
        </w:rPr>
        <w:t>本</w:t>
      </w:r>
      <w:r w:rsidRPr="00797C18">
        <w:rPr>
          <w:rFonts w:hint="eastAsia"/>
        </w:rPr>
        <w:t>基金办理场内销售业务的机构为具有基金销售业务资格并经深圳证券交易所和中国证券登记结算有限责任公司认可的深圳证券交易所会员。</w:t>
      </w:r>
    </w:p>
    <w:p w:rsidR="00C93E26" w:rsidRPr="003746BB" w:rsidRDefault="00C93E26" w:rsidP="00C93E26">
      <w:pPr>
        <w:pStyle w:val="3"/>
        <w:numPr>
          <w:ilvl w:val="2"/>
          <w:numId w:val="15"/>
        </w:numPr>
        <w:ind w:firstLine="482"/>
        <w:rPr>
          <w:rFonts w:hint="eastAsia"/>
        </w:rPr>
      </w:pPr>
      <w:r>
        <w:rPr>
          <w:rFonts w:hint="eastAsia"/>
        </w:rPr>
        <w:t>其他</w:t>
      </w:r>
    </w:p>
    <w:p w:rsidR="00C93E26" w:rsidRDefault="00114B27" w:rsidP="003D7B6D">
      <w:pPr>
        <w:ind w:firstLineChars="177" w:firstLine="425"/>
        <w:rPr>
          <w:rFonts w:ascii="宋体" w:hAnsi="宋体" w:hint="eastAsia"/>
        </w:rPr>
      </w:pPr>
      <w:r>
        <w:rPr>
          <w:rFonts w:ascii="宋体" w:hAnsi="宋体" w:hint="eastAsia"/>
        </w:rPr>
        <w:t>基金管理人可根据有关法律法规的要求，增加或调整本基金销售机构，并在基金管理人网站公示。</w:t>
      </w:r>
    </w:p>
    <w:p w:rsidR="00C93E26" w:rsidRDefault="00C93E26" w:rsidP="003D7B6D">
      <w:pPr>
        <w:ind w:firstLineChars="177" w:firstLine="425"/>
        <w:rPr>
          <w:rFonts w:ascii="宋体" w:hAnsi="宋体" w:hint="eastAsia"/>
        </w:rPr>
      </w:pPr>
    </w:p>
    <w:p w:rsidR="00C93E26" w:rsidRPr="003746BB" w:rsidRDefault="00C93E26" w:rsidP="00C93E26">
      <w:pPr>
        <w:pStyle w:val="2"/>
        <w:numPr>
          <w:ilvl w:val="1"/>
          <w:numId w:val="15"/>
        </w:numPr>
        <w:ind w:firstLine="482"/>
      </w:pPr>
      <w:r w:rsidRPr="003746BB">
        <w:t>基金登记机构</w:t>
      </w:r>
    </w:p>
    <w:p w:rsidR="00114B27" w:rsidRDefault="00114B27" w:rsidP="00114B27">
      <w:pPr>
        <w:widowControl/>
        <w:ind w:firstLine="480"/>
        <w:rPr>
          <w:rFonts w:ascii="宋体" w:hAnsi="宋体"/>
        </w:rPr>
      </w:pPr>
      <w:r>
        <w:rPr>
          <w:rFonts w:ascii="宋体" w:hAnsi="宋体" w:hint="eastAsia"/>
        </w:rPr>
        <w:t>名称：中国证券登记结算有限责任公司</w:t>
      </w:r>
    </w:p>
    <w:p w:rsidR="00114B27" w:rsidRDefault="00114B27" w:rsidP="00114B27">
      <w:pPr>
        <w:widowControl/>
        <w:ind w:firstLine="480"/>
        <w:rPr>
          <w:rFonts w:ascii="宋体" w:hAnsi="宋体"/>
        </w:rPr>
      </w:pPr>
      <w:r>
        <w:rPr>
          <w:rFonts w:ascii="宋体" w:hAnsi="宋体" w:hint="eastAsia"/>
        </w:rPr>
        <w:t>住所：北京市西城区太平桥大街</w:t>
      </w:r>
      <w:r>
        <w:rPr>
          <w:rFonts w:ascii="宋体" w:hAnsi="宋体"/>
        </w:rPr>
        <w:t>17号</w:t>
      </w:r>
    </w:p>
    <w:p w:rsidR="00114B27" w:rsidRDefault="00114B27" w:rsidP="00114B27">
      <w:pPr>
        <w:widowControl/>
        <w:ind w:firstLine="480"/>
        <w:rPr>
          <w:rFonts w:ascii="宋体" w:hAnsi="宋体"/>
        </w:rPr>
      </w:pPr>
      <w:r>
        <w:rPr>
          <w:rFonts w:ascii="宋体" w:hAnsi="宋体" w:hint="eastAsia"/>
        </w:rPr>
        <w:t>办公地址：北京市西城区太平桥大街</w:t>
      </w:r>
      <w:r>
        <w:rPr>
          <w:rFonts w:ascii="宋体" w:hAnsi="宋体"/>
        </w:rPr>
        <w:t>17号</w:t>
      </w:r>
    </w:p>
    <w:p w:rsidR="00114B27" w:rsidRDefault="00114B27" w:rsidP="00114B27">
      <w:pPr>
        <w:widowControl/>
        <w:ind w:firstLine="480"/>
        <w:rPr>
          <w:rFonts w:ascii="宋体" w:hAnsi="宋体"/>
        </w:rPr>
      </w:pPr>
      <w:r>
        <w:rPr>
          <w:rFonts w:ascii="宋体" w:hAnsi="宋体" w:hint="eastAsia"/>
        </w:rPr>
        <w:t>法定代表人：周明</w:t>
      </w:r>
    </w:p>
    <w:p w:rsidR="00114B27" w:rsidRDefault="00114B27" w:rsidP="00114B27">
      <w:pPr>
        <w:widowControl/>
        <w:ind w:firstLine="480"/>
        <w:rPr>
          <w:rFonts w:ascii="宋体" w:hAnsi="宋体"/>
        </w:rPr>
      </w:pPr>
      <w:r>
        <w:rPr>
          <w:rFonts w:ascii="宋体" w:hAnsi="宋体" w:hint="eastAsia"/>
        </w:rPr>
        <w:t>电话：（</w:t>
      </w:r>
      <w:r>
        <w:rPr>
          <w:rFonts w:ascii="宋体" w:hAnsi="宋体"/>
        </w:rPr>
        <w:t>010）50938782</w:t>
      </w:r>
    </w:p>
    <w:p w:rsidR="00114B27" w:rsidRDefault="00114B27" w:rsidP="00114B27">
      <w:pPr>
        <w:widowControl/>
        <w:ind w:firstLine="480"/>
        <w:rPr>
          <w:rFonts w:ascii="宋体" w:hAnsi="宋体"/>
        </w:rPr>
      </w:pPr>
      <w:r>
        <w:rPr>
          <w:rFonts w:ascii="宋体" w:hAnsi="宋体" w:hint="eastAsia"/>
        </w:rPr>
        <w:t>传真：（</w:t>
      </w:r>
      <w:r>
        <w:rPr>
          <w:rFonts w:ascii="宋体" w:hAnsi="宋体"/>
        </w:rPr>
        <w:t>010）50938991</w:t>
      </w:r>
    </w:p>
    <w:p w:rsidR="00C93E26" w:rsidRDefault="00114B27" w:rsidP="00114B27">
      <w:pPr>
        <w:widowControl/>
        <w:ind w:firstLine="480"/>
        <w:rPr>
          <w:rFonts w:hint="eastAsia"/>
          <w:kern w:val="0"/>
          <w:sz w:val="28"/>
          <w:lang/>
        </w:rPr>
      </w:pPr>
      <w:r>
        <w:rPr>
          <w:rFonts w:ascii="宋体" w:hAnsi="宋体" w:hint="eastAsia"/>
        </w:rPr>
        <w:t>联系人：赵亦清</w:t>
      </w:r>
    </w:p>
    <w:p w:rsidR="00C93E26" w:rsidRPr="003746BB" w:rsidRDefault="00C93E26" w:rsidP="00C93E26">
      <w:pPr>
        <w:pStyle w:val="2"/>
        <w:numPr>
          <w:ilvl w:val="1"/>
          <w:numId w:val="15"/>
        </w:numPr>
        <w:ind w:firstLine="482"/>
      </w:pPr>
      <w:r>
        <w:rPr>
          <w:rFonts w:hint="eastAsia"/>
          <w:lang w:eastAsia="zh-CN"/>
        </w:rPr>
        <w:t>出具法律意见书的</w:t>
      </w:r>
      <w:r>
        <w:t>律师事务所</w:t>
      </w:r>
    </w:p>
    <w:p w:rsidR="00114B27" w:rsidRDefault="00114B27" w:rsidP="00114B27">
      <w:pPr>
        <w:widowControl/>
        <w:ind w:firstLine="480"/>
        <w:rPr>
          <w:rFonts w:ascii="宋体" w:hAnsi="宋体"/>
          <w:kern w:val="0"/>
        </w:rPr>
      </w:pPr>
      <w:r>
        <w:rPr>
          <w:rFonts w:ascii="宋体" w:hAnsi="宋体" w:hint="eastAsia"/>
          <w:kern w:val="0"/>
        </w:rPr>
        <w:t>名称：上海市通力律师事务所</w:t>
      </w:r>
    </w:p>
    <w:p w:rsidR="00114B27" w:rsidRDefault="00114B27" w:rsidP="00114B27">
      <w:pPr>
        <w:widowControl/>
        <w:ind w:firstLine="480"/>
        <w:rPr>
          <w:rFonts w:ascii="宋体" w:hAnsi="宋体"/>
          <w:kern w:val="0"/>
        </w:rPr>
      </w:pPr>
      <w:r>
        <w:rPr>
          <w:rFonts w:ascii="宋体" w:hAnsi="宋体" w:hint="eastAsia"/>
          <w:kern w:val="0"/>
        </w:rPr>
        <w:t>住所：上海市银城中路</w:t>
      </w:r>
      <w:r>
        <w:rPr>
          <w:rFonts w:ascii="宋体" w:hAnsi="宋体"/>
          <w:kern w:val="0"/>
        </w:rPr>
        <w:t>68号时代金融中心19楼</w:t>
      </w:r>
    </w:p>
    <w:p w:rsidR="00114B27" w:rsidRDefault="00114B27" w:rsidP="00114B27">
      <w:pPr>
        <w:widowControl/>
        <w:ind w:firstLine="480"/>
        <w:rPr>
          <w:rFonts w:ascii="宋体" w:hAnsi="宋体"/>
          <w:kern w:val="0"/>
        </w:rPr>
      </w:pPr>
      <w:r>
        <w:rPr>
          <w:rFonts w:ascii="宋体" w:hAnsi="宋体" w:hint="eastAsia"/>
          <w:kern w:val="0"/>
        </w:rPr>
        <w:t>办公地址：上海市银城中路</w:t>
      </w:r>
      <w:r>
        <w:rPr>
          <w:rFonts w:ascii="宋体" w:hAnsi="宋体"/>
          <w:kern w:val="0"/>
        </w:rPr>
        <w:t>68号时代金融中心19楼</w:t>
      </w:r>
    </w:p>
    <w:p w:rsidR="00114B27" w:rsidRDefault="00114B27" w:rsidP="00114B27">
      <w:pPr>
        <w:widowControl/>
        <w:ind w:firstLine="480"/>
        <w:rPr>
          <w:rFonts w:ascii="宋体" w:hAnsi="宋体"/>
          <w:kern w:val="0"/>
        </w:rPr>
      </w:pPr>
      <w:r>
        <w:rPr>
          <w:rFonts w:ascii="宋体" w:hAnsi="宋体" w:hint="eastAsia"/>
          <w:kern w:val="0"/>
        </w:rPr>
        <w:t>负责人：俞卫锋</w:t>
      </w:r>
    </w:p>
    <w:p w:rsidR="00114B27" w:rsidRDefault="00114B27" w:rsidP="00114B27">
      <w:pPr>
        <w:widowControl/>
        <w:ind w:firstLine="480"/>
        <w:rPr>
          <w:rFonts w:ascii="宋体" w:hAnsi="宋体"/>
          <w:kern w:val="0"/>
        </w:rPr>
      </w:pPr>
      <w:r>
        <w:rPr>
          <w:rFonts w:ascii="宋体" w:hAnsi="宋体" w:hint="eastAsia"/>
          <w:kern w:val="0"/>
        </w:rPr>
        <w:t>电话：（</w:t>
      </w:r>
      <w:r>
        <w:rPr>
          <w:rFonts w:ascii="宋体" w:hAnsi="宋体"/>
          <w:kern w:val="0"/>
        </w:rPr>
        <w:t>021）31358666</w:t>
      </w:r>
    </w:p>
    <w:p w:rsidR="00114B27" w:rsidRDefault="00114B27" w:rsidP="00114B27">
      <w:pPr>
        <w:widowControl/>
        <w:ind w:firstLine="480"/>
        <w:rPr>
          <w:rFonts w:ascii="宋体" w:hAnsi="宋体"/>
          <w:kern w:val="0"/>
        </w:rPr>
      </w:pPr>
      <w:r>
        <w:rPr>
          <w:rFonts w:ascii="宋体" w:hAnsi="宋体" w:hint="eastAsia"/>
          <w:kern w:val="0"/>
        </w:rPr>
        <w:t>传真：（</w:t>
      </w:r>
      <w:r>
        <w:rPr>
          <w:rFonts w:ascii="宋体" w:hAnsi="宋体"/>
          <w:kern w:val="0"/>
        </w:rPr>
        <w:t>021）31358600</w:t>
      </w:r>
    </w:p>
    <w:p w:rsidR="00114B27" w:rsidRDefault="00114B27" w:rsidP="00114B27">
      <w:pPr>
        <w:widowControl/>
        <w:ind w:firstLine="480"/>
        <w:rPr>
          <w:rFonts w:ascii="宋体" w:hAnsi="宋体"/>
          <w:kern w:val="0"/>
        </w:rPr>
      </w:pPr>
      <w:r>
        <w:rPr>
          <w:rFonts w:ascii="宋体" w:hAnsi="宋体" w:hint="eastAsia"/>
          <w:kern w:val="0"/>
        </w:rPr>
        <w:t>联系人：陈颖华</w:t>
      </w:r>
    </w:p>
    <w:p w:rsidR="00C93E26" w:rsidRDefault="00114B27" w:rsidP="00114B27">
      <w:pPr>
        <w:widowControl/>
        <w:ind w:firstLine="480"/>
        <w:rPr>
          <w:rFonts w:hint="eastAsia"/>
          <w:kern w:val="0"/>
          <w:sz w:val="28"/>
          <w:lang/>
        </w:rPr>
      </w:pPr>
      <w:r>
        <w:rPr>
          <w:rFonts w:ascii="宋体" w:hAnsi="宋体" w:hint="eastAsia"/>
          <w:kern w:val="0"/>
        </w:rPr>
        <w:t>经办律师：黎明、陈颖华</w:t>
      </w:r>
    </w:p>
    <w:p w:rsidR="00C93E26" w:rsidRPr="003746BB" w:rsidRDefault="00C93E26" w:rsidP="00C93E26">
      <w:pPr>
        <w:pStyle w:val="2"/>
        <w:numPr>
          <w:ilvl w:val="1"/>
          <w:numId w:val="15"/>
        </w:numPr>
        <w:ind w:firstLine="482"/>
      </w:pPr>
      <w:r>
        <w:rPr>
          <w:rFonts w:hint="eastAsia"/>
          <w:lang w:eastAsia="zh-CN"/>
        </w:rPr>
        <w:t>审计基金财产的</w:t>
      </w:r>
      <w:r>
        <w:t>会计师事务所</w:t>
      </w:r>
    </w:p>
    <w:p w:rsidR="00114B27" w:rsidRDefault="00114B27" w:rsidP="003D7B6D">
      <w:pPr>
        <w:widowControl/>
        <w:ind w:firstLine="480"/>
        <w:jc w:val="left"/>
        <w:rPr>
          <w:rFonts w:ascii="宋体" w:hAnsi="宋体"/>
          <w:kern w:val="0"/>
        </w:rPr>
      </w:pPr>
      <w:r>
        <w:rPr>
          <w:rFonts w:ascii="宋体" w:hAnsi="宋体" w:hint="eastAsia"/>
          <w:kern w:val="0"/>
        </w:rPr>
        <w:t>名称：安永华明会计师事务所（特殊普通合伙）</w:t>
      </w:r>
    </w:p>
    <w:p w:rsidR="00114B27" w:rsidRDefault="00114B27" w:rsidP="003D7B6D">
      <w:pPr>
        <w:widowControl/>
        <w:ind w:firstLine="480"/>
        <w:jc w:val="left"/>
        <w:rPr>
          <w:rFonts w:ascii="宋体" w:hAnsi="宋体"/>
          <w:kern w:val="0"/>
        </w:rPr>
      </w:pPr>
      <w:r>
        <w:rPr>
          <w:rFonts w:ascii="宋体" w:hAnsi="宋体" w:hint="eastAsia"/>
          <w:kern w:val="0"/>
        </w:rPr>
        <w:t>注册地址：北京市东城区东长安街</w:t>
      </w:r>
      <w:r>
        <w:rPr>
          <w:rFonts w:ascii="宋体" w:hAnsi="宋体"/>
          <w:kern w:val="0"/>
        </w:rPr>
        <w:t>1号东方广场东方经贸城安永大楼16层</w:t>
      </w:r>
    </w:p>
    <w:p w:rsidR="00114B27" w:rsidRDefault="00114B27" w:rsidP="003D7B6D">
      <w:pPr>
        <w:widowControl/>
        <w:ind w:firstLine="480"/>
        <w:jc w:val="left"/>
        <w:rPr>
          <w:rFonts w:ascii="宋体" w:hAnsi="宋体"/>
          <w:kern w:val="0"/>
        </w:rPr>
      </w:pPr>
      <w:r>
        <w:rPr>
          <w:rFonts w:ascii="宋体" w:hAnsi="宋体" w:hint="eastAsia"/>
          <w:kern w:val="0"/>
        </w:rPr>
        <w:t>办公地址：上海市浦东新区世纪大道</w:t>
      </w:r>
      <w:r>
        <w:rPr>
          <w:rFonts w:ascii="宋体" w:hAnsi="宋体"/>
          <w:kern w:val="0"/>
        </w:rPr>
        <w:t>100号环球金融中心50楼</w:t>
      </w:r>
    </w:p>
    <w:p w:rsidR="00114B27" w:rsidRDefault="00114B27" w:rsidP="003D7B6D">
      <w:pPr>
        <w:widowControl/>
        <w:ind w:firstLine="480"/>
        <w:jc w:val="left"/>
        <w:rPr>
          <w:rFonts w:ascii="宋体" w:hAnsi="宋体"/>
          <w:kern w:val="0"/>
        </w:rPr>
      </w:pPr>
      <w:r>
        <w:rPr>
          <w:rFonts w:ascii="宋体" w:hAnsi="宋体" w:hint="eastAsia"/>
          <w:kern w:val="0"/>
        </w:rPr>
        <w:t>法定代表人：毛鞍宁</w:t>
      </w:r>
    </w:p>
    <w:p w:rsidR="00114B27" w:rsidRDefault="00114B27" w:rsidP="003D7B6D">
      <w:pPr>
        <w:widowControl/>
        <w:ind w:firstLine="480"/>
        <w:jc w:val="left"/>
        <w:rPr>
          <w:rFonts w:ascii="宋体" w:hAnsi="宋体"/>
          <w:kern w:val="0"/>
        </w:rPr>
      </w:pPr>
      <w:r>
        <w:rPr>
          <w:rFonts w:ascii="宋体" w:hAnsi="宋体" w:hint="eastAsia"/>
          <w:kern w:val="0"/>
        </w:rPr>
        <w:t>联系电话：</w:t>
      </w:r>
      <w:r>
        <w:rPr>
          <w:rFonts w:ascii="宋体" w:hAnsi="宋体"/>
          <w:kern w:val="0"/>
        </w:rPr>
        <w:t>021-22288888</w:t>
      </w:r>
    </w:p>
    <w:p w:rsidR="00114B27" w:rsidRDefault="00114B27" w:rsidP="003D7B6D">
      <w:pPr>
        <w:widowControl/>
        <w:ind w:firstLine="480"/>
        <w:jc w:val="left"/>
        <w:rPr>
          <w:rFonts w:ascii="宋体" w:hAnsi="宋体"/>
          <w:kern w:val="0"/>
        </w:rPr>
      </w:pPr>
      <w:r>
        <w:rPr>
          <w:rFonts w:ascii="宋体" w:hAnsi="宋体" w:hint="eastAsia"/>
          <w:kern w:val="0"/>
        </w:rPr>
        <w:t>传真：</w:t>
      </w:r>
      <w:r>
        <w:rPr>
          <w:rFonts w:ascii="宋体" w:hAnsi="宋体"/>
          <w:kern w:val="0"/>
        </w:rPr>
        <w:t>021-22280000</w:t>
      </w:r>
    </w:p>
    <w:p w:rsidR="00114B27" w:rsidRDefault="00114B27" w:rsidP="003D7B6D">
      <w:pPr>
        <w:widowControl/>
        <w:ind w:firstLine="480"/>
        <w:jc w:val="left"/>
        <w:rPr>
          <w:rFonts w:ascii="宋体" w:hAnsi="宋体"/>
          <w:kern w:val="0"/>
        </w:rPr>
      </w:pPr>
      <w:r>
        <w:rPr>
          <w:rFonts w:ascii="宋体" w:hAnsi="宋体" w:hint="eastAsia"/>
          <w:kern w:val="0"/>
        </w:rPr>
        <w:t>联系人：蒋燕华</w:t>
      </w:r>
    </w:p>
    <w:p w:rsidR="00C93E26" w:rsidRPr="00BC0C0C" w:rsidRDefault="00114B27" w:rsidP="003D7B6D">
      <w:pPr>
        <w:widowControl/>
        <w:ind w:firstLine="480"/>
        <w:jc w:val="left"/>
        <w:rPr>
          <w:rFonts w:hint="eastAsia"/>
        </w:rPr>
      </w:pPr>
      <w:r>
        <w:rPr>
          <w:rFonts w:ascii="宋体" w:hAnsi="宋体" w:hint="eastAsia"/>
          <w:kern w:val="0"/>
        </w:rPr>
        <w:t>经办注册会计师：蒋燕华，费泽旭</w:t>
      </w:r>
    </w:p>
    <w:p w:rsidR="00C93E26" w:rsidRPr="00BF5C89" w:rsidRDefault="00C93E26" w:rsidP="00C93E26">
      <w:pPr>
        <w:pStyle w:val="1"/>
        <w:keepLines/>
        <w:numPr>
          <w:ilvl w:val="0"/>
          <w:numId w:val="15"/>
        </w:numPr>
        <w:ind w:left="0" w:firstLine="0"/>
        <w:rPr>
          <w:rFonts w:hint="eastAsia"/>
        </w:rPr>
      </w:pPr>
      <w:r w:rsidRPr="00BF5C89">
        <w:rPr>
          <w:rFonts w:hint="eastAsia"/>
        </w:rPr>
        <w:t>基金名称</w:t>
      </w:r>
    </w:p>
    <w:p w:rsidR="00C93E26" w:rsidRPr="009B56C0" w:rsidRDefault="00114B27" w:rsidP="003D7B6D">
      <w:pPr>
        <w:ind w:firstLine="480"/>
        <w:rPr>
          <w:rFonts w:ascii="宋体" w:hAnsi="宋体" w:hint="eastAsia"/>
        </w:rPr>
      </w:pPr>
      <w:r>
        <w:rPr>
          <w:rFonts w:ascii="宋体" w:hAnsi="宋体" w:hint="eastAsia"/>
        </w:rPr>
        <w:t>富国恒生中国企业交易型开放式指数证券投资基金</w:t>
      </w:r>
    </w:p>
    <w:p w:rsidR="00C93E26" w:rsidRPr="00404378" w:rsidRDefault="00C93E26" w:rsidP="00C93E26">
      <w:pPr>
        <w:pStyle w:val="1"/>
        <w:keepLines/>
        <w:numPr>
          <w:ilvl w:val="0"/>
          <w:numId w:val="15"/>
        </w:numPr>
        <w:ind w:left="0" w:firstLine="0"/>
        <w:rPr>
          <w:rFonts w:hint="eastAsia"/>
        </w:rPr>
      </w:pPr>
      <w:r w:rsidRPr="00404378">
        <w:rPr>
          <w:rFonts w:hint="eastAsia"/>
        </w:rPr>
        <w:t>基金类型</w:t>
      </w:r>
    </w:p>
    <w:p w:rsidR="00C93E26" w:rsidRDefault="00114B27" w:rsidP="003D7B6D">
      <w:pPr>
        <w:ind w:firstLine="480"/>
        <w:rPr>
          <w:rFonts w:ascii="宋体" w:hAnsi="宋体" w:hint="eastAsia"/>
        </w:rPr>
      </w:pPr>
      <w:r>
        <w:rPr>
          <w:rFonts w:ascii="宋体" w:hAnsi="宋体" w:hint="eastAsia"/>
        </w:rPr>
        <w:t>股票型</w:t>
      </w:r>
    </w:p>
    <w:p w:rsidR="00C93E26" w:rsidRDefault="00C93E26" w:rsidP="00C93E26">
      <w:pPr>
        <w:pStyle w:val="1"/>
        <w:keepLines/>
        <w:numPr>
          <w:ilvl w:val="0"/>
          <w:numId w:val="15"/>
        </w:numPr>
        <w:rPr>
          <w:rFonts w:hint="eastAsia"/>
        </w:rPr>
      </w:pPr>
      <w:r>
        <w:rPr>
          <w:rFonts w:hint="eastAsia"/>
        </w:rPr>
        <w:t>基金份额折算</w:t>
      </w:r>
    </w:p>
    <w:p w:rsidR="00114B27" w:rsidRDefault="00114B27" w:rsidP="008D6A0F">
      <w:pPr>
        <w:ind w:firstLine="480"/>
        <w:rPr>
          <w:rFonts w:hint="eastAsia"/>
        </w:rPr>
      </w:pPr>
      <w:r>
        <w:rPr>
          <w:rFonts w:hint="eastAsia"/>
        </w:rPr>
        <w:t>基金合同生效后，为提高交易便利，本基金可以进行份额折算。</w:t>
      </w:r>
    </w:p>
    <w:p w:rsidR="00114B27" w:rsidRDefault="00114B27" w:rsidP="00114B27">
      <w:pPr>
        <w:pStyle w:val="2"/>
        <w:numPr>
          <w:ilvl w:val="1"/>
          <w:numId w:val="15"/>
        </w:numPr>
        <w:ind w:firstLine="482"/>
        <w:rPr>
          <w:rFonts w:hint="eastAsia"/>
        </w:rPr>
      </w:pPr>
      <w:r>
        <w:rPr>
          <w:rFonts w:hint="eastAsia"/>
        </w:rPr>
        <w:t>基金份额折算的时间</w:t>
      </w:r>
    </w:p>
    <w:p w:rsidR="00114B27" w:rsidRDefault="00114B27" w:rsidP="008D6A0F">
      <w:pPr>
        <w:ind w:firstLine="480"/>
        <w:rPr>
          <w:rFonts w:hint="eastAsia"/>
        </w:rPr>
      </w:pPr>
      <w:r>
        <w:rPr>
          <w:rFonts w:hint="eastAsia"/>
        </w:rPr>
        <w:t>基金管理人应事先确定基金份额折算日，并依照《信息披露办法》的有关规定提前公告。</w:t>
      </w:r>
    </w:p>
    <w:p w:rsidR="00114B27" w:rsidRDefault="00114B27" w:rsidP="00114B27">
      <w:pPr>
        <w:pStyle w:val="2"/>
        <w:numPr>
          <w:ilvl w:val="1"/>
          <w:numId w:val="15"/>
        </w:numPr>
        <w:ind w:firstLine="482"/>
        <w:rPr>
          <w:rFonts w:hint="eastAsia"/>
        </w:rPr>
      </w:pPr>
      <w:r>
        <w:rPr>
          <w:rFonts w:hint="eastAsia"/>
        </w:rPr>
        <w:t>基金份额折算的原则</w:t>
      </w:r>
    </w:p>
    <w:p w:rsidR="00114B27" w:rsidRDefault="00114B27" w:rsidP="008D6A0F">
      <w:pPr>
        <w:ind w:firstLine="480"/>
        <w:rPr>
          <w:rFonts w:hint="eastAsia"/>
        </w:rPr>
      </w:pPr>
      <w:r>
        <w:rPr>
          <w:rFonts w:hint="eastAsia"/>
        </w:rPr>
        <w:t>基金份额折算由基金管理人向登记机构申请办理，并由登记机构进行基金份额的变更登记。</w:t>
      </w:r>
    </w:p>
    <w:p w:rsidR="00114B27" w:rsidRDefault="00114B27" w:rsidP="008D6A0F">
      <w:pPr>
        <w:ind w:firstLine="480"/>
        <w:rPr>
          <w:rFonts w:hint="eastAsia"/>
        </w:rPr>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rsidR="00114B27" w:rsidRDefault="00114B27" w:rsidP="008D6A0F">
      <w:pPr>
        <w:ind w:firstLine="480"/>
        <w:rPr>
          <w:rFonts w:hint="eastAsia"/>
        </w:rPr>
      </w:pPr>
      <w:r>
        <w:rPr>
          <w:rFonts w:hint="eastAsia"/>
        </w:rPr>
        <w:t>如果基金份额折算过程中发生不可抗力或登记机构遇特殊情况无法办理，基金管理人可延迟办理基金份额折算。</w:t>
      </w:r>
    </w:p>
    <w:p w:rsidR="00114B27" w:rsidRDefault="00114B27" w:rsidP="00114B27">
      <w:pPr>
        <w:pStyle w:val="2"/>
        <w:numPr>
          <w:ilvl w:val="1"/>
          <w:numId w:val="15"/>
        </w:numPr>
        <w:ind w:firstLine="482"/>
        <w:rPr>
          <w:rFonts w:hint="eastAsia"/>
        </w:rPr>
      </w:pPr>
      <w:r>
        <w:rPr>
          <w:rFonts w:hint="eastAsia"/>
        </w:rPr>
        <w:t>基金份额折算的方法</w:t>
      </w:r>
    </w:p>
    <w:p w:rsidR="00114B27" w:rsidRPr="00B30B7C" w:rsidRDefault="00114B27" w:rsidP="008D6A0F">
      <w:pPr>
        <w:ind w:firstLine="480"/>
        <w:rPr>
          <w:rFonts w:hint="eastAsia"/>
        </w:rPr>
      </w:pPr>
      <w:r>
        <w:rPr>
          <w:rFonts w:hint="eastAsia"/>
        </w:rPr>
        <w:t>基金份额折算的具体方法在份额折算公告中列示。</w:t>
      </w:r>
    </w:p>
    <w:p w:rsidR="00C93E26" w:rsidRDefault="00C93E26" w:rsidP="00C93E26">
      <w:pPr>
        <w:pStyle w:val="1"/>
        <w:keepLines/>
        <w:numPr>
          <w:ilvl w:val="0"/>
          <w:numId w:val="15"/>
        </w:numPr>
        <w:ind w:left="0" w:firstLine="0"/>
        <w:rPr>
          <w:rFonts w:hint="eastAsia"/>
        </w:rPr>
      </w:pPr>
      <w:r>
        <w:rPr>
          <w:rFonts w:hint="eastAsia"/>
        </w:rPr>
        <w:t>投资目标</w:t>
      </w:r>
    </w:p>
    <w:p w:rsidR="00C93E26" w:rsidRDefault="00114B27" w:rsidP="003D7B6D">
      <w:pPr>
        <w:ind w:firstLine="480"/>
        <w:rPr>
          <w:rFonts w:hint="eastAsia"/>
        </w:rPr>
      </w:pPr>
      <w:r>
        <w:rPr>
          <w:rFonts w:ascii="宋体" w:hAnsi="宋体" w:hint="eastAsia"/>
        </w:rPr>
        <w:t>紧密跟踪标的指数，追求跟踪偏离度和跟踪误差最小化。</w:t>
      </w:r>
    </w:p>
    <w:p w:rsidR="00C93E26" w:rsidRDefault="00C93E26" w:rsidP="00C93E26">
      <w:pPr>
        <w:pStyle w:val="1"/>
        <w:keepLines/>
        <w:numPr>
          <w:ilvl w:val="0"/>
          <w:numId w:val="15"/>
        </w:numPr>
        <w:ind w:left="0" w:firstLine="0"/>
        <w:rPr>
          <w:rFonts w:hint="eastAsia"/>
        </w:rPr>
      </w:pPr>
      <w:r>
        <w:rPr>
          <w:rFonts w:hint="eastAsia"/>
        </w:rPr>
        <w:t>基金投资方向</w:t>
      </w:r>
    </w:p>
    <w:p w:rsidR="00114B27" w:rsidRDefault="00114B27" w:rsidP="008D6A0F">
      <w:pPr>
        <w:ind w:firstLine="480"/>
        <w:rPr>
          <w:rFonts w:hint="eastAsia"/>
        </w:rPr>
      </w:pPr>
      <w:r>
        <w:rPr>
          <w:rFonts w:hint="eastAsia"/>
        </w:rPr>
        <w:t>本基金投资于具有良好流动性的金融工具，包括恒生中国企业指数的成份股、备选成份股（包括港股通股票中的标的指数成份股、备选成份股）、其他股票（包括主板、中小板、创业板、其他经中国证监会核准上市的股票及其他港股通标的股票）、债券（国债、金融债、企业债、公司债、次级债、可转换债券、可交换债券、分离交易可转债、央行票据、中期票据、短期融资券（含超短期融资券）等）、资产支持证券、债券回购、银行存款（包括定期存款、协议存款、通知存款等）、同业存单、衍生工具（股指期货、权证等）及法律法规或中国证监会允许基金投资的其他金融工具（但须符合中国证监会的相关规定）。</w:t>
      </w:r>
    </w:p>
    <w:p w:rsidR="00114B27" w:rsidRDefault="00114B27" w:rsidP="008D6A0F">
      <w:pPr>
        <w:ind w:firstLine="480"/>
        <w:rPr>
          <w:rFonts w:hint="eastAsia"/>
        </w:rPr>
      </w:pPr>
      <w:r>
        <w:rPr>
          <w:rFonts w:hint="eastAsia"/>
        </w:rPr>
        <w:t>如法律法规或监管机构以后允许基金投资其他品种，基金管理人在履行适当程序后，可以将其纳入投资范围。</w:t>
      </w:r>
    </w:p>
    <w:p w:rsidR="00114B27" w:rsidRDefault="00114B27" w:rsidP="008D6A0F">
      <w:pPr>
        <w:ind w:firstLine="480"/>
        <w:rPr>
          <w:rFonts w:hint="eastAsia"/>
        </w:rPr>
      </w:pPr>
      <w:r>
        <w:rPr>
          <w:rFonts w:hint="eastAsia"/>
        </w:rPr>
        <w:t>基金的投资组合比例为：本基金投资于标的指数成份股、备选成份股的资产比例不低于基金资产净值的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；每个交易日日终在扣除股指期货合约需缴纳的交易保证金后，应当保持不低于交易保证金一倍的现金。</w:t>
      </w:r>
    </w:p>
    <w:p w:rsidR="00114B27" w:rsidRPr="009A139A" w:rsidRDefault="00114B27" w:rsidP="008D6A0F">
      <w:pPr>
        <w:ind w:firstLine="480"/>
        <w:rPr>
          <w:rFonts w:hint="eastAsia"/>
        </w:rPr>
      </w:pPr>
      <w:r>
        <w:rPr>
          <w:rFonts w:hint="eastAsia"/>
        </w:rPr>
        <w:t>如法律法规对该比例要求有变更的，在履行适当程序后，以变更后的比例为准，本基金的投资范围会做相应调整。</w:t>
      </w:r>
    </w:p>
    <w:p w:rsidR="00C93E26" w:rsidRDefault="00C93E26" w:rsidP="00C93E26">
      <w:pPr>
        <w:pStyle w:val="1"/>
        <w:keepLines/>
        <w:numPr>
          <w:ilvl w:val="0"/>
          <w:numId w:val="15"/>
        </w:numPr>
        <w:ind w:left="0" w:firstLine="0"/>
        <w:rPr>
          <w:rFonts w:hint="eastAsia"/>
        </w:rPr>
      </w:pPr>
      <w:r>
        <w:rPr>
          <w:rFonts w:hint="eastAsia"/>
        </w:rPr>
        <w:t>基金投资策略</w:t>
      </w:r>
    </w:p>
    <w:p w:rsidR="00114B27" w:rsidRDefault="00114B27" w:rsidP="008D6A0F">
      <w:pPr>
        <w:ind w:firstLine="480"/>
        <w:rPr>
          <w:rFonts w:hint="eastAsia"/>
        </w:rPr>
      </w:pPr>
      <w:r>
        <w:rPr>
          <w:rFonts w:hint="eastAsia"/>
        </w:rPr>
        <w:t>本基金主要采用组合复制策略及适当的替代性策略以更好的跟踪标的指数，实现基金投资目标。</w:t>
      </w:r>
    </w:p>
    <w:p w:rsidR="00114B27" w:rsidRDefault="00114B27" w:rsidP="008D6A0F">
      <w:pPr>
        <w:ind w:firstLine="480"/>
        <w:rPr>
          <w:rFonts w:hint="eastAsia"/>
        </w:rPr>
      </w:pPr>
      <w:r>
        <w:rPr>
          <w:rFonts w:hint="eastAsia"/>
        </w:rPr>
        <w:t>1</w:t>
      </w:r>
      <w:r>
        <w:rPr>
          <w:rFonts w:hint="eastAsia"/>
        </w:rPr>
        <w:t>、组合复制策略</w:t>
      </w:r>
    </w:p>
    <w:p w:rsidR="00114B27" w:rsidRDefault="00114B27" w:rsidP="008D6A0F">
      <w:pPr>
        <w:ind w:firstLine="480"/>
        <w:rPr>
          <w:rFonts w:hint="eastAsia"/>
        </w:rPr>
      </w:pPr>
      <w:r>
        <w:rPr>
          <w:rFonts w:hint="eastAsia"/>
        </w:rPr>
        <w:t>本基金主要采取复制法，即按照标的指数成份股及其权重构建基金的股票投资组合，并根据标的指数成份股及其权重的变动对股票投资组合进行相应地调整。</w:t>
      </w:r>
    </w:p>
    <w:p w:rsidR="00114B27" w:rsidRDefault="00114B27" w:rsidP="008D6A0F">
      <w:pPr>
        <w:ind w:firstLine="480"/>
        <w:rPr>
          <w:rFonts w:hint="eastAsia"/>
        </w:rPr>
      </w:pPr>
      <w:r>
        <w:rPr>
          <w:rFonts w:hint="eastAsia"/>
        </w:rPr>
        <w:t>2</w:t>
      </w:r>
      <w:r>
        <w:rPr>
          <w:rFonts w:hint="eastAsia"/>
        </w:rPr>
        <w:t>、替代性策略</w:t>
      </w:r>
    </w:p>
    <w:p w:rsidR="00114B27" w:rsidRDefault="00114B27" w:rsidP="008D6A0F">
      <w:pPr>
        <w:ind w:firstLine="480"/>
        <w:rPr>
          <w:rFonts w:hint="eastAsia"/>
        </w:rPr>
      </w:pPr>
      <w:r>
        <w:rPr>
          <w:rFonts w:hint="eastAsia"/>
        </w:rPr>
        <w:t>对于出现市场流动性不足、因法律法规原因个别成份股被限制投资等情况，导致本基金无法获得对个别成份股足够数量的投资时，基金管理人将通过投资其他成份股、非成份股、成份股个股衍生品等方式进行替代。</w:t>
      </w:r>
    </w:p>
    <w:p w:rsidR="00114B27" w:rsidRDefault="00114B27" w:rsidP="008D6A0F">
      <w:pPr>
        <w:ind w:firstLine="480"/>
        <w:rPr>
          <w:rFonts w:hint="eastAsia"/>
        </w:rPr>
      </w:pPr>
      <w:r>
        <w:rPr>
          <w:rFonts w:hint="eastAsia"/>
        </w:rPr>
        <w:t>3</w:t>
      </w:r>
      <w:r>
        <w:rPr>
          <w:rFonts w:hint="eastAsia"/>
        </w:rPr>
        <w:t>、衍生品投资策略</w:t>
      </w:r>
    </w:p>
    <w:p w:rsidR="00114B27" w:rsidRDefault="00114B27" w:rsidP="008D6A0F">
      <w:pPr>
        <w:ind w:firstLine="480"/>
        <w:rPr>
          <w:rFonts w:hint="eastAsia"/>
        </w:rPr>
      </w:pPr>
      <w:r>
        <w:rPr>
          <w:rFonts w:hint="eastAsia"/>
        </w:rPr>
        <w:t>本基金股指期货投资主要遵循有效管理投资策略，根据风险管理的原则，以套期保值为目的，主要采用流动性好、交易活跃的期货合约，通过对现货和期货市场运行趋势的研究，结合股指期货定价模型寻求其合理估值水平，谨慎参与股指期货投资。</w:t>
      </w:r>
    </w:p>
    <w:p w:rsidR="00114B27" w:rsidRDefault="00114B27" w:rsidP="008D6A0F">
      <w:pPr>
        <w:ind w:firstLine="480"/>
        <w:rPr>
          <w:rFonts w:hint="eastAsia"/>
        </w:rPr>
      </w:pPr>
      <w:r>
        <w:rPr>
          <w:rFonts w:hint="eastAsia"/>
        </w:rPr>
        <w:t>本基金力争日均跟踪偏离度的绝对值不超过</w:t>
      </w:r>
      <w:r>
        <w:rPr>
          <w:rFonts w:hint="eastAsia"/>
        </w:rPr>
        <w:t>0.35%</w:t>
      </w:r>
      <w:r>
        <w:rPr>
          <w:rFonts w:hint="eastAsia"/>
        </w:rPr>
        <w:t>，年跟踪误差不超过</w:t>
      </w:r>
      <w:r>
        <w:rPr>
          <w:rFonts w:hint="eastAsia"/>
        </w:rPr>
        <w:t>2%</w:t>
      </w:r>
      <w:r>
        <w:rPr>
          <w:rFonts w:hint="eastAsia"/>
        </w:rPr>
        <w:t>。</w:t>
      </w:r>
    </w:p>
    <w:p w:rsidR="00114B27" w:rsidRDefault="00114B27" w:rsidP="008D6A0F">
      <w:pPr>
        <w:ind w:firstLine="480"/>
        <w:rPr>
          <w:rFonts w:hint="eastAsia"/>
        </w:rPr>
      </w:pPr>
      <w:r>
        <w:rPr>
          <w:rFonts w:hint="eastAsia"/>
        </w:rPr>
        <w:t>本基金优先通过港股通投资标的指数的成份股、备选成份股，如果未来出现由于港股通额度受限、业务规则发生重大变更等影响投资运作的情形时，为了更好地保护投资者的利益，实现投资目标，本基金将可直接委托香港的经纪商投资标的指数的成份股、备选成份股。</w:t>
      </w:r>
    </w:p>
    <w:p w:rsidR="00114B27" w:rsidRPr="00B30B7C" w:rsidRDefault="00114B27" w:rsidP="008D6A0F">
      <w:pPr>
        <w:ind w:firstLine="480"/>
        <w:rPr>
          <w:rFonts w:hint="eastAsia"/>
        </w:rPr>
      </w:pPr>
      <w:r>
        <w:rPr>
          <w:rFonts w:hint="eastAsia"/>
        </w:rPr>
        <w:t>未来，随着证券市场投资工具的发展和丰富，本基金可相应调整和更新相关投资策略，并在招募说明书更新中公告。</w:t>
      </w:r>
    </w:p>
    <w:p w:rsidR="00C93E26" w:rsidRDefault="00C93E26" w:rsidP="00C93E26">
      <w:pPr>
        <w:pStyle w:val="1"/>
        <w:keepLines/>
        <w:numPr>
          <w:ilvl w:val="0"/>
          <w:numId w:val="15"/>
        </w:numPr>
        <w:ind w:left="0" w:firstLine="0"/>
        <w:rPr>
          <w:rFonts w:hint="eastAsia"/>
        </w:rPr>
      </w:pPr>
      <w:r>
        <w:rPr>
          <w:rFonts w:hint="eastAsia"/>
        </w:rPr>
        <w:t>标的指数与基金业绩比较基准</w:t>
      </w:r>
    </w:p>
    <w:p w:rsidR="00114B27" w:rsidRDefault="00114B27" w:rsidP="003D7B6D">
      <w:pPr>
        <w:ind w:firstLine="480"/>
        <w:rPr>
          <w:rFonts w:ascii="宋体" w:hAnsi="宋体"/>
        </w:rPr>
      </w:pPr>
      <w:r>
        <w:rPr>
          <w:rFonts w:ascii="宋体" w:hAnsi="宋体"/>
        </w:rPr>
        <w:t>1、标的指数</w:t>
      </w:r>
    </w:p>
    <w:p w:rsidR="00114B27" w:rsidRDefault="00114B27" w:rsidP="003D7B6D">
      <w:pPr>
        <w:ind w:firstLine="480"/>
        <w:rPr>
          <w:rFonts w:ascii="宋体" w:hAnsi="宋体"/>
        </w:rPr>
      </w:pPr>
      <w:r>
        <w:rPr>
          <w:rFonts w:ascii="宋体" w:hAnsi="宋体" w:hint="eastAsia"/>
        </w:rPr>
        <w:t>本基金的标的指数是恒生中国企业指数。</w:t>
      </w:r>
    </w:p>
    <w:p w:rsidR="00114B27" w:rsidRDefault="00114B27" w:rsidP="003D7B6D">
      <w:pPr>
        <w:ind w:firstLine="480"/>
        <w:rPr>
          <w:rFonts w:ascii="宋体" w:hAnsi="宋体"/>
        </w:rPr>
      </w:pPr>
      <w:r>
        <w:rPr>
          <w:rFonts w:ascii="宋体" w:hAnsi="宋体" w:hint="eastAsia"/>
        </w:rPr>
        <w:t>恒生中国企业指数由恒生指数有限公司编制并于</w:t>
      </w:r>
      <w:r>
        <w:rPr>
          <w:rFonts w:ascii="宋体" w:hAnsi="宋体"/>
        </w:rPr>
        <w:t>1994年8月8日发布，旨在反映在香港上市的中国内地企业股票的整体表现。</w:t>
      </w:r>
    </w:p>
    <w:p w:rsidR="00114B27" w:rsidRDefault="00114B27" w:rsidP="003D7B6D">
      <w:pPr>
        <w:ind w:firstLine="480"/>
        <w:rPr>
          <w:rFonts w:ascii="宋体" w:hAnsi="宋体"/>
        </w:rPr>
      </w:pPr>
      <w:r>
        <w:rPr>
          <w:rFonts w:ascii="宋体" w:hAnsi="宋体" w:hint="eastAsia"/>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114B27" w:rsidRDefault="00114B27" w:rsidP="003D7B6D">
      <w:pPr>
        <w:ind w:firstLine="480"/>
        <w:rPr>
          <w:rFonts w:ascii="宋体" w:hAnsi="宋体"/>
        </w:rPr>
      </w:pPr>
      <w:r>
        <w:rPr>
          <w:rFonts w:ascii="宋体" w:hAnsi="宋体" w:hint="eastAsia"/>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114B27" w:rsidRDefault="00114B27" w:rsidP="003D7B6D">
      <w:pPr>
        <w:ind w:firstLine="480"/>
        <w:rPr>
          <w:rFonts w:ascii="宋体" w:hAnsi="宋体"/>
        </w:rPr>
      </w:pPr>
      <w:r>
        <w:rPr>
          <w:rFonts w:ascii="宋体" w:hAnsi="宋体"/>
        </w:rPr>
        <w:t>2、业绩比较基准</w:t>
      </w:r>
    </w:p>
    <w:p w:rsidR="00114B27" w:rsidRDefault="00114B27" w:rsidP="003D7B6D">
      <w:pPr>
        <w:ind w:firstLine="480"/>
        <w:rPr>
          <w:rFonts w:ascii="宋体" w:hAnsi="宋体"/>
        </w:rPr>
      </w:pPr>
      <w:r>
        <w:rPr>
          <w:rFonts w:ascii="宋体" w:hAnsi="宋体" w:hint="eastAsia"/>
        </w:rPr>
        <w:t>本基金业绩比较基准为经估值汇率调整的恒生中国企业指数收益率</w:t>
      </w:r>
    </w:p>
    <w:p w:rsidR="00C93E26" w:rsidRDefault="00114B27" w:rsidP="003D7B6D">
      <w:pPr>
        <w:ind w:firstLine="480"/>
        <w:rPr>
          <w:rFonts w:hint="eastAsia"/>
        </w:rPr>
      </w:pPr>
      <w:r>
        <w:rPr>
          <w:rFonts w:ascii="宋体" w:hAnsi="宋体" w:hint="eastAsia"/>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p w:rsidR="00C93E26" w:rsidRDefault="00C93E26" w:rsidP="00C93E26">
      <w:pPr>
        <w:pStyle w:val="1"/>
        <w:keepLines/>
        <w:numPr>
          <w:ilvl w:val="0"/>
          <w:numId w:val="15"/>
        </w:numPr>
        <w:ind w:left="0" w:firstLine="0"/>
        <w:rPr>
          <w:rFonts w:hint="eastAsia"/>
        </w:rPr>
      </w:pPr>
      <w:r>
        <w:rPr>
          <w:rFonts w:hint="eastAsia"/>
        </w:rPr>
        <w:t>基金的风险</w:t>
      </w:r>
      <w:r>
        <w:rPr>
          <w:rFonts w:hint="eastAsia"/>
          <w:kern w:val="0"/>
        </w:rPr>
        <w:t>收益</w:t>
      </w:r>
      <w:r>
        <w:rPr>
          <w:rFonts w:hint="eastAsia"/>
        </w:rPr>
        <w:t>特征</w:t>
      </w:r>
    </w:p>
    <w:p w:rsidR="00114B27" w:rsidRDefault="00114B27" w:rsidP="003D7B6D">
      <w:pPr>
        <w:ind w:firstLine="480"/>
        <w:rPr>
          <w:rFonts w:ascii="宋体" w:hAnsi="宋体"/>
        </w:rPr>
      </w:pPr>
      <w:r>
        <w:rPr>
          <w:rFonts w:ascii="宋体" w:hAnsi="宋体" w:hint="eastAsia"/>
        </w:rPr>
        <w:t>本基金属于股票基金，风险与收益高于混合基金、债券基金与货币市场基金。本基金主要投资于标的指数成份股及备选成份股，具有与标的指数相似的风险收益特征。</w:t>
      </w:r>
    </w:p>
    <w:p w:rsidR="00C93E26" w:rsidRDefault="00114B27" w:rsidP="003D7B6D">
      <w:pPr>
        <w:ind w:firstLine="480"/>
        <w:rPr>
          <w:rFonts w:hint="eastAsia"/>
        </w:rPr>
      </w:pPr>
      <w:r>
        <w:rPr>
          <w:rFonts w:ascii="宋体" w:hAnsi="宋体" w:hint="eastAsia"/>
        </w:rPr>
        <w:t>本基金将投资港股通标的股票，需承担港股通机制下因投资环境、投资标的、市场制度以及交易规则等差异带来的特有风险。</w:t>
      </w:r>
    </w:p>
    <w:p w:rsidR="00C93E26" w:rsidRPr="00CA7978" w:rsidRDefault="00C93E26" w:rsidP="00C93E26">
      <w:pPr>
        <w:pStyle w:val="1"/>
        <w:keepLines/>
        <w:numPr>
          <w:ilvl w:val="0"/>
          <w:numId w:val="15"/>
        </w:numPr>
        <w:ind w:left="0" w:firstLine="0"/>
        <w:rPr>
          <w:rFonts w:hint="eastAsia"/>
        </w:rPr>
      </w:pPr>
      <w:r w:rsidRPr="00CA7978">
        <w:rPr>
          <w:rFonts w:hint="eastAsia"/>
        </w:rPr>
        <w:t>投资组合报告</w:t>
      </w:r>
    </w:p>
    <w:p w:rsidR="00C93E26" w:rsidRPr="00C94C99" w:rsidRDefault="00C93E26" w:rsidP="00C93E26">
      <w:pPr>
        <w:pStyle w:val="2"/>
        <w:numPr>
          <w:ilvl w:val="1"/>
          <w:numId w:val="15"/>
        </w:numPr>
        <w:ind w:firstLine="482"/>
        <w:rPr>
          <w:rFonts w:hint="eastAsia"/>
        </w:rPr>
      </w:pPr>
      <w:r w:rsidRPr="00C94C99">
        <w:rPr>
          <w:rFonts w:hint="eastAsia"/>
        </w:rPr>
        <w:t>报告期末基金资产组合情况</w:t>
      </w:r>
    </w:p>
    <w:tbl>
      <w:tblPr>
        <w:tblW w:w="5733" w:type="pct"/>
        <w:jc w:val="center"/>
        <w:tblInd w:w="0" w:type="dxa"/>
        <w:tblLayout w:type="fixed"/>
        <w:tblCellMar>
          <w:left w:w="0" w:type="dxa"/>
          <w:right w:w="0" w:type="dxa"/>
        </w:tblCellMar>
        <w:tblLook w:val="0000"/>
      </w:tblPr>
      <w:tblGrid>
        <w:gridCol w:w="994"/>
        <w:gridCol w:w="3059"/>
        <w:gridCol w:w="2454"/>
        <w:gridCol w:w="3028"/>
      </w:tblGrid>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3D7B6D">
            <w:pPr>
              <w:ind w:firstLineChars="0" w:firstLine="0"/>
              <w:jc w:val="center"/>
              <w:rPr>
                <w:rFonts w:ascii="宋体" w:hAnsi="宋体" w:hint="eastAsia"/>
                <w:sz w:val="21"/>
                <w:szCs w:val="21"/>
              </w:rPr>
            </w:pPr>
            <w:r w:rsidRPr="00C552FE">
              <w:rPr>
                <w:rFonts w:ascii="宋体" w:hAnsi="宋体" w:hint="eastAsia"/>
                <w:sz w:val="21"/>
                <w:szCs w:val="21"/>
              </w:rPr>
              <w:t>序号</w:t>
            </w: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jc w:val="center"/>
              <w:rPr>
                <w:rFonts w:ascii="宋体" w:hAnsi="宋体"/>
                <w:sz w:val="21"/>
                <w:szCs w:val="21"/>
              </w:rPr>
            </w:pPr>
            <w:r w:rsidRPr="00C552FE">
              <w:rPr>
                <w:rFonts w:ascii="宋体" w:hAnsi="宋体"/>
                <w:sz w:val="21"/>
                <w:szCs w:val="21"/>
              </w:rPr>
              <w:t>项目</w:t>
            </w:r>
          </w:p>
        </w:tc>
        <w:tc>
          <w:tcPr>
            <w:tcW w:w="1287" w:type="pct"/>
            <w:tcBorders>
              <w:top w:val="single" w:sz="4" w:space="0" w:color="auto"/>
              <w:left w:val="nil"/>
              <w:bottom w:val="single" w:sz="4" w:space="0" w:color="auto"/>
              <w:right w:val="single" w:sz="4" w:space="0" w:color="auto"/>
            </w:tcBorders>
          </w:tcPr>
          <w:p w:rsidR="00C93E26" w:rsidRPr="00C552FE" w:rsidRDefault="00C93E26" w:rsidP="003D7B6D">
            <w:pPr>
              <w:ind w:firstLineChars="0" w:firstLine="0"/>
              <w:jc w:val="center"/>
              <w:rPr>
                <w:rFonts w:ascii="宋体" w:hAnsi="宋体" w:hint="eastAsia"/>
                <w:sz w:val="21"/>
                <w:szCs w:val="21"/>
              </w:rPr>
            </w:pPr>
            <w:r w:rsidRPr="00C552FE">
              <w:rPr>
                <w:rFonts w:ascii="宋体" w:hAnsi="宋体"/>
                <w:sz w:val="21"/>
                <w:szCs w:val="21"/>
              </w:rPr>
              <w:t>金额</w:t>
            </w:r>
            <w:r w:rsidRPr="00C552FE">
              <w:rPr>
                <w:rFonts w:ascii="宋体" w:hAnsi="宋体" w:hint="eastAsia"/>
                <w:sz w:val="21"/>
                <w:szCs w:val="21"/>
              </w:rPr>
              <w:t>（元）</w:t>
            </w:r>
          </w:p>
        </w:tc>
        <w:tc>
          <w:tcPr>
            <w:tcW w:w="1588"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jc w:val="center"/>
              <w:rPr>
                <w:rFonts w:ascii="宋体" w:hAnsi="宋体" w:hint="eastAsia"/>
                <w:sz w:val="21"/>
                <w:szCs w:val="21"/>
              </w:rPr>
            </w:pPr>
            <w:r w:rsidRPr="00C552FE">
              <w:rPr>
                <w:rFonts w:ascii="宋体" w:hAnsi="宋体"/>
                <w:sz w:val="21"/>
                <w:szCs w:val="21"/>
              </w:rPr>
              <w:t>占基金总资产的比例（%）</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C93E26">
            <w:pPr>
              <w:numPr>
                <w:ilvl w:val="0"/>
                <w:numId w:val="29"/>
              </w:numPr>
              <w:spacing w:line="240" w:lineRule="auto"/>
              <w:ind w:firstLineChars="0" w:firstLine="48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rPr>
                <w:rFonts w:ascii="宋体" w:hAnsi="宋体"/>
                <w:sz w:val="21"/>
                <w:szCs w:val="21"/>
              </w:rPr>
            </w:pPr>
            <w:r w:rsidRPr="00C552FE">
              <w:rPr>
                <w:rFonts w:ascii="宋体" w:hAnsi="宋体" w:hint="eastAsia"/>
                <w:sz w:val="21"/>
                <w:szCs w:val="21"/>
              </w:rPr>
              <w:t>权益投资</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sz w:val="21"/>
                <w:szCs w:val="21"/>
              </w:rPr>
            </w:pPr>
            <w:r>
              <w:rPr>
                <w:rFonts w:ascii="宋体" w:hAnsi="宋体"/>
                <w:kern w:val="0"/>
                <w:sz w:val="21"/>
                <w:szCs w:val="21"/>
              </w:rPr>
              <w:t>56,484,593.01</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kern w:val="0"/>
                <w:sz w:val="21"/>
                <w:szCs w:val="21"/>
              </w:rPr>
              <w:t>87.59</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3D7B6D">
            <w:pPr>
              <w:ind w:firstLine="42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83" w:firstLine="174"/>
              <w:rPr>
                <w:rFonts w:ascii="宋体" w:hAnsi="宋体" w:hint="eastAsia"/>
                <w:sz w:val="21"/>
                <w:szCs w:val="21"/>
              </w:rPr>
            </w:pPr>
            <w:r w:rsidRPr="00C552FE">
              <w:rPr>
                <w:rFonts w:ascii="宋体" w:hAnsi="宋体" w:hint="eastAsia"/>
                <w:sz w:val="21"/>
                <w:szCs w:val="21"/>
              </w:rPr>
              <w:t>其中：</w:t>
            </w:r>
            <w:r w:rsidRPr="00C552FE">
              <w:rPr>
                <w:rFonts w:ascii="宋体" w:hAnsi="宋体"/>
                <w:sz w:val="21"/>
                <w:szCs w:val="21"/>
              </w:rPr>
              <w:t>股票</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hint="eastAsia"/>
                <w:kern w:val="0"/>
                <w:sz w:val="21"/>
                <w:szCs w:val="21"/>
              </w:rPr>
            </w:pPr>
            <w:r>
              <w:rPr>
                <w:rFonts w:ascii="宋体" w:hAnsi="宋体"/>
                <w:kern w:val="0"/>
                <w:sz w:val="21"/>
                <w:szCs w:val="21"/>
              </w:rPr>
              <w:t>56,484,593.01</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hint="eastAsia"/>
                <w:kern w:val="0"/>
                <w:sz w:val="21"/>
                <w:szCs w:val="21"/>
              </w:rPr>
            </w:pPr>
            <w:r>
              <w:rPr>
                <w:rFonts w:ascii="宋体" w:hAnsi="宋体"/>
                <w:kern w:val="0"/>
                <w:sz w:val="21"/>
                <w:szCs w:val="21"/>
              </w:rPr>
              <w:t>87.59</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C93E26">
            <w:pPr>
              <w:numPr>
                <w:ilvl w:val="0"/>
                <w:numId w:val="29"/>
              </w:numPr>
              <w:spacing w:line="240" w:lineRule="auto"/>
              <w:ind w:firstLineChars="0" w:firstLine="48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rPr>
                <w:rFonts w:ascii="宋体" w:hAnsi="宋体" w:hint="eastAsia"/>
                <w:sz w:val="21"/>
                <w:szCs w:val="21"/>
              </w:rPr>
            </w:pPr>
            <w:r w:rsidRPr="00C552FE">
              <w:rPr>
                <w:rFonts w:ascii="宋体" w:hAnsi="宋体" w:hint="eastAsia"/>
                <w:sz w:val="21"/>
                <w:szCs w:val="21"/>
              </w:rPr>
              <w:t>固定收益投资</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sz w:val="21"/>
                <w:szCs w:val="21"/>
              </w:rPr>
            </w:pPr>
            <w:r>
              <w:rPr>
                <w:rFonts w:ascii="宋体" w:hAnsi="宋体" w:hint="eastAsia"/>
                <w:kern w:val="0"/>
                <w:sz w:val="21"/>
                <w:szCs w:val="21"/>
              </w:rPr>
              <w:t>－</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3D7B6D">
            <w:pPr>
              <w:ind w:firstLine="42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83" w:firstLine="174"/>
              <w:rPr>
                <w:rFonts w:ascii="宋体" w:hAnsi="宋体" w:hint="eastAsia"/>
                <w:sz w:val="21"/>
                <w:szCs w:val="21"/>
              </w:rPr>
            </w:pPr>
            <w:r w:rsidRPr="00C552FE">
              <w:rPr>
                <w:rFonts w:ascii="宋体" w:hAnsi="宋体" w:hint="eastAsia"/>
                <w:sz w:val="21"/>
                <w:szCs w:val="21"/>
              </w:rPr>
              <w:t>其中：</w:t>
            </w:r>
            <w:r w:rsidRPr="00C552FE">
              <w:rPr>
                <w:rFonts w:ascii="宋体" w:hAnsi="宋体"/>
                <w:sz w:val="21"/>
                <w:szCs w:val="21"/>
              </w:rPr>
              <w:t>债券</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hint="eastAsia"/>
                <w:kern w:val="0"/>
                <w:sz w:val="21"/>
                <w:szCs w:val="21"/>
              </w:rPr>
            </w:pPr>
            <w:r>
              <w:rPr>
                <w:rFonts w:ascii="宋体" w:hAnsi="宋体" w:hint="eastAsia"/>
                <w:kern w:val="0"/>
                <w:sz w:val="21"/>
                <w:szCs w:val="21"/>
              </w:rPr>
              <w:t>－</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hint="eastAsia"/>
                <w:kern w:val="0"/>
                <w:sz w:val="21"/>
                <w:szCs w:val="21"/>
              </w:rPr>
            </w:pPr>
            <w:r>
              <w:rPr>
                <w:rFonts w:ascii="宋体" w:hAnsi="宋体" w:hint="eastAsia"/>
                <w:kern w:val="0"/>
                <w:sz w:val="21"/>
                <w:szCs w:val="21"/>
              </w:rPr>
              <w:t>－</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3D7B6D">
            <w:pPr>
              <w:ind w:firstLine="42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400" w:firstLine="840"/>
              <w:rPr>
                <w:rFonts w:ascii="宋体" w:hAnsi="宋体"/>
                <w:sz w:val="21"/>
                <w:szCs w:val="21"/>
              </w:rPr>
            </w:pPr>
            <w:r w:rsidRPr="00C552FE">
              <w:rPr>
                <w:rFonts w:ascii="宋体" w:hAnsi="宋体"/>
                <w:sz w:val="21"/>
                <w:szCs w:val="21"/>
              </w:rPr>
              <w:t>资产支持证券</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sz w:val="21"/>
                <w:szCs w:val="21"/>
              </w:rPr>
            </w:pPr>
            <w:r>
              <w:rPr>
                <w:rFonts w:ascii="宋体" w:hAnsi="宋体" w:hint="eastAsia"/>
                <w:kern w:val="0"/>
                <w:sz w:val="21"/>
                <w:szCs w:val="21"/>
              </w:rPr>
              <w:t>－</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C93E26">
            <w:pPr>
              <w:numPr>
                <w:ilvl w:val="0"/>
                <w:numId w:val="29"/>
              </w:numPr>
              <w:spacing w:line="240" w:lineRule="auto"/>
              <w:ind w:firstLineChars="0" w:firstLine="48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rPr>
                <w:rFonts w:ascii="宋体" w:hAnsi="宋体" w:hint="eastAsia"/>
                <w:sz w:val="21"/>
                <w:szCs w:val="21"/>
              </w:rPr>
            </w:pPr>
            <w:r w:rsidRPr="00C552FE">
              <w:rPr>
                <w:rFonts w:ascii="宋体" w:hAnsi="宋体" w:hint="eastAsia"/>
                <w:sz w:val="21"/>
                <w:szCs w:val="21"/>
              </w:rPr>
              <w:t>贵金属投资</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hint="eastAsia"/>
                <w:kern w:val="0"/>
                <w:sz w:val="21"/>
                <w:szCs w:val="21"/>
              </w:rPr>
            </w:pPr>
            <w:r>
              <w:rPr>
                <w:rFonts w:ascii="宋体" w:hAnsi="宋体" w:hint="eastAsia"/>
                <w:kern w:val="0"/>
                <w:sz w:val="21"/>
                <w:szCs w:val="21"/>
              </w:rPr>
              <w:t>－</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hint="eastAsia"/>
                <w:kern w:val="0"/>
                <w:sz w:val="21"/>
                <w:szCs w:val="21"/>
              </w:rPr>
            </w:pPr>
            <w:r>
              <w:rPr>
                <w:rFonts w:ascii="宋体" w:hAnsi="宋体" w:hint="eastAsia"/>
                <w:kern w:val="0"/>
                <w:sz w:val="21"/>
                <w:szCs w:val="21"/>
              </w:rPr>
              <w:t>－</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C93E26">
            <w:pPr>
              <w:numPr>
                <w:ilvl w:val="0"/>
                <w:numId w:val="29"/>
              </w:numPr>
              <w:spacing w:line="240" w:lineRule="auto"/>
              <w:ind w:firstLineChars="0" w:firstLine="48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rPr>
                <w:rFonts w:ascii="宋体" w:hAnsi="宋体" w:hint="eastAsia"/>
                <w:sz w:val="21"/>
                <w:szCs w:val="21"/>
              </w:rPr>
            </w:pPr>
            <w:r w:rsidRPr="00C552FE">
              <w:rPr>
                <w:rFonts w:ascii="宋体" w:hAnsi="宋体" w:hint="eastAsia"/>
                <w:sz w:val="21"/>
                <w:szCs w:val="21"/>
              </w:rPr>
              <w:t>金融衍生品投资</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sz w:val="21"/>
                <w:szCs w:val="21"/>
              </w:rPr>
            </w:pPr>
            <w:r>
              <w:rPr>
                <w:rFonts w:ascii="宋体" w:hAnsi="宋体" w:hint="eastAsia"/>
                <w:kern w:val="0"/>
                <w:sz w:val="21"/>
                <w:szCs w:val="21"/>
              </w:rPr>
              <w:t>－</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C93E26">
            <w:pPr>
              <w:numPr>
                <w:ilvl w:val="0"/>
                <w:numId w:val="29"/>
              </w:numPr>
              <w:spacing w:line="240" w:lineRule="auto"/>
              <w:ind w:firstLineChars="0" w:firstLine="48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rPr>
                <w:rFonts w:ascii="宋体" w:hAnsi="宋体" w:hint="eastAsia"/>
                <w:sz w:val="21"/>
                <w:szCs w:val="21"/>
              </w:rPr>
            </w:pPr>
            <w:r w:rsidRPr="00C552FE">
              <w:rPr>
                <w:rFonts w:ascii="宋体" w:hAnsi="宋体" w:hint="eastAsia"/>
                <w:sz w:val="21"/>
                <w:szCs w:val="21"/>
              </w:rPr>
              <w:t>买入返售金融资产</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hint="eastAsia"/>
                <w:sz w:val="21"/>
                <w:szCs w:val="21"/>
              </w:rPr>
            </w:pPr>
            <w:r>
              <w:rPr>
                <w:rFonts w:hint="eastAsia"/>
                <w:sz w:val="21"/>
                <w:szCs w:val="21"/>
              </w:rPr>
              <w:t>－</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3D7B6D">
            <w:pPr>
              <w:ind w:firstLine="42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rPr>
                <w:rFonts w:ascii="宋体" w:hAnsi="宋体"/>
                <w:sz w:val="21"/>
                <w:szCs w:val="21"/>
              </w:rPr>
            </w:pPr>
            <w:r w:rsidRPr="00C552FE">
              <w:rPr>
                <w:rFonts w:ascii="宋体" w:hAnsi="宋体"/>
                <w:sz w:val="21"/>
                <w:szCs w:val="21"/>
              </w:rPr>
              <w:t>其中：买断式回购的买入返售</w:t>
            </w:r>
            <w:r w:rsidRPr="00C552FE">
              <w:rPr>
                <w:rFonts w:ascii="宋体" w:hAnsi="宋体" w:hint="eastAsia"/>
                <w:sz w:val="21"/>
                <w:szCs w:val="21"/>
              </w:rPr>
              <w:t>金融资产</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hint="eastAsia"/>
                <w:sz w:val="21"/>
                <w:szCs w:val="21"/>
              </w:rPr>
            </w:pPr>
            <w:r>
              <w:rPr>
                <w:rFonts w:ascii="宋体" w:hAnsi="宋体" w:hint="eastAsia"/>
                <w:kern w:val="0"/>
                <w:sz w:val="21"/>
                <w:szCs w:val="21"/>
              </w:rPr>
              <w:t>－</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C93E26">
            <w:pPr>
              <w:numPr>
                <w:ilvl w:val="0"/>
                <w:numId w:val="29"/>
              </w:numPr>
              <w:spacing w:line="240" w:lineRule="auto"/>
              <w:ind w:firstLineChars="0" w:firstLine="48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leftChars="50" w:left="120" w:firstLineChars="0" w:firstLine="0"/>
              <w:rPr>
                <w:rFonts w:ascii="宋体" w:hAnsi="宋体"/>
                <w:sz w:val="21"/>
                <w:szCs w:val="21"/>
              </w:rPr>
            </w:pPr>
            <w:r w:rsidRPr="00C552FE">
              <w:rPr>
                <w:rFonts w:ascii="宋体" w:hAnsi="宋体" w:hint="eastAsia"/>
                <w:sz w:val="21"/>
                <w:szCs w:val="21"/>
              </w:rPr>
              <w:t>银行存款和</w:t>
            </w:r>
            <w:r w:rsidRPr="00C552FE">
              <w:rPr>
                <w:rFonts w:ascii="宋体" w:hAnsi="宋体" w:cs="Arial Unicode MS" w:hint="eastAsia"/>
                <w:sz w:val="21"/>
                <w:szCs w:val="21"/>
              </w:rPr>
              <w:t>结算</w:t>
            </w:r>
            <w:r w:rsidRPr="00C552FE">
              <w:rPr>
                <w:rFonts w:ascii="宋体" w:hAnsi="宋体" w:hint="eastAsia"/>
                <w:sz w:val="21"/>
                <w:szCs w:val="21"/>
              </w:rPr>
              <w:t>备付金合计</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hint="eastAsia"/>
                <w:sz w:val="21"/>
                <w:szCs w:val="21"/>
              </w:rPr>
            </w:pPr>
            <w:r>
              <w:rPr>
                <w:rFonts w:ascii="宋体" w:hAnsi="宋体"/>
                <w:kern w:val="0"/>
                <w:sz w:val="21"/>
                <w:szCs w:val="21"/>
              </w:rPr>
              <w:t>6,116,588.10</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kern w:val="0"/>
                <w:sz w:val="21"/>
                <w:szCs w:val="21"/>
              </w:rPr>
              <w:t>9.49</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C93E26">
            <w:pPr>
              <w:numPr>
                <w:ilvl w:val="0"/>
                <w:numId w:val="29"/>
              </w:numPr>
              <w:spacing w:line="240" w:lineRule="auto"/>
              <w:ind w:firstLineChars="0" w:firstLine="48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rPr>
                <w:rFonts w:ascii="宋体" w:hAnsi="宋体"/>
                <w:sz w:val="21"/>
                <w:szCs w:val="21"/>
              </w:rPr>
            </w:pPr>
            <w:r w:rsidRPr="00C552FE">
              <w:rPr>
                <w:rFonts w:ascii="宋体" w:hAnsi="宋体"/>
                <w:sz w:val="21"/>
                <w:szCs w:val="21"/>
              </w:rPr>
              <w:t>其他资产</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sz w:val="21"/>
                <w:szCs w:val="21"/>
              </w:rPr>
            </w:pPr>
            <w:r>
              <w:rPr>
                <w:rFonts w:ascii="宋体" w:hAnsi="宋体"/>
                <w:kern w:val="0"/>
                <w:sz w:val="21"/>
                <w:szCs w:val="21"/>
              </w:rPr>
              <w:t>1,884,718.27</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kern w:val="0"/>
                <w:sz w:val="21"/>
                <w:szCs w:val="21"/>
              </w:rPr>
              <w:t>2.92</w:t>
            </w:r>
          </w:p>
        </w:tc>
      </w:tr>
      <w:tr w:rsidR="00C93E26" w:rsidRPr="00C552FE" w:rsidTr="00C93E26">
        <w:trPr>
          <w:cantSplit/>
          <w:jc w:val="center"/>
        </w:trPr>
        <w:tc>
          <w:tcPr>
            <w:tcW w:w="521" w:type="pct"/>
            <w:tcBorders>
              <w:top w:val="single" w:sz="4" w:space="0" w:color="auto"/>
              <w:left w:val="single" w:sz="4" w:space="0" w:color="auto"/>
              <w:bottom w:val="single" w:sz="4" w:space="0" w:color="auto"/>
              <w:right w:val="single" w:sz="4" w:space="0" w:color="auto"/>
            </w:tcBorders>
            <w:noWrap/>
            <w:vAlign w:val="center"/>
          </w:tcPr>
          <w:p w:rsidR="00C93E26" w:rsidRPr="00C552FE" w:rsidRDefault="00C93E26" w:rsidP="00C93E26">
            <w:pPr>
              <w:numPr>
                <w:ilvl w:val="0"/>
                <w:numId w:val="29"/>
              </w:numPr>
              <w:spacing w:line="240" w:lineRule="auto"/>
              <w:ind w:firstLineChars="0" w:firstLine="480"/>
              <w:jc w:val="center"/>
              <w:rPr>
                <w:rFonts w:ascii="宋体" w:hAnsi="宋体" w:hint="eastAsia"/>
                <w:sz w:val="21"/>
                <w:szCs w:val="21"/>
              </w:rPr>
            </w:pPr>
          </w:p>
        </w:tc>
        <w:tc>
          <w:tcPr>
            <w:tcW w:w="1604" w:type="pct"/>
            <w:tcBorders>
              <w:top w:val="single" w:sz="4" w:space="0" w:color="auto"/>
              <w:left w:val="nil"/>
              <w:bottom w:val="single" w:sz="4" w:space="0" w:color="auto"/>
              <w:right w:val="single" w:sz="4" w:space="0" w:color="auto"/>
            </w:tcBorders>
            <w:noWrap/>
          </w:tcPr>
          <w:p w:rsidR="00C93E26" w:rsidRPr="00C552FE" w:rsidRDefault="00C93E26" w:rsidP="003D7B6D">
            <w:pPr>
              <w:ind w:firstLineChars="0" w:firstLine="0"/>
              <w:rPr>
                <w:rFonts w:ascii="宋体" w:hAnsi="宋体"/>
                <w:sz w:val="21"/>
                <w:szCs w:val="21"/>
              </w:rPr>
            </w:pPr>
            <w:r w:rsidRPr="00C552FE">
              <w:rPr>
                <w:rFonts w:ascii="宋体" w:hAnsi="宋体"/>
                <w:sz w:val="21"/>
                <w:szCs w:val="21"/>
              </w:rPr>
              <w:t>合计</w:t>
            </w:r>
          </w:p>
        </w:tc>
        <w:tc>
          <w:tcPr>
            <w:tcW w:w="1287" w:type="pct"/>
            <w:tcBorders>
              <w:top w:val="single" w:sz="4" w:space="0" w:color="auto"/>
              <w:left w:val="nil"/>
              <w:bottom w:val="single" w:sz="4" w:space="0" w:color="auto"/>
              <w:right w:val="single" w:sz="4" w:space="0" w:color="auto"/>
            </w:tcBorders>
            <w:vAlign w:val="center"/>
          </w:tcPr>
          <w:p w:rsidR="00C93E26" w:rsidRPr="00C552FE" w:rsidRDefault="00114B27" w:rsidP="003D7B6D">
            <w:pPr>
              <w:ind w:firstLine="420"/>
              <w:jc w:val="right"/>
              <w:rPr>
                <w:rFonts w:ascii="宋体" w:hAnsi="宋体"/>
                <w:sz w:val="21"/>
                <w:szCs w:val="21"/>
              </w:rPr>
            </w:pPr>
            <w:r>
              <w:rPr>
                <w:rFonts w:ascii="宋体" w:hAnsi="宋体"/>
                <w:kern w:val="0"/>
                <w:sz w:val="21"/>
                <w:szCs w:val="21"/>
              </w:rPr>
              <w:t>64,485,899.38</w:t>
            </w:r>
          </w:p>
        </w:tc>
        <w:tc>
          <w:tcPr>
            <w:tcW w:w="1588" w:type="pct"/>
            <w:tcBorders>
              <w:top w:val="single" w:sz="4" w:space="0" w:color="auto"/>
              <w:left w:val="nil"/>
              <w:bottom w:val="single" w:sz="4" w:space="0" w:color="auto"/>
              <w:right w:val="single" w:sz="4" w:space="0" w:color="auto"/>
            </w:tcBorders>
            <w:noWrap/>
            <w:vAlign w:val="center"/>
          </w:tcPr>
          <w:p w:rsidR="00C93E26" w:rsidRPr="00C552FE" w:rsidRDefault="00114B27" w:rsidP="003D7B6D">
            <w:pPr>
              <w:ind w:firstLine="420"/>
              <w:jc w:val="right"/>
              <w:rPr>
                <w:rFonts w:ascii="宋体" w:hAnsi="宋体"/>
                <w:sz w:val="21"/>
                <w:szCs w:val="21"/>
              </w:rPr>
            </w:pPr>
            <w:r>
              <w:rPr>
                <w:rFonts w:ascii="宋体" w:hAnsi="宋体"/>
                <w:kern w:val="0"/>
                <w:sz w:val="21"/>
                <w:szCs w:val="21"/>
              </w:rPr>
              <w:t>100.00</w:t>
            </w:r>
          </w:p>
        </w:tc>
      </w:tr>
    </w:tbl>
    <w:p w:rsidR="00C93E26" w:rsidRDefault="00114B27" w:rsidP="003D7B6D">
      <w:pPr>
        <w:ind w:firstLine="480"/>
        <w:rPr>
          <w:rFonts w:ascii="宋体" w:hAnsi="宋体" w:hint="eastAsia"/>
          <w:kern w:val="0"/>
        </w:rPr>
      </w:pPr>
      <w:r>
        <w:rPr>
          <w:rFonts w:ascii="宋体" w:hAnsi="宋体" w:hint="eastAsia"/>
        </w:rPr>
        <w:t>注：本基金通过深港通交易机制投资的港股公允价值为</w:t>
      </w:r>
      <w:r>
        <w:rPr>
          <w:rFonts w:ascii="宋体" w:hAnsi="宋体"/>
        </w:rPr>
        <w:t>56,484,593.01元，占资产净值比例为99.08%。</w:t>
      </w:r>
    </w:p>
    <w:p w:rsidR="00C93E26" w:rsidRPr="00967BF0" w:rsidRDefault="00C93E26" w:rsidP="00C93E26">
      <w:pPr>
        <w:pStyle w:val="2"/>
        <w:numPr>
          <w:ilvl w:val="1"/>
          <w:numId w:val="15"/>
        </w:numPr>
        <w:ind w:firstLine="482"/>
        <w:rPr>
          <w:rFonts w:hint="eastAsia"/>
        </w:rPr>
      </w:pPr>
      <w:r w:rsidRPr="00967BF0">
        <w:rPr>
          <w:rFonts w:hint="eastAsia"/>
        </w:rPr>
        <w:t>报告期末积极投资</w:t>
      </w:r>
      <w:r w:rsidRPr="00967BF0">
        <w:t>按行业分类的股票投资组合</w:t>
      </w:r>
    </w:p>
    <w:p w:rsidR="00C93E26" w:rsidRDefault="00114B27" w:rsidP="003D7B6D">
      <w:pPr>
        <w:ind w:firstLine="480"/>
        <w:rPr>
          <w:rFonts w:ascii="宋体" w:hAnsi="宋体" w:hint="eastAsia"/>
          <w:kern w:val="0"/>
        </w:rPr>
      </w:pPr>
      <w:r>
        <w:rPr>
          <w:rFonts w:ascii="宋体" w:hAnsi="宋体" w:hint="eastAsia"/>
        </w:rPr>
        <w:t>注：本基金本报告期末未持有境内股票资产。</w:t>
      </w:r>
    </w:p>
    <w:p w:rsidR="00C93E26" w:rsidRPr="00967BF0" w:rsidRDefault="00C93E26" w:rsidP="00C93E26">
      <w:pPr>
        <w:pStyle w:val="2"/>
        <w:numPr>
          <w:ilvl w:val="1"/>
          <w:numId w:val="15"/>
        </w:numPr>
        <w:ind w:firstLine="482"/>
        <w:rPr>
          <w:rFonts w:hint="eastAsia"/>
        </w:rPr>
      </w:pPr>
      <w:r w:rsidRPr="00967BF0">
        <w:rPr>
          <w:rFonts w:hint="eastAsia"/>
        </w:rPr>
        <w:t>报告期末指数投资</w:t>
      </w:r>
      <w:r w:rsidRPr="00967BF0">
        <w:t>按行业分类的股票投资组合</w:t>
      </w:r>
    </w:p>
    <w:p w:rsidR="00C93E26" w:rsidRDefault="00114B27" w:rsidP="003D7B6D">
      <w:pPr>
        <w:ind w:firstLine="480"/>
        <w:rPr>
          <w:rFonts w:ascii="宋体" w:hAnsi="宋体" w:hint="eastAsia"/>
        </w:rPr>
      </w:pPr>
      <w:r>
        <w:rPr>
          <w:rFonts w:ascii="宋体" w:hAnsi="宋体" w:hint="eastAsia"/>
        </w:rPr>
        <w:t>注：本基金本报告期末未持有境内股票资产。</w:t>
      </w:r>
    </w:p>
    <w:p w:rsidR="00C93E26" w:rsidRPr="00967BF0" w:rsidRDefault="00C93E26" w:rsidP="00C93E26">
      <w:pPr>
        <w:pStyle w:val="2"/>
        <w:numPr>
          <w:ilvl w:val="1"/>
          <w:numId w:val="15"/>
        </w:numPr>
        <w:ind w:firstLine="482"/>
        <w:rPr>
          <w:rFonts w:hint="eastAsia"/>
        </w:rPr>
      </w:pPr>
      <w:r>
        <w:rPr>
          <w:rFonts w:hint="eastAsia"/>
        </w:rPr>
        <w:t>报告期末按行业分类的</w:t>
      </w:r>
      <w:r w:rsidRPr="00967BF0">
        <w:rPr>
          <w:rFonts w:hint="eastAsia"/>
        </w:rPr>
        <w:t>港</w:t>
      </w:r>
      <w:r>
        <w:rPr>
          <w:rFonts w:hint="eastAsia"/>
          <w:lang w:eastAsia="zh-CN"/>
        </w:rPr>
        <w:t>股</w:t>
      </w:r>
      <w:r w:rsidRPr="00967BF0">
        <w:rPr>
          <w:rFonts w:hint="eastAsia"/>
        </w:rPr>
        <w:t>通投资股票投资组合</w:t>
      </w:r>
    </w:p>
    <w:tbl>
      <w:tblPr>
        <w:tblW w:w="89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9"/>
        <w:gridCol w:w="2980"/>
        <w:gridCol w:w="2981"/>
      </w:tblGrid>
      <w:tr w:rsidR="00C93E26" w:rsidRPr="00967BF0" w:rsidTr="003D7B6D">
        <w:tc>
          <w:tcPr>
            <w:tcW w:w="2979" w:type="dxa"/>
            <w:tcBorders>
              <w:top w:val="single" w:sz="4" w:space="0" w:color="000000"/>
              <w:left w:val="single" w:sz="4" w:space="0" w:color="000000"/>
              <w:bottom w:val="single" w:sz="4" w:space="0" w:color="000000"/>
              <w:right w:val="single" w:sz="4" w:space="0" w:color="000000"/>
            </w:tcBorders>
            <w:hideMark/>
          </w:tcPr>
          <w:p w:rsidR="00C93E26" w:rsidRPr="00E96049" w:rsidRDefault="00C93E26" w:rsidP="003D7B6D">
            <w:pPr>
              <w:ind w:firstLineChars="0" w:firstLine="0"/>
              <w:jc w:val="center"/>
              <w:rPr>
                <w:rFonts w:ascii="宋体" w:hAnsi="宋体"/>
                <w:sz w:val="21"/>
                <w:szCs w:val="21"/>
              </w:rPr>
            </w:pPr>
            <w:r w:rsidRPr="00E96049">
              <w:rPr>
                <w:rFonts w:ascii="宋体" w:hAnsi="宋体" w:hint="eastAsia"/>
                <w:sz w:val="21"/>
                <w:szCs w:val="21"/>
              </w:rPr>
              <w:t>行业类别</w:t>
            </w:r>
          </w:p>
        </w:tc>
        <w:tc>
          <w:tcPr>
            <w:tcW w:w="2980" w:type="dxa"/>
            <w:tcBorders>
              <w:top w:val="single" w:sz="4" w:space="0" w:color="000000"/>
              <w:left w:val="single" w:sz="4" w:space="0" w:color="000000"/>
              <w:bottom w:val="single" w:sz="4" w:space="0" w:color="000000"/>
              <w:right w:val="single" w:sz="4" w:space="0" w:color="000000"/>
            </w:tcBorders>
            <w:hideMark/>
          </w:tcPr>
          <w:p w:rsidR="00C93E26" w:rsidRPr="00E96049" w:rsidRDefault="00C93E26" w:rsidP="003D7B6D">
            <w:pPr>
              <w:ind w:firstLineChars="0" w:firstLine="0"/>
              <w:jc w:val="center"/>
              <w:rPr>
                <w:rFonts w:ascii="宋体" w:hAnsi="宋体"/>
                <w:sz w:val="21"/>
                <w:szCs w:val="21"/>
              </w:rPr>
            </w:pPr>
            <w:r w:rsidRPr="00E96049">
              <w:rPr>
                <w:rFonts w:ascii="宋体" w:hAnsi="宋体" w:hint="eastAsia"/>
                <w:sz w:val="21"/>
                <w:szCs w:val="21"/>
              </w:rPr>
              <w:t>公允价值（人民币）</w:t>
            </w:r>
          </w:p>
        </w:tc>
        <w:tc>
          <w:tcPr>
            <w:tcW w:w="2981" w:type="dxa"/>
            <w:tcBorders>
              <w:top w:val="single" w:sz="4" w:space="0" w:color="000000"/>
              <w:left w:val="single" w:sz="4" w:space="0" w:color="000000"/>
              <w:bottom w:val="single" w:sz="4" w:space="0" w:color="000000"/>
              <w:right w:val="single" w:sz="4" w:space="0" w:color="000000"/>
            </w:tcBorders>
            <w:hideMark/>
          </w:tcPr>
          <w:p w:rsidR="00C93E26" w:rsidRPr="00E96049" w:rsidRDefault="00C93E26" w:rsidP="003D7B6D">
            <w:pPr>
              <w:ind w:firstLineChars="0" w:firstLine="0"/>
              <w:jc w:val="center"/>
              <w:rPr>
                <w:rFonts w:ascii="宋体" w:hAnsi="宋体"/>
                <w:sz w:val="21"/>
                <w:szCs w:val="21"/>
              </w:rPr>
            </w:pPr>
            <w:r w:rsidRPr="00E96049">
              <w:rPr>
                <w:rFonts w:ascii="宋体" w:hAnsi="宋体" w:hint="eastAsia"/>
                <w:sz w:val="21"/>
                <w:szCs w:val="21"/>
              </w:rPr>
              <w:t>占基金资产净值比例（%）</w:t>
            </w:r>
          </w:p>
        </w:tc>
      </w:tr>
      <w:tr w:rsidR="00C93E26" w:rsidTr="003D7B6D">
        <w:tc>
          <w:tcPr>
            <w:tcW w:w="2979" w:type="dxa"/>
            <w:tcBorders>
              <w:top w:val="single" w:sz="4" w:space="0" w:color="000000"/>
              <w:left w:val="single" w:sz="4" w:space="0" w:color="000000"/>
              <w:bottom w:val="single" w:sz="4" w:space="0" w:color="000000"/>
              <w:right w:val="single" w:sz="4" w:space="0" w:color="000000"/>
            </w:tcBorders>
            <w:vAlign w:val="center"/>
            <w:hideMark/>
          </w:tcPr>
          <w:p w:rsidR="00C93E26" w:rsidRPr="00E96049" w:rsidRDefault="00114B27" w:rsidP="003D7B6D">
            <w:pPr>
              <w:ind w:firstLine="420"/>
              <w:jc w:val="center"/>
              <w:rPr>
                <w:rFonts w:ascii="宋体" w:hAnsi="宋体"/>
                <w:sz w:val="21"/>
                <w:szCs w:val="21"/>
              </w:rPr>
            </w:pPr>
            <w:r>
              <w:rPr>
                <w:rFonts w:ascii="宋体" w:hAnsi="宋体" w:hint="eastAsia"/>
                <w:sz w:val="21"/>
                <w:szCs w:val="21"/>
              </w:rPr>
              <w:t>医疗保健</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C93E26" w:rsidRPr="00E96049" w:rsidRDefault="00114B27" w:rsidP="003D7B6D">
            <w:pPr>
              <w:ind w:firstLine="420"/>
              <w:jc w:val="right"/>
              <w:rPr>
                <w:rFonts w:ascii="宋体" w:hAnsi="宋体"/>
                <w:sz w:val="21"/>
                <w:szCs w:val="21"/>
              </w:rPr>
            </w:pPr>
            <w:r>
              <w:rPr>
                <w:rFonts w:ascii="宋体" w:hAnsi="宋体"/>
                <w:sz w:val="21"/>
                <w:szCs w:val="21"/>
              </w:rPr>
              <w:t>1,861,824.98</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C93E26" w:rsidRPr="00E96049" w:rsidRDefault="00114B27" w:rsidP="003D7B6D">
            <w:pPr>
              <w:ind w:firstLine="420"/>
              <w:jc w:val="right"/>
              <w:rPr>
                <w:rFonts w:ascii="宋体" w:hAnsi="宋体"/>
                <w:sz w:val="21"/>
                <w:szCs w:val="21"/>
              </w:rPr>
            </w:pPr>
            <w:r>
              <w:rPr>
                <w:rFonts w:ascii="宋体" w:hAnsi="宋体"/>
                <w:sz w:val="21"/>
                <w:szCs w:val="21"/>
              </w:rPr>
              <w:t>3.27</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房地产</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4,171,051.76</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7.32</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金融</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26,277,919.50</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46.09</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能源</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4,694,048.44</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8.23</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原材料</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686,884.10</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1.20</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日常消费品</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1,478,655.09</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2.59</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非日常生活消费品</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2,734,489.38</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4.80</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工业</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1,497,994.97</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2.63</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通信服务</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10,991,605.79</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19.28</w:t>
            </w:r>
          </w:p>
        </w:tc>
      </w:tr>
      <w:tr w:rsidR="00114B27" w:rsidTr="003D7B6D">
        <w:tc>
          <w:tcPr>
            <w:tcW w:w="2979"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center"/>
              <w:rPr>
                <w:rFonts w:ascii="宋体" w:hAnsi="宋体" w:hint="eastAsia"/>
                <w:sz w:val="21"/>
                <w:szCs w:val="21"/>
              </w:rPr>
            </w:pPr>
            <w:r>
              <w:rPr>
                <w:rFonts w:ascii="宋体" w:hAnsi="宋体" w:hint="eastAsia"/>
                <w:sz w:val="21"/>
                <w:szCs w:val="21"/>
              </w:rPr>
              <w:t>公用事业</w:t>
            </w:r>
          </w:p>
        </w:tc>
        <w:tc>
          <w:tcPr>
            <w:tcW w:w="2980"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2,090,119.00</w:t>
            </w:r>
          </w:p>
        </w:tc>
        <w:tc>
          <w:tcPr>
            <w:tcW w:w="2981" w:type="dxa"/>
            <w:tcBorders>
              <w:top w:val="single" w:sz="4" w:space="0" w:color="000000"/>
              <w:left w:val="single" w:sz="4" w:space="0" w:color="000000"/>
              <w:bottom w:val="single" w:sz="4" w:space="0" w:color="000000"/>
              <w:right w:val="single" w:sz="4" w:space="0" w:color="000000"/>
            </w:tcBorders>
            <w:vAlign w:val="center"/>
          </w:tcPr>
          <w:p w:rsidR="00114B27" w:rsidRDefault="00114B27" w:rsidP="003D7B6D">
            <w:pPr>
              <w:ind w:firstLine="420"/>
              <w:jc w:val="right"/>
              <w:rPr>
                <w:rFonts w:ascii="宋体" w:hAnsi="宋体"/>
                <w:sz w:val="21"/>
                <w:szCs w:val="21"/>
              </w:rPr>
            </w:pPr>
            <w:r>
              <w:rPr>
                <w:rFonts w:ascii="宋体" w:hAnsi="宋体"/>
                <w:sz w:val="21"/>
                <w:szCs w:val="21"/>
              </w:rPr>
              <w:t>3.67</w:t>
            </w:r>
          </w:p>
        </w:tc>
      </w:tr>
      <w:tr w:rsidR="00C93E26" w:rsidRPr="00D20560" w:rsidTr="003D7B6D">
        <w:tc>
          <w:tcPr>
            <w:tcW w:w="2979" w:type="dxa"/>
            <w:tcBorders>
              <w:top w:val="single" w:sz="4" w:space="0" w:color="000000"/>
              <w:left w:val="single" w:sz="4" w:space="0" w:color="000000"/>
              <w:bottom w:val="single" w:sz="4" w:space="0" w:color="000000"/>
              <w:right w:val="single" w:sz="4" w:space="0" w:color="000000"/>
            </w:tcBorders>
            <w:hideMark/>
          </w:tcPr>
          <w:p w:rsidR="00C93E26" w:rsidRPr="00E96049" w:rsidRDefault="00C93E26" w:rsidP="003D7B6D">
            <w:pPr>
              <w:ind w:firstLine="420"/>
              <w:jc w:val="center"/>
              <w:rPr>
                <w:rFonts w:ascii="宋体" w:hAnsi="宋体"/>
                <w:sz w:val="21"/>
                <w:szCs w:val="21"/>
              </w:rPr>
            </w:pPr>
            <w:r w:rsidRPr="00E96049">
              <w:rPr>
                <w:rFonts w:ascii="宋体" w:hAnsi="宋体" w:hint="eastAsia"/>
                <w:sz w:val="21"/>
                <w:szCs w:val="21"/>
              </w:rPr>
              <w:t>合计</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C93E26" w:rsidRPr="00E96049" w:rsidRDefault="00114B27" w:rsidP="003D7B6D">
            <w:pPr>
              <w:ind w:firstLine="420"/>
              <w:jc w:val="right"/>
              <w:rPr>
                <w:rFonts w:ascii="宋体" w:hAnsi="宋体"/>
                <w:sz w:val="21"/>
                <w:szCs w:val="21"/>
              </w:rPr>
            </w:pPr>
            <w:r>
              <w:rPr>
                <w:rFonts w:ascii="宋体" w:hAnsi="宋体"/>
                <w:sz w:val="21"/>
                <w:szCs w:val="21"/>
              </w:rPr>
              <w:t>56,484,593.01</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C93E26" w:rsidRPr="00E96049" w:rsidRDefault="00114B27" w:rsidP="003D7B6D">
            <w:pPr>
              <w:ind w:firstLine="420"/>
              <w:jc w:val="right"/>
              <w:rPr>
                <w:rFonts w:ascii="宋体" w:hAnsi="宋体"/>
                <w:sz w:val="21"/>
                <w:szCs w:val="21"/>
              </w:rPr>
            </w:pPr>
            <w:r>
              <w:rPr>
                <w:rFonts w:ascii="宋体" w:hAnsi="宋体"/>
                <w:sz w:val="21"/>
                <w:szCs w:val="21"/>
              </w:rPr>
              <w:t>99.08</w:t>
            </w:r>
          </w:p>
        </w:tc>
      </w:tr>
    </w:tbl>
    <w:p w:rsidR="00114B27" w:rsidRDefault="00114B27" w:rsidP="003D7B6D">
      <w:pPr>
        <w:ind w:firstLine="480"/>
        <w:rPr>
          <w:rFonts w:ascii="宋体" w:hAnsi="宋体"/>
        </w:rPr>
      </w:pPr>
      <w:r>
        <w:rPr>
          <w:rFonts w:ascii="宋体" w:hAnsi="宋体" w:hint="eastAsia"/>
        </w:rPr>
        <w:t>注：</w:t>
      </w:r>
      <w:r>
        <w:rPr>
          <w:rFonts w:ascii="宋体" w:hAnsi="宋体"/>
        </w:rPr>
        <w:t xml:space="preserve">1、以上分类采用全球行业分类标准(GICS)。 </w:t>
      </w:r>
    </w:p>
    <w:p w:rsidR="00C93E26" w:rsidRPr="003100CA" w:rsidRDefault="00114B27" w:rsidP="003D7B6D">
      <w:pPr>
        <w:ind w:firstLine="480"/>
        <w:rPr>
          <w:rFonts w:ascii="宋体" w:hAnsi="宋体"/>
        </w:rPr>
      </w:pPr>
      <w:r>
        <w:rPr>
          <w:rFonts w:ascii="宋体" w:hAnsi="宋体"/>
        </w:rPr>
        <w:t>2、以上行业分类的统计中已包含深港通投资的股票。</w:t>
      </w:r>
      <w:r w:rsidR="00C93E26">
        <w:rPr>
          <w:rFonts w:ascii="宋体" w:hAnsi="宋体" w:hint="eastAsia"/>
        </w:rPr>
        <w:t xml:space="preserve"> </w:t>
      </w:r>
    </w:p>
    <w:p w:rsidR="00C93E26" w:rsidRPr="00780E00" w:rsidRDefault="00C93E26" w:rsidP="00C93E26">
      <w:pPr>
        <w:pStyle w:val="2"/>
        <w:numPr>
          <w:ilvl w:val="1"/>
          <w:numId w:val="15"/>
        </w:numPr>
        <w:ind w:firstLine="482"/>
        <w:rPr>
          <w:rFonts w:hint="eastAsia"/>
        </w:rPr>
      </w:pPr>
      <w:r w:rsidRPr="00780E00">
        <w:rPr>
          <w:rFonts w:hint="eastAsia"/>
        </w:rPr>
        <w:t>报告期末按公允价值占基金资产净值比例大小排序的股票投资明细</w:t>
      </w:r>
    </w:p>
    <w:p w:rsidR="00C93E26" w:rsidRPr="00780E00" w:rsidRDefault="00C93E26" w:rsidP="00C93E26">
      <w:pPr>
        <w:pStyle w:val="3"/>
        <w:numPr>
          <w:ilvl w:val="2"/>
          <w:numId w:val="15"/>
        </w:numPr>
        <w:ind w:firstLine="482"/>
        <w:rPr>
          <w:rFonts w:hint="eastAsia"/>
        </w:rPr>
      </w:pPr>
      <w:r w:rsidRPr="00780E00">
        <w:rPr>
          <w:rFonts w:hint="eastAsia"/>
        </w:rPr>
        <w:t>报告期末指数投资按公允价值占基金资产净值比例大小排序的前十名股票投资明细</w:t>
      </w:r>
    </w:p>
    <w:tbl>
      <w:tblPr>
        <w:tblW w:w="9180"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3"/>
        <w:gridCol w:w="1134"/>
        <w:gridCol w:w="1134"/>
        <w:gridCol w:w="1701"/>
        <w:gridCol w:w="2551"/>
        <w:gridCol w:w="1797"/>
      </w:tblGrid>
      <w:tr w:rsidR="00C93E26" w:rsidRPr="00180799" w:rsidTr="003D7B6D">
        <w:trPr>
          <w:trHeight w:val="315"/>
          <w:jc w:val="center"/>
        </w:trPr>
        <w:tc>
          <w:tcPr>
            <w:tcW w:w="863" w:type="dxa"/>
            <w:noWrap/>
            <w:tcMar>
              <w:top w:w="15" w:type="dxa"/>
              <w:left w:w="15" w:type="dxa"/>
              <w:bottom w:w="0" w:type="dxa"/>
              <w:right w:w="15" w:type="dxa"/>
            </w:tcMar>
            <w:vAlign w:val="center"/>
          </w:tcPr>
          <w:p w:rsidR="00C93E26" w:rsidRPr="00180799" w:rsidRDefault="00C93E26" w:rsidP="003D7B6D">
            <w:pPr>
              <w:ind w:firstLineChars="0" w:firstLine="0"/>
              <w:jc w:val="center"/>
              <w:rPr>
                <w:rFonts w:ascii="宋体" w:hAnsi="宋体"/>
                <w:sz w:val="21"/>
                <w:szCs w:val="21"/>
              </w:rPr>
            </w:pPr>
            <w:r w:rsidRPr="00180799">
              <w:rPr>
                <w:rFonts w:ascii="宋体" w:hAnsi="宋体" w:hint="eastAsia"/>
                <w:sz w:val="21"/>
                <w:szCs w:val="21"/>
              </w:rPr>
              <w:t>序号</w:t>
            </w:r>
          </w:p>
        </w:tc>
        <w:tc>
          <w:tcPr>
            <w:tcW w:w="1134" w:type="dxa"/>
            <w:tcMar>
              <w:top w:w="15" w:type="dxa"/>
              <w:left w:w="15" w:type="dxa"/>
              <w:bottom w:w="0" w:type="dxa"/>
              <w:right w:w="15" w:type="dxa"/>
            </w:tcMar>
            <w:vAlign w:val="center"/>
          </w:tcPr>
          <w:p w:rsidR="00C93E26" w:rsidRPr="00180799" w:rsidRDefault="00C93E26" w:rsidP="003D7B6D">
            <w:pPr>
              <w:ind w:firstLineChars="0" w:firstLine="0"/>
              <w:jc w:val="center"/>
              <w:rPr>
                <w:rFonts w:ascii="宋体" w:hAnsi="宋体" w:hint="eastAsia"/>
                <w:sz w:val="21"/>
                <w:szCs w:val="21"/>
              </w:rPr>
            </w:pPr>
            <w:r w:rsidRPr="00180799">
              <w:rPr>
                <w:rFonts w:ascii="宋体" w:hAnsi="宋体" w:hint="eastAsia"/>
                <w:sz w:val="21"/>
                <w:szCs w:val="21"/>
              </w:rPr>
              <w:t>股票代码</w:t>
            </w:r>
          </w:p>
        </w:tc>
        <w:tc>
          <w:tcPr>
            <w:tcW w:w="1134" w:type="dxa"/>
            <w:tcMar>
              <w:top w:w="15" w:type="dxa"/>
              <w:left w:w="15" w:type="dxa"/>
              <w:bottom w:w="0" w:type="dxa"/>
              <w:right w:w="15" w:type="dxa"/>
            </w:tcMar>
            <w:vAlign w:val="center"/>
          </w:tcPr>
          <w:p w:rsidR="00C93E26" w:rsidRPr="00180799" w:rsidRDefault="00C93E26" w:rsidP="003D7B6D">
            <w:pPr>
              <w:ind w:firstLineChars="0" w:firstLine="0"/>
              <w:jc w:val="center"/>
              <w:rPr>
                <w:rFonts w:ascii="宋体" w:hAnsi="宋体" w:hint="eastAsia"/>
                <w:sz w:val="21"/>
                <w:szCs w:val="21"/>
              </w:rPr>
            </w:pPr>
            <w:r w:rsidRPr="00180799">
              <w:rPr>
                <w:rFonts w:ascii="宋体" w:hAnsi="宋体" w:hint="eastAsia"/>
                <w:sz w:val="21"/>
                <w:szCs w:val="21"/>
              </w:rPr>
              <w:t>股票名称</w:t>
            </w:r>
          </w:p>
        </w:tc>
        <w:tc>
          <w:tcPr>
            <w:tcW w:w="1701" w:type="dxa"/>
            <w:tcMar>
              <w:top w:w="15" w:type="dxa"/>
              <w:left w:w="15" w:type="dxa"/>
              <w:bottom w:w="0" w:type="dxa"/>
              <w:right w:w="15" w:type="dxa"/>
            </w:tcMar>
            <w:vAlign w:val="center"/>
          </w:tcPr>
          <w:p w:rsidR="00C93E26" w:rsidRPr="00180799" w:rsidRDefault="00C93E26" w:rsidP="003D7B6D">
            <w:pPr>
              <w:ind w:firstLineChars="0" w:firstLine="0"/>
              <w:jc w:val="center"/>
              <w:rPr>
                <w:rFonts w:ascii="宋体" w:hAnsi="宋体" w:hint="eastAsia"/>
                <w:sz w:val="21"/>
                <w:szCs w:val="21"/>
              </w:rPr>
            </w:pPr>
            <w:r w:rsidRPr="00180799">
              <w:rPr>
                <w:rFonts w:ascii="宋体" w:hAnsi="宋体" w:hint="eastAsia"/>
                <w:sz w:val="21"/>
                <w:szCs w:val="21"/>
              </w:rPr>
              <w:t>数量（股）</w:t>
            </w:r>
          </w:p>
        </w:tc>
        <w:tc>
          <w:tcPr>
            <w:tcW w:w="2551" w:type="dxa"/>
            <w:noWrap/>
            <w:tcMar>
              <w:top w:w="15" w:type="dxa"/>
              <w:left w:w="15" w:type="dxa"/>
              <w:bottom w:w="0" w:type="dxa"/>
              <w:right w:w="15" w:type="dxa"/>
            </w:tcMar>
            <w:vAlign w:val="center"/>
          </w:tcPr>
          <w:p w:rsidR="00C93E26" w:rsidRPr="00180799" w:rsidRDefault="00C93E26" w:rsidP="003D7B6D">
            <w:pPr>
              <w:ind w:firstLineChars="0" w:firstLine="0"/>
              <w:jc w:val="center"/>
              <w:rPr>
                <w:rFonts w:ascii="宋体" w:hAnsi="宋体" w:hint="eastAsia"/>
                <w:sz w:val="21"/>
                <w:szCs w:val="21"/>
              </w:rPr>
            </w:pPr>
            <w:r w:rsidRPr="00180799">
              <w:rPr>
                <w:rFonts w:ascii="宋体" w:hAnsi="宋体" w:hint="eastAsia"/>
                <w:sz w:val="21"/>
                <w:szCs w:val="21"/>
              </w:rPr>
              <w:t>公允价值（元）</w:t>
            </w:r>
          </w:p>
        </w:tc>
        <w:tc>
          <w:tcPr>
            <w:tcW w:w="1797" w:type="dxa"/>
            <w:noWrap/>
            <w:tcMar>
              <w:top w:w="15" w:type="dxa"/>
              <w:left w:w="15" w:type="dxa"/>
              <w:bottom w:w="0" w:type="dxa"/>
              <w:right w:w="15" w:type="dxa"/>
            </w:tcMar>
            <w:vAlign w:val="center"/>
          </w:tcPr>
          <w:p w:rsidR="00C93E26" w:rsidRPr="00180799" w:rsidRDefault="00C93E26" w:rsidP="003D7B6D">
            <w:pPr>
              <w:ind w:firstLineChars="0" w:firstLine="0"/>
              <w:jc w:val="center"/>
              <w:rPr>
                <w:rFonts w:ascii="宋体" w:hAnsi="宋体" w:hint="eastAsia"/>
                <w:sz w:val="21"/>
                <w:szCs w:val="21"/>
              </w:rPr>
            </w:pPr>
            <w:r w:rsidRPr="00180799">
              <w:rPr>
                <w:rFonts w:ascii="宋体" w:hAnsi="宋体" w:hint="eastAsia"/>
                <w:sz w:val="21"/>
                <w:szCs w:val="21"/>
              </w:rPr>
              <w:t>占基金资产</w:t>
            </w:r>
          </w:p>
          <w:p w:rsidR="00C93E26" w:rsidRPr="00180799" w:rsidRDefault="00C93E26" w:rsidP="003D7B6D">
            <w:pPr>
              <w:ind w:firstLineChars="0" w:firstLine="0"/>
              <w:jc w:val="center"/>
              <w:rPr>
                <w:rFonts w:ascii="宋体" w:hAnsi="宋体" w:hint="eastAsia"/>
                <w:sz w:val="21"/>
                <w:szCs w:val="21"/>
              </w:rPr>
            </w:pPr>
            <w:r w:rsidRPr="00180799">
              <w:rPr>
                <w:rFonts w:ascii="宋体" w:hAnsi="宋体" w:hint="eastAsia"/>
                <w:sz w:val="21"/>
                <w:szCs w:val="21"/>
              </w:rPr>
              <w:t>净值比例（%）</w:t>
            </w:r>
          </w:p>
        </w:tc>
      </w:tr>
      <w:tr w:rsidR="00C93E26" w:rsidRPr="00180799" w:rsidTr="003D7B6D">
        <w:trPr>
          <w:trHeight w:val="285"/>
          <w:jc w:val="center"/>
        </w:trPr>
        <w:tc>
          <w:tcPr>
            <w:tcW w:w="863" w:type="dxa"/>
            <w:noWrap/>
            <w:tcMar>
              <w:top w:w="15" w:type="dxa"/>
              <w:left w:w="15" w:type="dxa"/>
              <w:bottom w:w="0" w:type="dxa"/>
              <w:right w:w="15" w:type="dxa"/>
            </w:tcMar>
            <w:vAlign w:val="center"/>
          </w:tcPr>
          <w:p w:rsidR="00C93E26" w:rsidRPr="00180799" w:rsidRDefault="00114B27" w:rsidP="003D7B6D">
            <w:pPr>
              <w:ind w:firstLineChars="0" w:firstLine="0"/>
              <w:jc w:val="center"/>
              <w:rPr>
                <w:rFonts w:ascii="宋体" w:hAnsi="宋体" w:hint="eastAsia"/>
                <w:sz w:val="21"/>
                <w:szCs w:val="21"/>
              </w:rPr>
            </w:pPr>
            <w:r>
              <w:rPr>
                <w:rFonts w:ascii="宋体" w:hAnsi="宋体"/>
                <w:sz w:val="21"/>
                <w:szCs w:val="21"/>
              </w:rPr>
              <w:t>1</w:t>
            </w:r>
          </w:p>
        </w:tc>
        <w:tc>
          <w:tcPr>
            <w:tcW w:w="1134" w:type="dxa"/>
            <w:tcMar>
              <w:top w:w="15" w:type="dxa"/>
              <w:left w:w="15" w:type="dxa"/>
              <w:bottom w:w="0" w:type="dxa"/>
              <w:right w:w="15" w:type="dxa"/>
            </w:tcMar>
            <w:vAlign w:val="bottom"/>
          </w:tcPr>
          <w:p w:rsidR="00C93E26" w:rsidRPr="00180799" w:rsidRDefault="00114B27" w:rsidP="003D7B6D">
            <w:pPr>
              <w:ind w:firstLineChars="0" w:firstLine="0"/>
              <w:jc w:val="center"/>
              <w:rPr>
                <w:rFonts w:ascii="宋体" w:hAnsi="宋体"/>
                <w:sz w:val="21"/>
                <w:szCs w:val="21"/>
              </w:rPr>
            </w:pPr>
            <w:r>
              <w:rPr>
                <w:rFonts w:ascii="宋体" w:hAnsi="宋体"/>
                <w:sz w:val="21"/>
                <w:szCs w:val="21"/>
              </w:rPr>
              <w:t>00700</w:t>
            </w:r>
          </w:p>
        </w:tc>
        <w:tc>
          <w:tcPr>
            <w:tcW w:w="1134" w:type="dxa"/>
            <w:tcMar>
              <w:top w:w="15" w:type="dxa"/>
              <w:left w:w="15" w:type="dxa"/>
              <w:bottom w:w="0" w:type="dxa"/>
              <w:right w:w="15" w:type="dxa"/>
            </w:tcMar>
            <w:vAlign w:val="bottom"/>
          </w:tcPr>
          <w:p w:rsidR="00C93E26" w:rsidRPr="00180799" w:rsidRDefault="00114B27" w:rsidP="003D7B6D">
            <w:pPr>
              <w:ind w:firstLineChars="0" w:firstLine="0"/>
              <w:jc w:val="center"/>
              <w:rPr>
                <w:rFonts w:ascii="宋体" w:hAnsi="宋体"/>
                <w:sz w:val="21"/>
                <w:szCs w:val="21"/>
              </w:rPr>
            </w:pPr>
            <w:r>
              <w:rPr>
                <w:rFonts w:ascii="宋体" w:hAnsi="宋体" w:hint="eastAsia"/>
                <w:sz w:val="21"/>
                <w:szCs w:val="21"/>
              </w:rPr>
              <w:t>腾讯控股</w:t>
            </w:r>
          </w:p>
        </w:tc>
        <w:tc>
          <w:tcPr>
            <w:tcW w:w="1701" w:type="dxa"/>
            <w:tcMar>
              <w:top w:w="15" w:type="dxa"/>
              <w:left w:w="15" w:type="dxa"/>
              <w:bottom w:w="0" w:type="dxa"/>
              <w:right w:w="15" w:type="dxa"/>
            </w:tcMar>
            <w:vAlign w:val="bottom"/>
          </w:tcPr>
          <w:p w:rsidR="00C93E26" w:rsidRPr="00180799" w:rsidRDefault="00114B27" w:rsidP="003D7B6D">
            <w:pPr>
              <w:ind w:firstLineChars="0" w:firstLine="0"/>
              <w:jc w:val="right"/>
              <w:rPr>
                <w:rFonts w:ascii="宋体" w:hAnsi="宋体"/>
                <w:sz w:val="21"/>
                <w:szCs w:val="21"/>
              </w:rPr>
            </w:pPr>
            <w:r>
              <w:rPr>
                <w:rFonts w:ascii="宋体" w:hAnsi="宋体"/>
                <w:sz w:val="21"/>
                <w:szCs w:val="21"/>
              </w:rPr>
              <w:t>17,600.00</w:t>
            </w:r>
          </w:p>
        </w:tc>
        <w:tc>
          <w:tcPr>
            <w:tcW w:w="2551" w:type="dxa"/>
            <w:noWrap/>
            <w:tcMar>
              <w:top w:w="15" w:type="dxa"/>
              <w:left w:w="15" w:type="dxa"/>
              <w:bottom w:w="0" w:type="dxa"/>
              <w:right w:w="15" w:type="dxa"/>
            </w:tcMar>
            <w:vAlign w:val="bottom"/>
          </w:tcPr>
          <w:p w:rsidR="00C93E26" w:rsidRPr="00180799" w:rsidRDefault="00114B27" w:rsidP="003D7B6D">
            <w:pPr>
              <w:ind w:firstLineChars="0" w:firstLine="0"/>
              <w:jc w:val="right"/>
              <w:rPr>
                <w:rFonts w:ascii="宋体" w:hAnsi="宋体"/>
                <w:sz w:val="21"/>
                <w:szCs w:val="21"/>
              </w:rPr>
            </w:pPr>
            <w:r>
              <w:rPr>
                <w:rFonts w:ascii="宋体" w:hAnsi="宋体"/>
                <w:sz w:val="21"/>
                <w:szCs w:val="21"/>
              </w:rPr>
              <w:t>5,921,607.44</w:t>
            </w:r>
          </w:p>
        </w:tc>
        <w:tc>
          <w:tcPr>
            <w:tcW w:w="1797" w:type="dxa"/>
            <w:noWrap/>
            <w:tcMar>
              <w:top w:w="15" w:type="dxa"/>
              <w:left w:w="15" w:type="dxa"/>
              <w:bottom w:w="0" w:type="dxa"/>
              <w:right w:w="15" w:type="dxa"/>
            </w:tcMar>
            <w:vAlign w:val="bottom"/>
          </w:tcPr>
          <w:p w:rsidR="00C93E26" w:rsidRPr="00180799" w:rsidRDefault="00114B27" w:rsidP="003D7B6D">
            <w:pPr>
              <w:ind w:firstLineChars="0" w:firstLine="0"/>
              <w:jc w:val="right"/>
              <w:rPr>
                <w:rFonts w:ascii="宋体" w:hAnsi="宋体"/>
                <w:sz w:val="21"/>
                <w:szCs w:val="21"/>
              </w:rPr>
            </w:pPr>
            <w:r>
              <w:rPr>
                <w:rFonts w:ascii="宋体" w:hAnsi="宋体"/>
                <w:sz w:val="21"/>
                <w:szCs w:val="21"/>
              </w:rPr>
              <w:t>10.39</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2</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00939</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建设银行</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940,000.00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5,666,883.44</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9.94</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3</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02318</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中国平安</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60,500.00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4,991,330.95</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8.76</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4</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01398</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工商银行</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799,000.00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4,294,369.32</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7.53</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5</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00941</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中国移动</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66,500.00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3,901,793.74</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6.84</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6</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03988</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中国银行</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861,000.00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2,568,317.71</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4.50</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7</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00883</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中国海洋石油</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193,000.00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2,240,596.60</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3.93</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8</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02628</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中国人寿</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81,000.00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1,570,884.60</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2.76</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9</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03968</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招商银行</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42,500.00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1,524,729.53</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2.67</w:t>
            </w:r>
          </w:p>
        </w:tc>
      </w:tr>
      <w:tr w:rsidR="00114B27" w:rsidRPr="00180799" w:rsidTr="003D7B6D">
        <w:trPr>
          <w:trHeight w:val="285"/>
          <w:jc w:val="center"/>
        </w:trPr>
        <w:tc>
          <w:tcPr>
            <w:tcW w:w="863" w:type="dxa"/>
            <w:noWrap/>
            <w:tcMar>
              <w:top w:w="15" w:type="dxa"/>
              <w:left w:w="15" w:type="dxa"/>
              <w:bottom w:w="0" w:type="dxa"/>
              <w:right w:w="15" w:type="dxa"/>
            </w:tcMar>
            <w:vAlign w:val="center"/>
          </w:tcPr>
          <w:p w:rsidR="00114B27" w:rsidRDefault="00114B27" w:rsidP="003D7B6D">
            <w:pPr>
              <w:ind w:firstLineChars="0" w:firstLine="0"/>
              <w:jc w:val="center"/>
              <w:rPr>
                <w:rFonts w:ascii="宋体" w:hAnsi="宋体"/>
                <w:sz w:val="21"/>
                <w:szCs w:val="21"/>
              </w:rPr>
            </w:pPr>
            <w:r>
              <w:rPr>
                <w:rFonts w:ascii="宋体" w:hAnsi="宋体"/>
                <w:sz w:val="21"/>
                <w:szCs w:val="21"/>
              </w:rPr>
              <w:t>10</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sz w:val="21"/>
                <w:szCs w:val="21"/>
              </w:rPr>
            </w:pPr>
            <w:r>
              <w:rPr>
                <w:rFonts w:ascii="宋体" w:hAnsi="宋体"/>
                <w:sz w:val="21"/>
                <w:szCs w:val="21"/>
              </w:rPr>
              <w:t>00386</w:t>
            </w:r>
          </w:p>
        </w:tc>
        <w:tc>
          <w:tcPr>
            <w:tcW w:w="1134" w:type="dxa"/>
            <w:tcMar>
              <w:top w:w="15" w:type="dxa"/>
              <w:left w:w="15" w:type="dxa"/>
              <w:bottom w:w="0" w:type="dxa"/>
              <w:right w:w="15" w:type="dxa"/>
            </w:tcMar>
            <w:vAlign w:val="bottom"/>
          </w:tcPr>
          <w:p w:rsidR="00114B27" w:rsidRDefault="00114B27" w:rsidP="003D7B6D">
            <w:pPr>
              <w:ind w:firstLineChars="0" w:firstLine="0"/>
              <w:jc w:val="center"/>
              <w:rPr>
                <w:rFonts w:ascii="宋体" w:hAnsi="宋体" w:hint="eastAsia"/>
                <w:sz w:val="21"/>
                <w:szCs w:val="21"/>
              </w:rPr>
            </w:pPr>
            <w:r>
              <w:rPr>
                <w:rFonts w:ascii="宋体" w:hAnsi="宋体" w:hint="eastAsia"/>
                <w:sz w:val="21"/>
                <w:szCs w:val="21"/>
              </w:rPr>
              <w:t>中国石油化工股份</w:t>
            </w:r>
          </w:p>
        </w:tc>
        <w:tc>
          <w:tcPr>
            <w:tcW w:w="1701" w:type="dxa"/>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262,000.00</w:t>
            </w:r>
          </w:p>
        </w:tc>
        <w:tc>
          <w:tcPr>
            <w:tcW w:w="2551"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1,100,716.55</w:t>
            </w:r>
          </w:p>
        </w:tc>
        <w:tc>
          <w:tcPr>
            <w:tcW w:w="1797" w:type="dxa"/>
            <w:noWrap/>
            <w:tcMar>
              <w:top w:w="15" w:type="dxa"/>
              <w:left w:w="15" w:type="dxa"/>
              <w:bottom w:w="0" w:type="dxa"/>
              <w:right w:w="15" w:type="dxa"/>
            </w:tcMar>
            <w:vAlign w:val="bottom"/>
          </w:tcPr>
          <w:p w:rsidR="00114B27" w:rsidRDefault="00114B27" w:rsidP="003D7B6D">
            <w:pPr>
              <w:ind w:firstLineChars="0" w:firstLine="0"/>
              <w:jc w:val="right"/>
              <w:rPr>
                <w:rFonts w:ascii="宋体" w:hAnsi="宋体"/>
                <w:sz w:val="21"/>
                <w:szCs w:val="21"/>
              </w:rPr>
            </w:pPr>
            <w:r>
              <w:rPr>
                <w:rFonts w:ascii="宋体" w:hAnsi="宋体"/>
                <w:sz w:val="21"/>
                <w:szCs w:val="21"/>
              </w:rPr>
              <w:t>1.93</w:t>
            </w:r>
          </w:p>
        </w:tc>
      </w:tr>
    </w:tbl>
    <w:p w:rsidR="00C93E26" w:rsidRPr="00780E00" w:rsidRDefault="00C93E26" w:rsidP="00C93E26">
      <w:pPr>
        <w:pStyle w:val="3"/>
        <w:numPr>
          <w:ilvl w:val="2"/>
          <w:numId w:val="15"/>
        </w:numPr>
        <w:ind w:firstLine="482"/>
        <w:rPr>
          <w:rFonts w:hint="eastAsia"/>
        </w:rPr>
      </w:pPr>
      <w:r w:rsidRPr="00780E00">
        <w:rPr>
          <w:rFonts w:hint="eastAsia"/>
        </w:rPr>
        <w:t>报告期末积极投资按公允价值占基金资产净值比例大小排序的前五名股票投资明细</w:t>
      </w:r>
    </w:p>
    <w:p w:rsidR="00C93E26" w:rsidRPr="000E41AB" w:rsidRDefault="00114B27" w:rsidP="003D7B6D">
      <w:pPr>
        <w:ind w:firstLine="480"/>
        <w:rPr>
          <w:rFonts w:ascii="宋体" w:hAnsi="宋体"/>
          <w:kern w:val="0"/>
        </w:rPr>
      </w:pPr>
      <w:r>
        <w:rPr>
          <w:rFonts w:ascii="宋体" w:hAnsi="宋体" w:hint="eastAsia"/>
        </w:rPr>
        <w:t>注：本基金本报告期末未持有积极投资股票。</w:t>
      </w:r>
    </w:p>
    <w:p w:rsidR="00C93E26" w:rsidRPr="005B50D3" w:rsidRDefault="00C93E26" w:rsidP="00C93E26">
      <w:pPr>
        <w:pStyle w:val="2"/>
        <w:numPr>
          <w:ilvl w:val="1"/>
          <w:numId w:val="15"/>
        </w:numPr>
        <w:ind w:firstLine="482"/>
        <w:rPr>
          <w:rFonts w:hint="eastAsia"/>
        </w:rPr>
      </w:pPr>
      <w:r w:rsidRPr="005B50D3">
        <w:rPr>
          <w:rFonts w:hint="eastAsia"/>
        </w:rPr>
        <w:t>报告期末按债券品种分类的债券投资组合</w:t>
      </w:r>
    </w:p>
    <w:p w:rsidR="00C93E26" w:rsidRPr="002469F5" w:rsidRDefault="00114B27" w:rsidP="003D7B6D">
      <w:pPr>
        <w:ind w:firstLine="480"/>
        <w:rPr>
          <w:rFonts w:ascii="宋体" w:hAnsi="宋体"/>
        </w:rPr>
      </w:pPr>
      <w:r>
        <w:rPr>
          <w:rFonts w:ascii="宋体" w:hAnsi="宋体" w:hint="eastAsia"/>
        </w:rPr>
        <w:t>注：本基金本报告期末未持有债券。</w:t>
      </w:r>
    </w:p>
    <w:p w:rsidR="00C93E26" w:rsidRPr="00744CDF" w:rsidRDefault="00C93E26" w:rsidP="00C93E26">
      <w:pPr>
        <w:pStyle w:val="2"/>
        <w:numPr>
          <w:ilvl w:val="1"/>
          <w:numId w:val="15"/>
        </w:numPr>
        <w:ind w:firstLine="482"/>
        <w:rPr>
          <w:rFonts w:hint="eastAsia"/>
        </w:rPr>
      </w:pPr>
      <w:r w:rsidRPr="00744CDF">
        <w:rPr>
          <w:rFonts w:hint="eastAsia"/>
        </w:rPr>
        <w:t>报告期末按公允价值占基金资产净值比例大小排序的前五名债券投资明细</w:t>
      </w:r>
    </w:p>
    <w:p w:rsidR="00C93E26" w:rsidRPr="00DA6999" w:rsidRDefault="00114B27" w:rsidP="003D7B6D">
      <w:pPr>
        <w:ind w:firstLine="480"/>
        <w:rPr>
          <w:rFonts w:ascii="宋体" w:hAnsi="宋体" w:hint="eastAsia"/>
        </w:rPr>
      </w:pPr>
      <w:r>
        <w:rPr>
          <w:rFonts w:ascii="宋体" w:hAnsi="宋体" w:hint="eastAsia"/>
        </w:rPr>
        <w:t>注：本基金本报告期末未持有债券。</w:t>
      </w:r>
    </w:p>
    <w:p w:rsidR="00C93E26" w:rsidRPr="00744CDF" w:rsidRDefault="00C93E26" w:rsidP="00C93E26">
      <w:pPr>
        <w:pStyle w:val="2"/>
        <w:numPr>
          <w:ilvl w:val="1"/>
          <w:numId w:val="15"/>
        </w:numPr>
        <w:ind w:firstLine="482"/>
        <w:rPr>
          <w:rFonts w:hint="eastAsia"/>
        </w:rPr>
      </w:pPr>
      <w:r w:rsidRPr="00744CDF">
        <w:rPr>
          <w:rFonts w:hint="eastAsia"/>
        </w:rPr>
        <w:t>报告期末按公允价值占基金资产净值比例大小排序的前十名资产支持证券投资明细</w:t>
      </w:r>
    </w:p>
    <w:p w:rsidR="00C93E26" w:rsidRDefault="00114B27" w:rsidP="003D7B6D">
      <w:pPr>
        <w:ind w:firstLine="480"/>
        <w:rPr>
          <w:rFonts w:ascii="宋体" w:hAnsi="宋体" w:hint="eastAsia"/>
        </w:rPr>
      </w:pPr>
      <w:r>
        <w:rPr>
          <w:rFonts w:ascii="宋体" w:hAnsi="宋体" w:hint="eastAsia"/>
        </w:rPr>
        <w:t>注：本基金本报告期末未持有资产支持证券。</w:t>
      </w:r>
    </w:p>
    <w:p w:rsidR="00C93E26" w:rsidRPr="00744CDF" w:rsidRDefault="00C93E26" w:rsidP="00C93E26">
      <w:pPr>
        <w:pStyle w:val="2"/>
        <w:numPr>
          <w:ilvl w:val="1"/>
          <w:numId w:val="15"/>
        </w:numPr>
        <w:ind w:firstLine="482"/>
        <w:rPr>
          <w:rFonts w:hint="eastAsia"/>
        </w:rPr>
      </w:pPr>
      <w:r w:rsidRPr="00744CDF">
        <w:rPr>
          <w:rFonts w:hint="eastAsia"/>
        </w:rPr>
        <w:t>报告期末按公允价值占基金资产净值比例大小排序的前五名贵金属投资明细</w:t>
      </w:r>
    </w:p>
    <w:p w:rsidR="00C93E26" w:rsidRPr="009E0913" w:rsidRDefault="00114B27" w:rsidP="003D7B6D">
      <w:pPr>
        <w:ind w:firstLine="480"/>
        <w:rPr>
          <w:rFonts w:ascii="宋体" w:hAnsi="宋体" w:hint="eastAsia"/>
        </w:rPr>
      </w:pPr>
      <w:r>
        <w:rPr>
          <w:rFonts w:ascii="宋体" w:hAnsi="宋体" w:hint="eastAsia"/>
        </w:rPr>
        <w:t>注：本基金本报告期末未持有贵金属投资。</w:t>
      </w:r>
    </w:p>
    <w:p w:rsidR="00C93E26" w:rsidRPr="00744CDF" w:rsidRDefault="00C93E26" w:rsidP="00C93E26">
      <w:pPr>
        <w:pStyle w:val="2"/>
        <w:numPr>
          <w:ilvl w:val="1"/>
          <w:numId w:val="15"/>
        </w:numPr>
        <w:ind w:firstLine="482"/>
        <w:rPr>
          <w:rFonts w:hint="eastAsia"/>
        </w:rPr>
      </w:pPr>
      <w:r w:rsidRPr="00744CDF">
        <w:rPr>
          <w:rFonts w:hint="eastAsia"/>
        </w:rPr>
        <w:t>报告期末按公允价值占基金资产净值比例大小排序的前五名权证投资明细</w:t>
      </w:r>
    </w:p>
    <w:p w:rsidR="00C93E26" w:rsidRPr="00DE21F5" w:rsidRDefault="00114B27" w:rsidP="003D7B6D">
      <w:pPr>
        <w:ind w:firstLine="480"/>
        <w:rPr>
          <w:rFonts w:ascii="宋体" w:hAnsi="宋体"/>
        </w:rPr>
      </w:pPr>
      <w:r>
        <w:rPr>
          <w:rFonts w:ascii="宋体" w:hAnsi="宋体" w:hint="eastAsia"/>
        </w:rPr>
        <w:t>注：本基金本报告期末未持有权证。</w:t>
      </w:r>
    </w:p>
    <w:p w:rsidR="00C93E26" w:rsidRPr="008D17FE" w:rsidRDefault="00C93E26" w:rsidP="00C93E26">
      <w:pPr>
        <w:pStyle w:val="2"/>
        <w:numPr>
          <w:ilvl w:val="1"/>
          <w:numId w:val="15"/>
        </w:numPr>
        <w:ind w:firstLine="482"/>
        <w:rPr>
          <w:rFonts w:hint="eastAsia"/>
        </w:rPr>
      </w:pPr>
      <w:r w:rsidRPr="008D17FE">
        <w:rPr>
          <w:rFonts w:hint="eastAsia"/>
        </w:rPr>
        <w:t>报告期末本基金投资的股指期货交易情况说明</w:t>
      </w:r>
    </w:p>
    <w:p w:rsidR="00C93E26" w:rsidRPr="008D17FE" w:rsidRDefault="00C93E26" w:rsidP="00C93E26">
      <w:pPr>
        <w:pStyle w:val="3"/>
        <w:numPr>
          <w:ilvl w:val="2"/>
          <w:numId w:val="15"/>
        </w:numPr>
        <w:ind w:firstLine="482"/>
        <w:rPr>
          <w:rFonts w:hint="eastAsia"/>
        </w:rPr>
      </w:pPr>
      <w:r w:rsidRPr="008D17FE">
        <w:rPr>
          <w:rFonts w:hint="eastAsia"/>
        </w:rPr>
        <w:t>报告期末本基金投资的股指期货持仓和损益明细</w:t>
      </w:r>
    </w:p>
    <w:tbl>
      <w:tblPr>
        <w:tblW w:w="9356" w:type="dxa"/>
        <w:tblInd w:w="-176" w:type="dxa"/>
        <w:tblLayout w:type="fixed"/>
        <w:tblLook w:val="0000"/>
      </w:tblPr>
      <w:tblGrid>
        <w:gridCol w:w="7655"/>
        <w:gridCol w:w="1701"/>
      </w:tblGrid>
      <w:tr w:rsidR="00C93E26" w:rsidRPr="00B030BC" w:rsidTr="003D7B6D">
        <w:trPr>
          <w:trHeight w:val="105"/>
        </w:trPr>
        <w:tc>
          <w:tcPr>
            <w:tcW w:w="7655" w:type="dxa"/>
            <w:tcBorders>
              <w:top w:val="single" w:sz="4" w:space="0" w:color="auto"/>
              <w:left w:val="single" w:sz="4" w:space="0" w:color="auto"/>
              <w:bottom w:val="single" w:sz="4" w:space="0" w:color="auto"/>
              <w:right w:val="single" w:sz="4" w:space="0" w:color="auto"/>
            </w:tcBorders>
          </w:tcPr>
          <w:p w:rsidR="00C93E26" w:rsidRPr="00B030BC" w:rsidRDefault="00C93E26" w:rsidP="003D7B6D">
            <w:pPr>
              <w:pStyle w:val="Default"/>
              <w:ind w:firstLine="360"/>
              <w:rPr>
                <w:rFonts w:hAnsi="宋体"/>
                <w:sz w:val="21"/>
                <w:szCs w:val="21"/>
              </w:rPr>
            </w:pPr>
            <w:r w:rsidRPr="00B030BC">
              <w:rPr>
                <w:rFonts w:hAnsi="宋体"/>
                <w:sz w:val="21"/>
                <w:szCs w:val="21"/>
              </w:rPr>
              <w:t>公允价值变动总额合计</w:t>
            </w:r>
            <w:r w:rsidRPr="00B030BC">
              <w:rPr>
                <w:rFonts w:hint="eastAsia"/>
                <w:sz w:val="21"/>
                <w:szCs w:val="21"/>
              </w:rPr>
              <w:t>(元)</w:t>
            </w:r>
          </w:p>
        </w:tc>
        <w:tc>
          <w:tcPr>
            <w:tcW w:w="1701" w:type="dxa"/>
            <w:tcBorders>
              <w:top w:val="single" w:sz="4" w:space="0" w:color="auto"/>
              <w:left w:val="single" w:sz="4" w:space="0" w:color="auto"/>
              <w:bottom w:val="single" w:sz="4" w:space="0" w:color="auto"/>
              <w:right w:val="single" w:sz="4" w:space="0" w:color="auto"/>
            </w:tcBorders>
          </w:tcPr>
          <w:p w:rsidR="00C93E26" w:rsidRPr="00B030BC" w:rsidRDefault="00114B27" w:rsidP="003D7B6D">
            <w:pPr>
              <w:pStyle w:val="Default"/>
              <w:ind w:firstLine="360"/>
              <w:jc w:val="right"/>
              <w:rPr>
                <w:rFonts w:hAnsi="宋体" w:hint="eastAsia"/>
                <w:sz w:val="21"/>
                <w:szCs w:val="21"/>
              </w:rPr>
            </w:pPr>
            <w:r>
              <w:rPr>
                <w:rFonts w:hAnsi="宋体" w:hint="eastAsia"/>
                <w:sz w:val="21"/>
                <w:szCs w:val="21"/>
              </w:rPr>
              <w:t>－</w:t>
            </w:r>
          </w:p>
        </w:tc>
      </w:tr>
      <w:tr w:rsidR="00C93E26" w:rsidRPr="00B030BC" w:rsidTr="003D7B6D">
        <w:trPr>
          <w:trHeight w:val="105"/>
        </w:trPr>
        <w:tc>
          <w:tcPr>
            <w:tcW w:w="7655" w:type="dxa"/>
            <w:tcBorders>
              <w:top w:val="single" w:sz="4" w:space="0" w:color="auto"/>
              <w:left w:val="single" w:sz="4" w:space="0" w:color="auto"/>
              <w:bottom w:val="single" w:sz="4" w:space="0" w:color="auto"/>
              <w:right w:val="single" w:sz="4" w:space="0" w:color="auto"/>
            </w:tcBorders>
          </w:tcPr>
          <w:p w:rsidR="00C93E26" w:rsidRPr="00B030BC" w:rsidRDefault="00C93E26" w:rsidP="003D7B6D">
            <w:pPr>
              <w:pStyle w:val="Default"/>
              <w:ind w:firstLine="360"/>
              <w:rPr>
                <w:rFonts w:hAnsi="宋体"/>
                <w:sz w:val="21"/>
                <w:szCs w:val="21"/>
              </w:rPr>
            </w:pPr>
            <w:r w:rsidRPr="00B030BC">
              <w:rPr>
                <w:rFonts w:hAnsi="宋体"/>
                <w:sz w:val="21"/>
                <w:szCs w:val="21"/>
              </w:rPr>
              <w:t>股指期货投资</w:t>
            </w:r>
            <w:r w:rsidRPr="00B030BC">
              <w:rPr>
                <w:rFonts w:hAnsi="宋体" w:hint="eastAsia"/>
                <w:sz w:val="21"/>
                <w:szCs w:val="21"/>
              </w:rPr>
              <w:t>本期收益</w:t>
            </w:r>
            <w:r w:rsidRPr="00B030BC">
              <w:rPr>
                <w:rFonts w:hint="eastAsia"/>
                <w:sz w:val="21"/>
                <w:szCs w:val="21"/>
              </w:rPr>
              <w:t>(元)</w:t>
            </w:r>
          </w:p>
        </w:tc>
        <w:tc>
          <w:tcPr>
            <w:tcW w:w="1701" w:type="dxa"/>
            <w:tcBorders>
              <w:top w:val="single" w:sz="4" w:space="0" w:color="auto"/>
              <w:left w:val="single" w:sz="4" w:space="0" w:color="auto"/>
              <w:bottom w:val="single" w:sz="4" w:space="0" w:color="auto"/>
              <w:right w:val="single" w:sz="4" w:space="0" w:color="auto"/>
            </w:tcBorders>
          </w:tcPr>
          <w:p w:rsidR="00C93E26" w:rsidRPr="00B030BC" w:rsidRDefault="00114B27" w:rsidP="003D7B6D">
            <w:pPr>
              <w:pStyle w:val="Default"/>
              <w:ind w:firstLine="360"/>
              <w:jc w:val="right"/>
              <w:rPr>
                <w:rFonts w:hAnsi="宋体"/>
                <w:sz w:val="21"/>
                <w:szCs w:val="21"/>
              </w:rPr>
            </w:pPr>
            <w:r>
              <w:rPr>
                <w:rFonts w:hAnsi="宋体" w:hint="eastAsia"/>
                <w:sz w:val="21"/>
                <w:szCs w:val="21"/>
              </w:rPr>
              <w:t>－</w:t>
            </w:r>
          </w:p>
        </w:tc>
      </w:tr>
      <w:tr w:rsidR="00C93E26" w:rsidRPr="00B030BC" w:rsidTr="003D7B6D">
        <w:trPr>
          <w:trHeight w:val="105"/>
        </w:trPr>
        <w:tc>
          <w:tcPr>
            <w:tcW w:w="7655" w:type="dxa"/>
            <w:tcBorders>
              <w:top w:val="single" w:sz="4" w:space="0" w:color="auto"/>
              <w:left w:val="single" w:sz="4" w:space="0" w:color="auto"/>
              <w:bottom w:val="single" w:sz="4" w:space="0" w:color="auto"/>
              <w:right w:val="single" w:sz="4" w:space="0" w:color="auto"/>
            </w:tcBorders>
          </w:tcPr>
          <w:p w:rsidR="00C93E26" w:rsidRPr="00B030BC" w:rsidRDefault="00C93E26" w:rsidP="003D7B6D">
            <w:pPr>
              <w:pStyle w:val="Default"/>
              <w:ind w:firstLine="360"/>
              <w:rPr>
                <w:rFonts w:hAnsi="宋体"/>
                <w:sz w:val="21"/>
                <w:szCs w:val="21"/>
              </w:rPr>
            </w:pPr>
            <w:r w:rsidRPr="00B030BC">
              <w:rPr>
                <w:rFonts w:hAnsi="宋体"/>
                <w:sz w:val="21"/>
                <w:szCs w:val="21"/>
              </w:rPr>
              <w:t>股指期货投资</w:t>
            </w:r>
            <w:r w:rsidRPr="00B030BC">
              <w:rPr>
                <w:rFonts w:hAnsi="宋体" w:hint="eastAsia"/>
                <w:sz w:val="21"/>
                <w:szCs w:val="21"/>
              </w:rPr>
              <w:t>本期</w:t>
            </w:r>
            <w:r w:rsidRPr="00B030BC">
              <w:rPr>
                <w:rFonts w:hAnsi="宋体"/>
                <w:sz w:val="21"/>
                <w:szCs w:val="21"/>
              </w:rPr>
              <w:t>公允价值变动</w:t>
            </w:r>
            <w:r w:rsidRPr="00B030BC">
              <w:rPr>
                <w:rFonts w:hint="eastAsia"/>
                <w:sz w:val="21"/>
                <w:szCs w:val="21"/>
              </w:rPr>
              <w:t>(元)</w:t>
            </w:r>
          </w:p>
        </w:tc>
        <w:tc>
          <w:tcPr>
            <w:tcW w:w="1701" w:type="dxa"/>
            <w:tcBorders>
              <w:top w:val="single" w:sz="4" w:space="0" w:color="auto"/>
              <w:left w:val="single" w:sz="4" w:space="0" w:color="auto"/>
              <w:bottom w:val="single" w:sz="4" w:space="0" w:color="auto"/>
              <w:right w:val="single" w:sz="4" w:space="0" w:color="auto"/>
            </w:tcBorders>
          </w:tcPr>
          <w:p w:rsidR="00C93E26" w:rsidRPr="00B030BC" w:rsidRDefault="00114B27" w:rsidP="003D7B6D">
            <w:pPr>
              <w:pStyle w:val="Default"/>
              <w:ind w:firstLine="360"/>
              <w:jc w:val="right"/>
              <w:rPr>
                <w:rFonts w:hAnsi="宋体"/>
                <w:sz w:val="21"/>
                <w:szCs w:val="21"/>
              </w:rPr>
            </w:pPr>
            <w:r>
              <w:rPr>
                <w:rFonts w:hAnsi="宋体" w:hint="eastAsia"/>
                <w:sz w:val="21"/>
                <w:szCs w:val="21"/>
              </w:rPr>
              <w:t>－</w:t>
            </w:r>
          </w:p>
        </w:tc>
      </w:tr>
    </w:tbl>
    <w:p w:rsidR="00C93E26" w:rsidRPr="00B058BB" w:rsidRDefault="00114B27" w:rsidP="003D7B6D">
      <w:pPr>
        <w:adjustRightInd w:val="0"/>
        <w:snapToGrid w:val="0"/>
        <w:spacing w:line="360" w:lineRule="exact"/>
        <w:ind w:firstLine="480"/>
        <w:rPr>
          <w:rFonts w:ascii="宋体" w:hAnsi="宋体" w:cs="FangSong"/>
          <w:color w:val="000000"/>
          <w:kern w:val="0"/>
        </w:rPr>
      </w:pPr>
      <w:r>
        <w:rPr>
          <w:rFonts w:ascii="宋体" w:hAnsi="宋体" w:hint="eastAsia"/>
        </w:rPr>
        <w:t>注：本基金本报告期末未投资股指期货。</w:t>
      </w:r>
    </w:p>
    <w:p w:rsidR="00C93E26" w:rsidRPr="008D17FE" w:rsidRDefault="00C93E26" w:rsidP="00C93E26">
      <w:pPr>
        <w:pStyle w:val="3"/>
        <w:numPr>
          <w:ilvl w:val="2"/>
          <w:numId w:val="15"/>
        </w:numPr>
        <w:ind w:firstLine="482"/>
        <w:rPr>
          <w:rFonts w:hint="eastAsia"/>
        </w:rPr>
      </w:pPr>
      <w:r w:rsidRPr="008D17FE">
        <w:rPr>
          <w:rFonts w:hint="eastAsia"/>
        </w:rPr>
        <w:t>本基金投资股指期货的投资政策</w:t>
      </w:r>
    </w:p>
    <w:p w:rsidR="00C93E26" w:rsidRPr="00725ED1" w:rsidRDefault="00114B27" w:rsidP="003D7B6D">
      <w:pPr>
        <w:ind w:firstLine="480"/>
      </w:pPr>
      <w:r>
        <w:rPr>
          <w:rFonts w:ascii="宋体" w:hAnsi="宋体" w:hint="eastAsia"/>
          <w:kern w:val="0"/>
        </w:rPr>
        <w:t>本基金股指期货投资主要遵循有效管理投资策略，根据风险管理的原则，以套期保值为目的，主要采用流动性好、交易活跃的期货合约，通过对现货和期货市场运行趋势的研究，结合股指期货定价模型寻求其合理估值水平，谨慎参与股指期货投资。</w:t>
      </w:r>
    </w:p>
    <w:p w:rsidR="00C93E26" w:rsidRPr="002C687A" w:rsidRDefault="00C93E26" w:rsidP="00C93E26">
      <w:pPr>
        <w:pStyle w:val="2"/>
        <w:numPr>
          <w:ilvl w:val="1"/>
          <w:numId w:val="15"/>
        </w:numPr>
        <w:ind w:firstLine="482"/>
        <w:rPr>
          <w:rFonts w:hint="eastAsia"/>
        </w:rPr>
      </w:pPr>
      <w:r w:rsidRPr="002C687A">
        <w:rPr>
          <w:rFonts w:hint="eastAsia"/>
        </w:rPr>
        <w:t>报告期末本基金投资的国债期货交易情况说明</w:t>
      </w:r>
    </w:p>
    <w:p w:rsidR="00C93E26" w:rsidRPr="002C687A" w:rsidRDefault="00C93E26" w:rsidP="00C93E26">
      <w:pPr>
        <w:pStyle w:val="3"/>
        <w:numPr>
          <w:ilvl w:val="2"/>
          <w:numId w:val="15"/>
        </w:numPr>
        <w:ind w:firstLine="482"/>
        <w:rPr>
          <w:rFonts w:hint="eastAsia"/>
        </w:rPr>
      </w:pPr>
      <w:r w:rsidRPr="002C687A">
        <w:rPr>
          <w:rFonts w:hint="eastAsia"/>
        </w:rPr>
        <w:t>本期国债期货投资政策</w:t>
      </w:r>
    </w:p>
    <w:p w:rsidR="00C93E26" w:rsidRDefault="00114B27" w:rsidP="003D7B6D">
      <w:pPr>
        <w:ind w:firstLine="480"/>
        <w:rPr>
          <w:rFonts w:ascii="宋体" w:hAnsi="宋体" w:hint="eastAsia"/>
          <w:kern w:val="0"/>
        </w:rPr>
      </w:pPr>
      <w:r>
        <w:rPr>
          <w:rFonts w:ascii="宋体" w:hAnsi="宋体" w:hint="eastAsia"/>
          <w:kern w:val="0"/>
        </w:rPr>
        <w:t>本基金根据基金合同的约定，不允许投资国债期货。</w:t>
      </w:r>
    </w:p>
    <w:p w:rsidR="00C93E26" w:rsidRPr="002C687A" w:rsidRDefault="00C93E26" w:rsidP="00C93E26">
      <w:pPr>
        <w:pStyle w:val="3"/>
        <w:numPr>
          <w:ilvl w:val="2"/>
          <w:numId w:val="15"/>
        </w:numPr>
        <w:ind w:firstLine="482"/>
        <w:rPr>
          <w:rFonts w:hint="eastAsia"/>
        </w:rPr>
      </w:pPr>
      <w:r w:rsidRPr="002C687A">
        <w:rPr>
          <w:rFonts w:hint="eastAsia"/>
        </w:rPr>
        <w:t>报告期末本基金投资的国债期货持仓和损益明细</w:t>
      </w:r>
    </w:p>
    <w:tbl>
      <w:tblPr>
        <w:tblW w:w="8760" w:type="dxa"/>
        <w:tblInd w:w="0" w:type="dxa"/>
        <w:tblLayout w:type="fixed"/>
        <w:tblLook w:val="0000"/>
      </w:tblPr>
      <w:tblGrid>
        <w:gridCol w:w="7344"/>
        <w:gridCol w:w="1416"/>
      </w:tblGrid>
      <w:tr w:rsidR="00C93E26" w:rsidRPr="00AD421E" w:rsidTr="003D7B6D">
        <w:trPr>
          <w:trHeight w:val="105"/>
        </w:trPr>
        <w:tc>
          <w:tcPr>
            <w:tcW w:w="7344" w:type="dxa"/>
            <w:tcBorders>
              <w:top w:val="single" w:sz="4" w:space="0" w:color="auto"/>
              <w:left w:val="single" w:sz="4" w:space="0" w:color="auto"/>
              <w:bottom w:val="single" w:sz="4" w:space="0" w:color="auto"/>
              <w:right w:val="single" w:sz="4" w:space="0" w:color="auto"/>
            </w:tcBorders>
          </w:tcPr>
          <w:p w:rsidR="00C93E26" w:rsidRPr="00AD421E" w:rsidRDefault="00C93E26" w:rsidP="003D7B6D">
            <w:pPr>
              <w:pStyle w:val="Default"/>
              <w:rPr>
                <w:rFonts w:hAnsi="宋体"/>
                <w:sz w:val="21"/>
                <w:szCs w:val="21"/>
              </w:rPr>
            </w:pPr>
            <w:r w:rsidRPr="00AD421E">
              <w:rPr>
                <w:rFonts w:hAnsi="宋体" w:hint="eastAsia"/>
                <w:sz w:val="21"/>
                <w:szCs w:val="21"/>
              </w:rPr>
              <w:t>公允价值变动总额合计（元）</w:t>
            </w:r>
          </w:p>
        </w:tc>
        <w:tc>
          <w:tcPr>
            <w:tcW w:w="1416" w:type="dxa"/>
            <w:tcBorders>
              <w:top w:val="single" w:sz="4" w:space="0" w:color="auto"/>
              <w:left w:val="single" w:sz="4" w:space="0" w:color="auto"/>
              <w:bottom w:val="single" w:sz="4" w:space="0" w:color="auto"/>
              <w:right w:val="single" w:sz="4" w:space="0" w:color="auto"/>
            </w:tcBorders>
          </w:tcPr>
          <w:p w:rsidR="00C93E26" w:rsidRPr="00AD421E" w:rsidRDefault="00114B27" w:rsidP="003D7B6D">
            <w:pPr>
              <w:pStyle w:val="Default"/>
              <w:rPr>
                <w:rFonts w:hAnsi="宋体" w:hint="eastAsia"/>
                <w:sz w:val="21"/>
                <w:szCs w:val="21"/>
              </w:rPr>
            </w:pPr>
            <w:r>
              <w:rPr>
                <w:rFonts w:hAnsi="宋体" w:hint="eastAsia"/>
                <w:sz w:val="21"/>
                <w:szCs w:val="21"/>
              </w:rPr>
              <w:t>－</w:t>
            </w:r>
          </w:p>
        </w:tc>
      </w:tr>
      <w:tr w:rsidR="00C93E26" w:rsidRPr="00AD421E" w:rsidTr="003D7B6D">
        <w:trPr>
          <w:trHeight w:val="105"/>
        </w:trPr>
        <w:tc>
          <w:tcPr>
            <w:tcW w:w="7344" w:type="dxa"/>
            <w:tcBorders>
              <w:top w:val="single" w:sz="4" w:space="0" w:color="auto"/>
              <w:left w:val="single" w:sz="4" w:space="0" w:color="auto"/>
              <w:bottom w:val="single" w:sz="4" w:space="0" w:color="auto"/>
              <w:right w:val="single" w:sz="4" w:space="0" w:color="auto"/>
            </w:tcBorders>
          </w:tcPr>
          <w:p w:rsidR="00C93E26" w:rsidRPr="00AD421E" w:rsidRDefault="00C93E26" w:rsidP="003D7B6D">
            <w:pPr>
              <w:pStyle w:val="Default"/>
              <w:rPr>
                <w:rFonts w:hAnsi="宋体"/>
                <w:sz w:val="21"/>
                <w:szCs w:val="21"/>
              </w:rPr>
            </w:pPr>
            <w:r w:rsidRPr="00AD421E">
              <w:rPr>
                <w:rFonts w:hAnsi="宋体" w:hint="eastAsia"/>
                <w:sz w:val="21"/>
                <w:szCs w:val="21"/>
              </w:rPr>
              <w:t>国债期货投资本期收益（元）</w:t>
            </w:r>
          </w:p>
        </w:tc>
        <w:tc>
          <w:tcPr>
            <w:tcW w:w="1416" w:type="dxa"/>
            <w:tcBorders>
              <w:top w:val="single" w:sz="4" w:space="0" w:color="auto"/>
              <w:left w:val="single" w:sz="4" w:space="0" w:color="auto"/>
              <w:bottom w:val="single" w:sz="4" w:space="0" w:color="auto"/>
              <w:right w:val="single" w:sz="4" w:space="0" w:color="auto"/>
            </w:tcBorders>
          </w:tcPr>
          <w:p w:rsidR="00C93E26" w:rsidRPr="00AD421E" w:rsidRDefault="00114B27" w:rsidP="003D7B6D">
            <w:pPr>
              <w:pStyle w:val="Default"/>
              <w:rPr>
                <w:rFonts w:hAnsi="宋体"/>
                <w:sz w:val="21"/>
                <w:szCs w:val="21"/>
              </w:rPr>
            </w:pPr>
            <w:r>
              <w:rPr>
                <w:rFonts w:hAnsi="宋体" w:hint="eastAsia"/>
                <w:sz w:val="21"/>
                <w:szCs w:val="21"/>
              </w:rPr>
              <w:t>－</w:t>
            </w:r>
          </w:p>
        </w:tc>
      </w:tr>
      <w:tr w:rsidR="00C93E26" w:rsidRPr="00AD421E" w:rsidTr="003D7B6D">
        <w:trPr>
          <w:trHeight w:val="105"/>
        </w:trPr>
        <w:tc>
          <w:tcPr>
            <w:tcW w:w="7344" w:type="dxa"/>
            <w:tcBorders>
              <w:top w:val="single" w:sz="4" w:space="0" w:color="auto"/>
              <w:left w:val="single" w:sz="4" w:space="0" w:color="auto"/>
              <w:bottom w:val="single" w:sz="4" w:space="0" w:color="auto"/>
              <w:right w:val="single" w:sz="4" w:space="0" w:color="auto"/>
            </w:tcBorders>
          </w:tcPr>
          <w:p w:rsidR="00C93E26" w:rsidRPr="00AD421E" w:rsidRDefault="00C93E26" w:rsidP="003D7B6D">
            <w:pPr>
              <w:pStyle w:val="Default"/>
              <w:rPr>
                <w:rFonts w:hAnsi="宋体"/>
                <w:sz w:val="21"/>
                <w:szCs w:val="21"/>
              </w:rPr>
            </w:pPr>
            <w:r w:rsidRPr="00AD421E">
              <w:rPr>
                <w:rFonts w:hAnsi="宋体" w:hint="eastAsia"/>
                <w:sz w:val="21"/>
                <w:szCs w:val="21"/>
              </w:rPr>
              <w:t>国债期货投资本期公允价值变动（元）</w:t>
            </w:r>
          </w:p>
        </w:tc>
        <w:tc>
          <w:tcPr>
            <w:tcW w:w="1416" w:type="dxa"/>
            <w:tcBorders>
              <w:top w:val="single" w:sz="4" w:space="0" w:color="auto"/>
              <w:left w:val="single" w:sz="4" w:space="0" w:color="auto"/>
              <w:bottom w:val="single" w:sz="4" w:space="0" w:color="auto"/>
              <w:right w:val="single" w:sz="4" w:space="0" w:color="auto"/>
            </w:tcBorders>
          </w:tcPr>
          <w:p w:rsidR="00C93E26" w:rsidRPr="00AD421E" w:rsidRDefault="00114B27" w:rsidP="003D7B6D">
            <w:pPr>
              <w:pStyle w:val="Default"/>
              <w:rPr>
                <w:rFonts w:hAnsi="宋体"/>
                <w:sz w:val="21"/>
                <w:szCs w:val="21"/>
              </w:rPr>
            </w:pPr>
            <w:r>
              <w:rPr>
                <w:rFonts w:hAnsi="宋体" w:hint="eastAsia"/>
                <w:sz w:val="21"/>
                <w:szCs w:val="21"/>
              </w:rPr>
              <w:t>－</w:t>
            </w:r>
          </w:p>
        </w:tc>
      </w:tr>
    </w:tbl>
    <w:p w:rsidR="00C93E26" w:rsidRPr="00B058BB" w:rsidRDefault="00114B27" w:rsidP="003D7B6D">
      <w:pPr>
        <w:adjustRightInd w:val="0"/>
        <w:snapToGrid w:val="0"/>
        <w:spacing w:line="360" w:lineRule="exact"/>
        <w:ind w:firstLine="480"/>
        <w:rPr>
          <w:rFonts w:ascii="宋体" w:hAnsi="宋体" w:cs="FangSong"/>
          <w:color w:val="000000"/>
          <w:kern w:val="0"/>
        </w:rPr>
      </w:pPr>
      <w:r>
        <w:rPr>
          <w:rFonts w:ascii="宋体" w:hAnsi="宋体" w:hint="eastAsia"/>
        </w:rPr>
        <w:t>注：本基金本报告期末未投资国债期货。</w:t>
      </w:r>
    </w:p>
    <w:p w:rsidR="00C93E26" w:rsidRPr="002C687A" w:rsidRDefault="00C93E26" w:rsidP="00C93E26">
      <w:pPr>
        <w:pStyle w:val="3"/>
        <w:numPr>
          <w:ilvl w:val="2"/>
          <w:numId w:val="15"/>
        </w:numPr>
        <w:ind w:firstLine="482"/>
        <w:rPr>
          <w:rFonts w:hint="eastAsia"/>
        </w:rPr>
      </w:pPr>
      <w:r w:rsidRPr="002C687A">
        <w:rPr>
          <w:rFonts w:hint="eastAsia"/>
        </w:rPr>
        <w:t>本期国债期货投资评价</w:t>
      </w:r>
    </w:p>
    <w:p w:rsidR="00C93E26" w:rsidRPr="00643E2E" w:rsidRDefault="00114B27" w:rsidP="003D7B6D">
      <w:pPr>
        <w:ind w:firstLine="480"/>
      </w:pPr>
      <w:r>
        <w:rPr>
          <w:rFonts w:ascii="宋体" w:hAnsi="宋体" w:hint="eastAsia"/>
          <w:kern w:val="0"/>
        </w:rPr>
        <w:t>本基金本报告期末未投资国债期货。</w:t>
      </w:r>
    </w:p>
    <w:p w:rsidR="00C93E26" w:rsidRPr="0011355E" w:rsidRDefault="00C93E26" w:rsidP="00C93E26">
      <w:pPr>
        <w:pStyle w:val="2"/>
        <w:numPr>
          <w:ilvl w:val="1"/>
          <w:numId w:val="15"/>
        </w:numPr>
        <w:ind w:firstLine="482"/>
        <w:rPr>
          <w:rFonts w:hint="eastAsia"/>
        </w:rPr>
      </w:pPr>
      <w:r w:rsidRPr="0011355E">
        <w:rPr>
          <w:rFonts w:hint="eastAsia"/>
        </w:rPr>
        <w:t>投资组合报告附注</w:t>
      </w:r>
    </w:p>
    <w:p w:rsidR="00C93E26" w:rsidRPr="0011355E" w:rsidRDefault="00C93E26" w:rsidP="00C93E26">
      <w:pPr>
        <w:pStyle w:val="3"/>
        <w:numPr>
          <w:ilvl w:val="2"/>
          <w:numId w:val="15"/>
        </w:numPr>
        <w:ind w:firstLine="482"/>
        <w:rPr>
          <w:rFonts w:hint="eastAsia"/>
        </w:rPr>
      </w:pPr>
      <w:r w:rsidRPr="0011355E">
        <w:rPr>
          <w:rFonts w:hint="eastAsia"/>
        </w:rPr>
        <w:t>申明本基金投资的前十名证券的发行主体本期是否出现被监管部门立案调查，或在报告编制日前一年内受到公开谴责、处罚的情形。</w:t>
      </w:r>
    </w:p>
    <w:p w:rsidR="00C93E26" w:rsidRPr="00594640" w:rsidRDefault="00114B27" w:rsidP="003D7B6D">
      <w:pPr>
        <w:ind w:firstLine="480"/>
        <w:rPr>
          <w:rFonts w:hint="eastAsia"/>
        </w:rPr>
      </w:pPr>
      <w:r>
        <w:rPr>
          <w:rFonts w:ascii="宋体" w:hAnsi="宋体" w:hint="eastAsia"/>
          <w:kern w:val="0"/>
        </w:rPr>
        <w:t>报告期内本基金投资的前十名证券的发行主体没有被监管部门立案调查，或在报告编制日前一年内受到公开谴责、处罚的情形。</w:t>
      </w:r>
    </w:p>
    <w:p w:rsidR="00C93E26" w:rsidRPr="0011355E" w:rsidRDefault="00C93E26" w:rsidP="00C93E26">
      <w:pPr>
        <w:pStyle w:val="3"/>
        <w:numPr>
          <w:ilvl w:val="2"/>
          <w:numId w:val="15"/>
        </w:numPr>
        <w:ind w:firstLine="482"/>
        <w:rPr>
          <w:rFonts w:hint="eastAsia"/>
        </w:rPr>
      </w:pPr>
      <w:r w:rsidRPr="0011355E">
        <w:rPr>
          <w:rFonts w:hint="eastAsia"/>
        </w:rPr>
        <w:t>申明基金投资的前十名股票是否超出基金合同规定的备选股票库。</w:t>
      </w:r>
    </w:p>
    <w:p w:rsidR="00C93E26" w:rsidRPr="00DA6999" w:rsidRDefault="00114B27" w:rsidP="00114B27">
      <w:pPr>
        <w:ind w:firstLine="480"/>
        <w:rPr>
          <w:rFonts w:ascii="宋体" w:hAnsi="宋体" w:hint="eastAsia"/>
          <w:b/>
          <w:bCs/>
        </w:rPr>
      </w:pPr>
      <w:r>
        <w:rPr>
          <w:rFonts w:ascii="宋体" w:hAnsi="宋体" w:hint="eastAsia"/>
          <w:kern w:val="0"/>
        </w:rPr>
        <w:t>报告期内本基金投资的前十名股票中没有在备选股票库之外的股票。</w:t>
      </w:r>
    </w:p>
    <w:p w:rsidR="00C93E26" w:rsidRPr="0011355E" w:rsidRDefault="00C93E26" w:rsidP="00C93E26">
      <w:pPr>
        <w:pStyle w:val="3"/>
        <w:numPr>
          <w:ilvl w:val="2"/>
          <w:numId w:val="15"/>
        </w:numPr>
        <w:ind w:firstLine="482"/>
        <w:rPr>
          <w:rFonts w:hint="eastAsia"/>
        </w:rPr>
      </w:pPr>
      <w:r w:rsidRPr="0011355E">
        <w:rPr>
          <w:rFonts w:hint="eastAsia"/>
        </w:rPr>
        <w:t>其他资产构成</w:t>
      </w:r>
    </w:p>
    <w:tbl>
      <w:tblPr>
        <w:tblW w:w="5000" w:type="pct"/>
        <w:tblInd w:w="0" w:type="dxa"/>
        <w:tblCellMar>
          <w:left w:w="0" w:type="dxa"/>
          <w:right w:w="0" w:type="dxa"/>
        </w:tblCellMar>
        <w:tblLook w:val="0000"/>
      </w:tblPr>
      <w:tblGrid>
        <w:gridCol w:w="730"/>
        <w:gridCol w:w="3943"/>
        <w:gridCol w:w="3653"/>
      </w:tblGrid>
      <w:tr w:rsidR="00C93E26" w:rsidRPr="008733E6" w:rsidTr="003D7B6D">
        <w:trPr>
          <w:trHeight w:val="285"/>
        </w:trPr>
        <w:tc>
          <w:tcPr>
            <w:tcW w:w="438" w:type="pct"/>
            <w:tcBorders>
              <w:top w:val="single" w:sz="4" w:space="0" w:color="auto"/>
              <w:left w:val="single" w:sz="4" w:space="0" w:color="auto"/>
              <w:bottom w:val="single" w:sz="4" w:space="0" w:color="auto"/>
              <w:right w:val="single" w:sz="4" w:space="0" w:color="auto"/>
            </w:tcBorders>
          </w:tcPr>
          <w:p w:rsidR="00C93E26" w:rsidRPr="008733E6" w:rsidRDefault="00C93E26" w:rsidP="003D7B6D">
            <w:pPr>
              <w:ind w:firstLineChars="0" w:firstLine="0"/>
              <w:jc w:val="center"/>
              <w:rPr>
                <w:rFonts w:ascii="宋体" w:hAnsi="宋体"/>
                <w:sz w:val="21"/>
                <w:szCs w:val="21"/>
              </w:rPr>
            </w:pPr>
            <w:r w:rsidRPr="008733E6">
              <w:rPr>
                <w:rFonts w:ascii="宋体" w:hAnsi="宋体" w:hint="eastAsia"/>
                <w:sz w:val="21"/>
                <w:szCs w:val="21"/>
              </w:rPr>
              <w:t>序号</w:t>
            </w:r>
          </w:p>
        </w:tc>
        <w:tc>
          <w:tcPr>
            <w:tcW w:w="2368" w:type="pct"/>
            <w:tcBorders>
              <w:top w:val="single" w:sz="4" w:space="0" w:color="auto"/>
              <w:left w:val="single" w:sz="4" w:space="0" w:color="auto"/>
              <w:bottom w:val="single" w:sz="4" w:space="0" w:color="auto"/>
              <w:right w:val="single" w:sz="4" w:space="0" w:color="auto"/>
            </w:tcBorders>
          </w:tcPr>
          <w:p w:rsidR="00C93E26" w:rsidRPr="008733E6" w:rsidRDefault="00C93E26" w:rsidP="003D7B6D">
            <w:pPr>
              <w:ind w:firstLine="420"/>
              <w:jc w:val="center"/>
              <w:rPr>
                <w:rFonts w:ascii="宋体" w:hAnsi="宋体" w:hint="eastAsia"/>
                <w:sz w:val="21"/>
                <w:szCs w:val="21"/>
              </w:rPr>
            </w:pPr>
            <w:r w:rsidRPr="008733E6">
              <w:rPr>
                <w:rFonts w:ascii="宋体" w:hAnsi="宋体" w:hint="eastAsia"/>
                <w:sz w:val="21"/>
                <w:szCs w:val="21"/>
              </w:rPr>
              <w:t>名称</w:t>
            </w:r>
          </w:p>
        </w:tc>
        <w:tc>
          <w:tcPr>
            <w:tcW w:w="2194"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C93E26" w:rsidRPr="008733E6" w:rsidRDefault="00C93E26" w:rsidP="003D7B6D">
            <w:pPr>
              <w:ind w:firstLine="420"/>
              <w:jc w:val="center"/>
              <w:rPr>
                <w:rFonts w:ascii="宋体" w:hAnsi="宋体"/>
                <w:sz w:val="21"/>
                <w:szCs w:val="21"/>
              </w:rPr>
            </w:pPr>
            <w:r w:rsidRPr="008733E6">
              <w:rPr>
                <w:rFonts w:ascii="宋体" w:hAnsi="宋体" w:hint="eastAsia"/>
                <w:sz w:val="21"/>
                <w:szCs w:val="21"/>
              </w:rPr>
              <w:t>金额（元）</w:t>
            </w:r>
          </w:p>
        </w:tc>
      </w:tr>
      <w:tr w:rsidR="00C93E26" w:rsidRPr="008733E6" w:rsidTr="003D7B6D">
        <w:trPr>
          <w:trHeight w:val="312"/>
        </w:trPr>
        <w:tc>
          <w:tcPr>
            <w:tcW w:w="43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jc w:val="center"/>
              <w:rPr>
                <w:rFonts w:ascii="宋体" w:hAnsi="宋体" w:hint="eastAsia"/>
                <w:color w:val="000000"/>
                <w:sz w:val="21"/>
                <w:szCs w:val="21"/>
              </w:rPr>
            </w:pPr>
            <w:r w:rsidRPr="008733E6">
              <w:rPr>
                <w:rFonts w:ascii="宋体" w:hAnsi="宋体" w:hint="eastAsia"/>
                <w:color w:val="000000"/>
                <w:sz w:val="21"/>
                <w:szCs w:val="21"/>
              </w:rPr>
              <w:t>1</w:t>
            </w:r>
          </w:p>
        </w:tc>
        <w:tc>
          <w:tcPr>
            <w:tcW w:w="236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color w:val="000000"/>
                <w:sz w:val="21"/>
                <w:szCs w:val="21"/>
              </w:rPr>
            </w:pPr>
            <w:r w:rsidRPr="008733E6">
              <w:rPr>
                <w:rFonts w:ascii="宋体" w:hAnsi="宋体" w:hint="eastAsia"/>
                <w:color w:val="000000"/>
                <w:sz w:val="21"/>
                <w:szCs w:val="21"/>
              </w:rPr>
              <w:t>存出保证金</w:t>
            </w:r>
          </w:p>
        </w:tc>
        <w:tc>
          <w:tcPr>
            <w:tcW w:w="2194" w:type="pct"/>
            <w:tcBorders>
              <w:top w:val="nil"/>
              <w:left w:val="nil"/>
              <w:bottom w:val="single" w:sz="4" w:space="0" w:color="auto"/>
              <w:right w:val="single" w:sz="4" w:space="0" w:color="auto"/>
            </w:tcBorders>
            <w:tcMar>
              <w:top w:w="15" w:type="dxa"/>
              <w:left w:w="15" w:type="dxa"/>
              <w:bottom w:w="0" w:type="dxa"/>
              <w:right w:w="15" w:type="dxa"/>
            </w:tcMar>
            <w:vAlign w:val="bottom"/>
          </w:tcPr>
          <w:p w:rsidR="00C93E26" w:rsidRPr="008733E6" w:rsidRDefault="00114B27" w:rsidP="003D7B6D">
            <w:pPr>
              <w:ind w:firstLine="420"/>
              <w:jc w:val="right"/>
              <w:rPr>
                <w:rFonts w:ascii="宋体" w:hAnsi="宋体"/>
                <w:sz w:val="21"/>
                <w:szCs w:val="21"/>
              </w:rPr>
            </w:pPr>
            <w:r>
              <w:rPr>
                <w:rFonts w:ascii="宋体" w:hAnsi="宋体"/>
                <w:kern w:val="0"/>
                <w:sz w:val="21"/>
                <w:szCs w:val="21"/>
              </w:rPr>
              <w:t>98,183.89</w:t>
            </w:r>
          </w:p>
        </w:tc>
      </w:tr>
      <w:tr w:rsidR="00C93E26" w:rsidRPr="008733E6" w:rsidTr="003D7B6D">
        <w:trPr>
          <w:trHeight w:val="285"/>
        </w:trPr>
        <w:tc>
          <w:tcPr>
            <w:tcW w:w="43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jc w:val="center"/>
              <w:rPr>
                <w:rFonts w:ascii="宋体" w:hAnsi="宋体" w:hint="eastAsia"/>
                <w:color w:val="000000"/>
                <w:sz w:val="21"/>
                <w:szCs w:val="21"/>
              </w:rPr>
            </w:pPr>
            <w:r w:rsidRPr="008733E6">
              <w:rPr>
                <w:rFonts w:ascii="宋体" w:hAnsi="宋体" w:hint="eastAsia"/>
                <w:color w:val="000000"/>
                <w:sz w:val="21"/>
                <w:szCs w:val="21"/>
              </w:rPr>
              <w:t>2</w:t>
            </w:r>
          </w:p>
        </w:tc>
        <w:tc>
          <w:tcPr>
            <w:tcW w:w="236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color w:val="000000"/>
                <w:sz w:val="21"/>
                <w:szCs w:val="21"/>
              </w:rPr>
            </w:pPr>
            <w:r w:rsidRPr="008733E6">
              <w:rPr>
                <w:rFonts w:ascii="宋体" w:hAnsi="宋体" w:hint="eastAsia"/>
                <w:color w:val="000000"/>
                <w:sz w:val="21"/>
                <w:szCs w:val="21"/>
              </w:rPr>
              <w:t>应收证券清算款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rsidR="00C93E26" w:rsidRPr="008733E6" w:rsidRDefault="00114B27" w:rsidP="003D7B6D">
            <w:pPr>
              <w:ind w:firstLine="420"/>
              <w:jc w:val="right"/>
              <w:rPr>
                <w:rFonts w:ascii="宋体" w:hAnsi="宋体"/>
                <w:sz w:val="21"/>
                <w:szCs w:val="21"/>
              </w:rPr>
            </w:pPr>
            <w:r>
              <w:rPr>
                <w:rFonts w:ascii="宋体" w:hAnsi="宋体"/>
                <w:kern w:val="0"/>
                <w:sz w:val="21"/>
                <w:szCs w:val="21"/>
              </w:rPr>
              <w:t>1,777,086.60</w:t>
            </w:r>
          </w:p>
        </w:tc>
      </w:tr>
      <w:tr w:rsidR="00C93E26" w:rsidRPr="008733E6" w:rsidTr="003D7B6D">
        <w:trPr>
          <w:trHeight w:val="285"/>
        </w:trPr>
        <w:tc>
          <w:tcPr>
            <w:tcW w:w="43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jc w:val="center"/>
              <w:rPr>
                <w:rFonts w:ascii="宋体" w:hAnsi="宋体" w:hint="eastAsia"/>
                <w:color w:val="000000"/>
                <w:sz w:val="21"/>
                <w:szCs w:val="21"/>
              </w:rPr>
            </w:pPr>
            <w:r w:rsidRPr="008733E6">
              <w:rPr>
                <w:rFonts w:ascii="宋体" w:hAnsi="宋体" w:hint="eastAsia"/>
                <w:color w:val="000000"/>
                <w:sz w:val="21"/>
                <w:szCs w:val="21"/>
              </w:rPr>
              <w:t>3</w:t>
            </w:r>
          </w:p>
        </w:tc>
        <w:tc>
          <w:tcPr>
            <w:tcW w:w="236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hint="eastAsia"/>
                <w:color w:val="000000"/>
                <w:sz w:val="21"/>
                <w:szCs w:val="21"/>
              </w:rPr>
            </w:pPr>
            <w:r w:rsidRPr="008733E6">
              <w:rPr>
                <w:rFonts w:ascii="宋体" w:hAnsi="宋体" w:hint="eastAsia"/>
                <w:color w:val="000000"/>
                <w:sz w:val="21"/>
                <w:szCs w:val="21"/>
              </w:rPr>
              <w:t>应收股利</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rsidR="00C93E26" w:rsidRPr="008733E6" w:rsidRDefault="00114B27" w:rsidP="003D7B6D">
            <w:pPr>
              <w:ind w:firstLine="420"/>
              <w:jc w:val="right"/>
              <w:rPr>
                <w:rFonts w:ascii="宋体" w:hAnsi="宋体"/>
                <w:sz w:val="21"/>
                <w:szCs w:val="21"/>
              </w:rPr>
            </w:pPr>
            <w:r>
              <w:rPr>
                <w:rFonts w:ascii="宋体" w:hAnsi="宋体"/>
                <w:kern w:val="0"/>
                <w:sz w:val="21"/>
                <w:szCs w:val="21"/>
              </w:rPr>
              <w:t>8,848.93</w:t>
            </w:r>
          </w:p>
        </w:tc>
      </w:tr>
      <w:tr w:rsidR="00C93E26" w:rsidRPr="008733E6" w:rsidTr="003D7B6D">
        <w:trPr>
          <w:trHeight w:val="285"/>
        </w:trPr>
        <w:tc>
          <w:tcPr>
            <w:tcW w:w="43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jc w:val="center"/>
              <w:rPr>
                <w:rFonts w:ascii="宋体" w:hAnsi="宋体" w:hint="eastAsia"/>
                <w:color w:val="000000"/>
                <w:sz w:val="21"/>
                <w:szCs w:val="21"/>
              </w:rPr>
            </w:pPr>
            <w:r w:rsidRPr="008733E6">
              <w:rPr>
                <w:rFonts w:ascii="宋体" w:hAnsi="宋体" w:hint="eastAsia"/>
                <w:color w:val="000000"/>
                <w:sz w:val="21"/>
                <w:szCs w:val="21"/>
              </w:rPr>
              <w:t>4</w:t>
            </w:r>
          </w:p>
        </w:tc>
        <w:tc>
          <w:tcPr>
            <w:tcW w:w="236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color w:val="000000"/>
                <w:sz w:val="21"/>
                <w:szCs w:val="21"/>
              </w:rPr>
            </w:pPr>
            <w:r w:rsidRPr="008733E6">
              <w:rPr>
                <w:rFonts w:ascii="宋体" w:hAnsi="宋体" w:hint="eastAsia"/>
                <w:color w:val="000000"/>
                <w:sz w:val="21"/>
                <w:szCs w:val="21"/>
              </w:rPr>
              <w:t>应收利息</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rsidR="00C93E26" w:rsidRPr="008733E6" w:rsidRDefault="00114B27" w:rsidP="003D7B6D">
            <w:pPr>
              <w:ind w:firstLine="420"/>
              <w:jc w:val="right"/>
              <w:rPr>
                <w:rFonts w:ascii="宋体" w:hAnsi="宋体"/>
                <w:sz w:val="21"/>
                <w:szCs w:val="21"/>
              </w:rPr>
            </w:pPr>
            <w:r>
              <w:rPr>
                <w:rFonts w:ascii="宋体" w:hAnsi="宋体"/>
                <w:kern w:val="0"/>
                <w:sz w:val="21"/>
                <w:szCs w:val="21"/>
              </w:rPr>
              <w:t>598.85</w:t>
            </w:r>
          </w:p>
        </w:tc>
      </w:tr>
      <w:tr w:rsidR="00C93E26" w:rsidRPr="008733E6" w:rsidTr="003D7B6D">
        <w:trPr>
          <w:trHeight w:val="285"/>
        </w:trPr>
        <w:tc>
          <w:tcPr>
            <w:tcW w:w="43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jc w:val="center"/>
              <w:rPr>
                <w:rFonts w:ascii="宋体" w:hAnsi="宋体" w:hint="eastAsia"/>
                <w:color w:val="000000"/>
                <w:sz w:val="21"/>
                <w:szCs w:val="21"/>
              </w:rPr>
            </w:pPr>
            <w:r w:rsidRPr="008733E6">
              <w:rPr>
                <w:rFonts w:ascii="宋体" w:hAnsi="宋体" w:hint="eastAsia"/>
                <w:color w:val="000000"/>
                <w:sz w:val="21"/>
                <w:szCs w:val="21"/>
              </w:rPr>
              <w:t>5</w:t>
            </w:r>
          </w:p>
        </w:tc>
        <w:tc>
          <w:tcPr>
            <w:tcW w:w="236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color w:val="000000"/>
                <w:sz w:val="21"/>
                <w:szCs w:val="21"/>
              </w:rPr>
            </w:pPr>
            <w:r w:rsidRPr="008733E6">
              <w:rPr>
                <w:rFonts w:ascii="宋体" w:hAnsi="宋体" w:hint="eastAsia"/>
                <w:color w:val="000000"/>
                <w:sz w:val="21"/>
                <w:szCs w:val="21"/>
              </w:rPr>
              <w:t>应收申购款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rsidR="00C93E26" w:rsidRPr="008733E6"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8733E6" w:rsidTr="003D7B6D">
        <w:trPr>
          <w:trHeight w:val="285"/>
        </w:trPr>
        <w:tc>
          <w:tcPr>
            <w:tcW w:w="43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jc w:val="center"/>
              <w:rPr>
                <w:rFonts w:ascii="宋体" w:hAnsi="宋体" w:hint="eastAsia"/>
                <w:color w:val="000000"/>
                <w:sz w:val="21"/>
                <w:szCs w:val="21"/>
              </w:rPr>
            </w:pPr>
            <w:r w:rsidRPr="008733E6">
              <w:rPr>
                <w:rFonts w:ascii="宋体" w:hAnsi="宋体" w:hint="eastAsia"/>
                <w:color w:val="000000"/>
                <w:sz w:val="21"/>
                <w:szCs w:val="21"/>
              </w:rPr>
              <w:t>6</w:t>
            </w:r>
          </w:p>
        </w:tc>
        <w:tc>
          <w:tcPr>
            <w:tcW w:w="236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color w:val="000000"/>
                <w:sz w:val="21"/>
                <w:szCs w:val="21"/>
              </w:rPr>
            </w:pPr>
            <w:r w:rsidRPr="008733E6">
              <w:rPr>
                <w:rFonts w:ascii="宋体" w:hAnsi="宋体" w:hint="eastAsia"/>
                <w:color w:val="000000"/>
                <w:sz w:val="21"/>
                <w:szCs w:val="21"/>
              </w:rPr>
              <w:t>其他应收款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rsidR="00C93E26" w:rsidRPr="008733E6"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8733E6" w:rsidTr="003D7B6D">
        <w:trPr>
          <w:trHeight w:val="285"/>
        </w:trPr>
        <w:tc>
          <w:tcPr>
            <w:tcW w:w="43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jc w:val="center"/>
              <w:rPr>
                <w:rFonts w:ascii="宋体" w:hAnsi="宋体" w:hint="eastAsia"/>
                <w:color w:val="000000"/>
                <w:sz w:val="21"/>
                <w:szCs w:val="21"/>
              </w:rPr>
            </w:pPr>
            <w:r w:rsidRPr="008733E6">
              <w:rPr>
                <w:rFonts w:ascii="宋体" w:hAnsi="宋体" w:hint="eastAsia"/>
                <w:color w:val="000000"/>
                <w:sz w:val="21"/>
                <w:szCs w:val="21"/>
              </w:rPr>
              <w:t>7</w:t>
            </w:r>
          </w:p>
        </w:tc>
        <w:tc>
          <w:tcPr>
            <w:tcW w:w="236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color w:val="000000"/>
                <w:sz w:val="21"/>
                <w:szCs w:val="21"/>
              </w:rPr>
            </w:pPr>
            <w:r w:rsidRPr="008733E6">
              <w:rPr>
                <w:rFonts w:ascii="宋体" w:hAnsi="宋体" w:hint="eastAsia"/>
                <w:color w:val="000000"/>
                <w:sz w:val="21"/>
                <w:szCs w:val="21"/>
              </w:rPr>
              <w:t>待摊费用</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rsidR="00C93E26" w:rsidRPr="008733E6"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8733E6" w:rsidTr="003D7B6D">
        <w:trPr>
          <w:trHeight w:val="285"/>
        </w:trPr>
        <w:tc>
          <w:tcPr>
            <w:tcW w:w="438" w:type="pct"/>
            <w:tcBorders>
              <w:top w:val="nil"/>
              <w:left w:val="single" w:sz="4" w:space="0" w:color="auto"/>
              <w:bottom w:val="single" w:sz="4" w:space="0" w:color="auto"/>
              <w:right w:val="single" w:sz="4" w:space="0" w:color="auto"/>
            </w:tcBorders>
          </w:tcPr>
          <w:p w:rsidR="00C93E26" w:rsidRPr="008733E6" w:rsidRDefault="00114B27" w:rsidP="003D7B6D">
            <w:pPr>
              <w:ind w:firstLineChars="0" w:firstLine="0"/>
              <w:jc w:val="center"/>
              <w:rPr>
                <w:rFonts w:ascii="宋体" w:hAnsi="宋体" w:hint="eastAsia"/>
                <w:color w:val="000000"/>
                <w:sz w:val="21"/>
                <w:szCs w:val="21"/>
              </w:rPr>
            </w:pPr>
            <w:r>
              <w:rPr>
                <w:rFonts w:ascii="宋体" w:hAnsi="宋体"/>
                <w:color w:val="000000"/>
                <w:sz w:val="21"/>
                <w:szCs w:val="21"/>
              </w:rPr>
              <w:t>8</w:t>
            </w:r>
          </w:p>
        </w:tc>
        <w:tc>
          <w:tcPr>
            <w:tcW w:w="2368" w:type="pct"/>
            <w:tcBorders>
              <w:top w:val="nil"/>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hint="eastAsia"/>
                <w:color w:val="000000"/>
                <w:sz w:val="21"/>
                <w:szCs w:val="21"/>
              </w:rPr>
            </w:pPr>
            <w:r w:rsidRPr="008733E6">
              <w:rPr>
                <w:rFonts w:ascii="宋体" w:hAnsi="宋体" w:hint="eastAsia"/>
                <w:color w:val="000000"/>
                <w:sz w:val="21"/>
                <w:szCs w:val="21"/>
              </w:rPr>
              <w:t>其他</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rsidR="00C93E26" w:rsidRPr="008733E6" w:rsidRDefault="00114B27" w:rsidP="003D7B6D">
            <w:pPr>
              <w:ind w:firstLine="420"/>
              <w:jc w:val="right"/>
              <w:rPr>
                <w:rFonts w:ascii="宋体" w:hAnsi="宋体"/>
                <w:sz w:val="21"/>
                <w:szCs w:val="21"/>
              </w:rPr>
            </w:pPr>
            <w:r>
              <w:rPr>
                <w:rFonts w:ascii="宋体" w:hAnsi="宋体" w:hint="eastAsia"/>
                <w:kern w:val="0"/>
                <w:sz w:val="21"/>
                <w:szCs w:val="21"/>
              </w:rPr>
              <w:t>－</w:t>
            </w:r>
          </w:p>
        </w:tc>
      </w:tr>
      <w:tr w:rsidR="00C93E26" w:rsidRPr="008733E6" w:rsidTr="003D7B6D">
        <w:trPr>
          <w:trHeight w:val="285"/>
        </w:trPr>
        <w:tc>
          <w:tcPr>
            <w:tcW w:w="438" w:type="pct"/>
            <w:tcBorders>
              <w:top w:val="single" w:sz="4" w:space="0" w:color="auto"/>
              <w:left w:val="single" w:sz="4" w:space="0" w:color="auto"/>
              <w:bottom w:val="single" w:sz="4" w:space="0" w:color="auto"/>
              <w:right w:val="single" w:sz="4" w:space="0" w:color="auto"/>
            </w:tcBorders>
          </w:tcPr>
          <w:p w:rsidR="00C93E26" w:rsidRPr="008733E6" w:rsidRDefault="00114B27" w:rsidP="003D7B6D">
            <w:pPr>
              <w:ind w:firstLineChars="0" w:firstLine="0"/>
              <w:jc w:val="center"/>
              <w:rPr>
                <w:rFonts w:ascii="宋体" w:hAnsi="宋体" w:hint="eastAsia"/>
                <w:color w:val="000000"/>
                <w:sz w:val="21"/>
                <w:szCs w:val="21"/>
              </w:rPr>
            </w:pPr>
            <w:r>
              <w:rPr>
                <w:rFonts w:ascii="宋体" w:hAnsi="宋体"/>
                <w:color w:val="000000"/>
                <w:sz w:val="21"/>
                <w:szCs w:val="21"/>
              </w:rPr>
              <w:t>9</w:t>
            </w:r>
          </w:p>
        </w:tc>
        <w:tc>
          <w:tcPr>
            <w:tcW w:w="2368" w:type="pct"/>
            <w:tcBorders>
              <w:top w:val="single" w:sz="4" w:space="0" w:color="auto"/>
              <w:left w:val="single" w:sz="4" w:space="0" w:color="auto"/>
              <w:bottom w:val="single" w:sz="4" w:space="0" w:color="auto"/>
              <w:right w:val="single" w:sz="4" w:space="0" w:color="auto"/>
            </w:tcBorders>
          </w:tcPr>
          <w:p w:rsidR="00C93E26" w:rsidRPr="008733E6" w:rsidRDefault="00C93E26" w:rsidP="003D7B6D">
            <w:pPr>
              <w:ind w:firstLineChars="0" w:firstLine="0"/>
              <w:rPr>
                <w:rFonts w:ascii="宋体" w:hAnsi="宋体"/>
                <w:color w:val="000000"/>
                <w:sz w:val="21"/>
                <w:szCs w:val="21"/>
              </w:rPr>
            </w:pPr>
            <w:r w:rsidRPr="008733E6">
              <w:rPr>
                <w:rFonts w:ascii="宋体" w:hAnsi="宋体" w:hint="eastAsia"/>
                <w:color w:val="000000"/>
                <w:sz w:val="21"/>
                <w:szCs w:val="21"/>
              </w:rPr>
              <w:t>合计</w:t>
            </w:r>
          </w:p>
        </w:tc>
        <w:tc>
          <w:tcPr>
            <w:tcW w:w="2194"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C93E26" w:rsidRPr="008733E6" w:rsidRDefault="00114B27" w:rsidP="003D7B6D">
            <w:pPr>
              <w:ind w:firstLine="420"/>
              <w:jc w:val="right"/>
              <w:rPr>
                <w:rFonts w:ascii="宋体" w:hAnsi="宋体"/>
                <w:sz w:val="21"/>
                <w:szCs w:val="21"/>
              </w:rPr>
            </w:pPr>
            <w:r>
              <w:rPr>
                <w:rFonts w:ascii="宋体" w:hAnsi="宋体"/>
                <w:kern w:val="0"/>
                <w:sz w:val="21"/>
                <w:szCs w:val="21"/>
              </w:rPr>
              <w:t>1,884,718.27</w:t>
            </w:r>
          </w:p>
        </w:tc>
      </w:tr>
    </w:tbl>
    <w:p w:rsidR="00C93E26" w:rsidRPr="0011355E" w:rsidRDefault="00C93E26" w:rsidP="00C93E26">
      <w:pPr>
        <w:pStyle w:val="3"/>
        <w:numPr>
          <w:ilvl w:val="2"/>
          <w:numId w:val="15"/>
        </w:numPr>
        <w:ind w:firstLine="482"/>
        <w:rPr>
          <w:rFonts w:hint="eastAsia"/>
        </w:rPr>
      </w:pPr>
      <w:r w:rsidRPr="0011355E">
        <w:rPr>
          <w:rFonts w:hint="eastAsia"/>
        </w:rPr>
        <w:t>报告期末持有的处于转股期的可转换债券明细</w:t>
      </w:r>
    </w:p>
    <w:p w:rsidR="00C93E26" w:rsidRDefault="00114B27" w:rsidP="003D7B6D">
      <w:pPr>
        <w:ind w:firstLine="480"/>
        <w:rPr>
          <w:rFonts w:ascii="宋体" w:hAnsi="宋体" w:hint="eastAsia"/>
          <w:kern w:val="0"/>
        </w:rPr>
      </w:pPr>
      <w:r>
        <w:rPr>
          <w:rFonts w:ascii="宋体" w:hAnsi="宋体" w:hint="eastAsia"/>
        </w:rPr>
        <w:t>注：本基金本报告期末未持有处于转股期的可转换债券。</w:t>
      </w:r>
    </w:p>
    <w:p w:rsidR="00C93E26" w:rsidRPr="0011355E" w:rsidRDefault="00C93E26" w:rsidP="00C93E26">
      <w:pPr>
        <w:pStyle w:val="3"/>
        <w:numPr>
          <w:ilvl w:val="2"/>
          <w:numId w:val="15"/>
        </w:numPr>
        <w:ind w:firstLine="482"/>
        <w:rPr>
          <w:rFonts w:hint="eastAsia"/>
        </w:rPr>
      </w:pPr>
      <w:r w:rsidRPr="0011355E">
        <w:rPr>
          <w:rFonts w:hint="eastAsia"/>
        </w:rPr>
        <w:t>报告期末前十名股票中存在流通受限情况的说明</w:t>
      </w:r>
    </w:p>
    <w:p w:rsidR="00C93E26" w:rsidRPr="0011355E" w:rsidRDefault="00C93E26" w:rsidP="003D7B6D">
      <w:pPr>
        <w:ind w:firstLine="480"/>
      </w:pPr>
      <w:r>
        <w:rPr>
          <w:rFonts w:hint="eastAsia"/>
        </w:rPr>
        <w:t>1</w:t>
      </w:r>
      <w:r>
        <w:rPr>
          <w:rFonts w:hint="eastAsia"/>
        </w:rPr>
        <w:t>、</w:t>
      </w:r>
      <w:r w:rsidRPr="0011355E">
        <w:t>期末指数投资前十名股票中存在流通受限情况的说明</w:t>
      </w:r>
    </w:p>
    <w:p w:rsidR="00C93E26" w:rsidRDefault="00114B27" w:rsidP="003D7B6D">
      <w:pPr>
        <w:ind w:firstLine="480"/>
        <w:rPr>
          <w:rFonts w:ascii="宋体" w:hAnsi="宋体" w:hint="eastAsia"/>
        </w:rPr>
      </w:pPr>
      <w:r>
        <w:rPr>
          <w:rFonts w:ascii="宋体" w:hAnsi="宋体" w:hint="eastAsia"/>
        </w:rPr>
        <w:t>注：本基金本报告期末前十名股票中未持有流通受限的股票。</w:t>
      </w:r>
    </w:p>
    <w:p w:rsidR="00C93E26" w:rsidRPr="0011355E" w:rsidRDefault="00C93E26" w:rsidP="003D7B6D">
      <w:pPr>
        <w:ind w:firstLine="480"/>
      </w:pPr>
      <w:r>
        <w:rPr>
          <w:rFonts w:hint="eastAsia"/>
        </w:rPr>
        <w:t>2</w:t>
      </w:r>
      <w:r>
        <w:rPr>
          <w:rFonts w:hint="eastAsia"/>
        </w:rPr>
        <w:t>、</w:t>
      </w:r>
      <w:r w:rsidRPr="0011355E">
        <w:t>期末积极投资前五名股票中存在流通受限情况的说明</w:t>
      </w:r>
    </w:p>
    <w:p w:rsidR="00C93E26" w:rsidRDefault="00114B27" w:rsidP="003D7B6D">
      <w:pPr>
        <w:ind w:firstLine="480"/>
        <w:rPr>
          <w:rFonts w:ascii="宋体" w:hAnsi="宋体" w:hint="eastAsia"/>
        </w:rPr>
      </w:pPr>
      <w:r>
        <w:rPr>
          <w:rFonts w:ascii="宋体" w:hAnsi="宋体" w:hint="eastAsia"/>
        </w:rPr>
        <w:t>注：本基金本报告期末未持有积极投资股票。</w:t>
      </w:r>
    </w:p>
    <w:p w:rsidR="00C93E26" w:rsidRPr="0011355E" w:rsidRDefault="00C93E26" w:rsidP="00C93E26">
      <w:pPr>
        <w:pStyle w:val="3"/>
        <w:numPr>
          <w:ilvl w:val="2"/>
          <w:numId w:val="15"/>
        </w:numPr>
        <w:ind w:firstLine="482"/>
        <w:rPr>
          <w:rFonts w:hint="eastAsia"/>
        </w:rPr>
      </w:pPr>
      <w:r w:rsidRPr="0011355E">
        <w:rPr>
          <w:rFonts w:hint="eastAsia"/>
        </w:rPr>
        <w:t>投资组合报告附注的其他文字描述部分。</w:t>
      </w:r>
    </w:p>
    <w:p w:rsidR="00C93E26" w:rsidRPr="00B65171" w:rsidRDefault="00114B27" w:rsidP="003D7B6D">
      <w:pPr>
        <w:ind w:firstLine="480"/>
        <w:rPr>
          <w:rFonts w:ascii="宋体" w:hAnsi="宋体"/>
          <w:kern w:val="0"/>
        </w:rPr>
      </w:pPr>
      <w:r>
        <w:rPr>
          <w:rFonts w:ascii="宋体" w:hAnsi="宋体" w:hint="eastAsia"/>
          <w:kern w:val="0"/>
        </w:rPr>
        <w:t>因四舍五入原因，投资组合报告中市值占净值比例的分项之和与合计可能存在尾差。</w:t>
      </w:r>
    </w:p>
    <w:p w:rsidR="00C93E26" w:rsidRDefault="00C93E26" w:rsidP="00C93E26">
      <w:pPr>
        <w:pStyle w:val="1"/>
        <w:keepLines/>
        <w:numPr>
          <w:ilvl w:val="0"/>
          <w:numId w:val="15"/>
        </w:numPr>
        <w:ind w:left="0" w:firstLine="0"/>
        <w:rPr>
          <w:rFonts w:hint="eastAsia"/>
        </w:rPr>
      </w:pPr>
      <w:bookmarkStart w:id="5" w:name="_Toc426979848"/>
      <w:r w:rsidRPr="006254B0">
        <w:rPr>
          <w:rFonts w:hint="eastAsia"/>
        </w:rPr>
        <w:t>基金的业绩</w:t>
      </w:r>
      <w:bookmarkEnd w:id="5"/>
    </w:p>
    <w:p w:rsidR="00C93E26" w:rsidRDefault="00114B27" w:rsidP="003D7B6D">
      <w:pPr>
        <w:ind w:firstLine="48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w:t>
      </w:r>
      <w:r>
        <w:rPr>
          <w:rFonts w:hint="eastAsia"/>
        </w:rPr>
        <w:t>,</w:t>
      </w:r>
      <w:r>
        <w:rPr>
          <w:rFonts w:hint="eastAsia"/>
        </w:rPr>
        <w:t>也不保证最低收益。基金的过往业绩并不代表其未来表现。投资有风险</w:t>
      </w:r>
      <w:r>
        <w:rPr>
          <w:rFonts w:hint="eastAsia"/>
        </w:rPr>
        <w:t>,</w:t>
      </w:r>
      <w:r>
        <w:rPr>
          <w:rFonts w:hint="eastAsia"/>
        </w:rPr>
        <w:t>投资人在做出投资决策前应仔细阅读本基金的招募说明书。</w:t>
      </w:r>
    </w:p>
    <w:p w:rsidR="00C93E26" w:rsidRDefault="00C93E26" w:rsidP="003D7B6D">
      <w:pPr>
        <w:ind w:firstLine="480"/>
        <w:rPr>
          <w:rFonts w:hint="eastAsia"/>
        </w:rPr>
      </w:pPr>
    </w:p>
    <w:p w:rsidR="00C93E26" w:rsidRPr="002A26E4" w:rsidRDefault="00C93E26" w:rsidP="00C93E26">
      <w:pPr>
        <w:pStyle w:val="2"/>
        <w:numPr>
          <w:ilvl w:val="1"/>
          <w:numId w:val="15"/>
        </w:numPr>
        <w:ind w:firstLine="482"/>
        <w:rPr>
          <w:rFonts w:hint="eastAsia"/>
        </w:rPr>
      </w:pPr>
      <w:r>
        <w:rPr>
          <w:rFonts w:hint="eastAsia"/>
          <w:lang w:eastAsia="zh-CN"/>
        </w:rPr>
        <w:t>本基金历史各时间段</w:t>
      </w:r>
      <w:r w:rsidRPr="002A26E4">
        <w:t>份额净值增长率及其与同期业绩比较基准收益率的比较</w:t>
      </w:r>
    </w:p>
    <w:tbl>
      <w:tblPr>
        <w:tblW w:w="9926"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2"/>
        <w:gridCol w:w="1120"/>
        <w:gridCol w:w="1467"/>
        <w:gridCol w:w="1343"/>
        <w:gridCol w:w="1428"/>
        <w:gridCol w:w="1021"/>
        <w:gridCol w:w="1125"/>
      </w:tblGrid>
      <w:tr w:rsidR="00C93E26" w:rsidRPr="00C00F56" w:rsidTr="003D7B6D">
        <w:tblPrEx>
          <w:tblCellMar>
            <w:top w:w="0" w:type="dxa"/>
            <w:bottom w:w="0" w:type="dxa"/>
          </w:tblCellMar>
        </w:tblPrEx>
        <w:trPr>
          <w:jc w:val="center"/>
        </w:trPr>
        <w:tc>
          <w:tcPr>
            <w:tcW w:w="2055" w:type="dxa"/>
            <w:vAlign w:val="center"/>
          </w:tcPr>
          <w:p w:rsidR="00C93E26" w:rsidRPr="00C00F56" w:rsidRDefault="00C93E26" w:rsidP="003D7B6D">
            <w:pPr>
              <w:ind w:firstLineChars="0" w:firstLine="0"/>
              <w:jc w:val="center"/>
              <w:rPr>
                <w:sz w:val="21"/>
                <w:szCs w:val="21"/>
              </w:rPr>
            </w:pPr>
            <w:r w:rsidRPr="00C00F56">
              <w:rPr>
                <w:sz w:val="21"/>
                <w:szCs w:val="21"/>
              </w:rPr>
              <w:t>阶段</w:t>
            </w:r>
          </w:p>
        </w:tc>
        <w:tc>
          <w:tcPr>
            <w:tcW w:w="1167" w:type="dxa"/>
            <w:vAlign w:val="center"/>
          </w:tcPr>
          <w:p w:rsidR="00C93E26" w:rsidRPr="00C00F56" w:rsidRDefault="00C93E26" w:rsidP="003D7B6D">
            <w:pPr>
              <w:ind w:firstLineChars="0" w:firstLine="0"/>
              <w:jc w:val="center"/>
              <w:rPr>
                <w:sz w:val="21"/>
                <w:szCs w:val="21"/>
              </w:rPr>
            </w:pPr>
            <w:r w:rsidRPr="00C00F56">
              <w:rPr>
                <w:sz w:val="21"/>
                <w:szCs w:val="21"/>
              </w:rPr>
              <w:t>净值增长率</w:t>
            </w:r>
            <w:r w:rsidRPr="00C00F56">
              <w:rPr>
                <w:rFonts w:ascii="宋体" w:hAnsi="宋体" w:cs="宋体" w:hint="eastAsia"/>
                <w:sz w:val="21"/>
                <w:szCs w:val="21"/>
              </w:rPr>
              <w:t>①</w:t>
            </w:r>
          </w:p>
        </w:tc>
        <w:tc>
          <w:tcPr>
            <w:tcW w:w="1557" w:type="dxa"/>
            <w:vAlign w:val="center"/>
          </w:tcPr>
          <w:p w:rsidR="00C93E26" w:rsidRPr="00C00F56" w:rsidRDefault="00C93E26" w:rsidP="003D7B6D">
            <w:pPr>
              <w:ind w:firstLineChars="0" w:firstLine="0"/>
              <w:jc w:val="center"/>
              <w:rPr>
                <w:sz w:val="21"/>
                <w:szCs w:val="21"/>
              </w:rPr>
            </w:pPr>
            <w:r w:rsidRPr="00C00F56">
              <w:rPr>
                <w:sz w:val="21"/>
                <w:szCs w:val="21"/>
              </w:rPr>
              <w:t>净值增长率标准差</w:t>
            </w:r>
            <w:r w:rsidRPr="00C00F56">
              <w:rPr>
                <w:rFonts w:ascii="宋体" w:hAnsi="宋体" w:cs="宋体" w:hint="eastAsia"/>
                <w:sz w:val="21"/>
                <w:szCs w:val="21"/>
              </w:rPr>
              <w:t>②</w:t>
            </w:r>
          </w:p>
        </w:tc>
        <w:tc>
          <w:tcPr>
            <w:tcW w:w="1418" w:type="dxa"/>
            <w:vAlign w:val="center"/>
          </w:tcPr>
          <w:p w:rsidR="00C93E26" w:rsidRPr="00C00F56" w:rsidRDefault="00C93E26" w:rsidP="003D7B6D">
            <w:pPr>
              <w:ind w:firstLineChars="0" w:firstLine="0"/>
              <w:jc w:val="center"/>
              <w:rPr>
                <w:sz w:val="21"/>
                <w:szCs w:val="21"/>
              </w:rPr>
            </w:pPr>
            <w:r w:rsidRPr="00C00F56">
              <w:rPr>
                <w:sz w:val="21"/>
                <w:szCs w:val="21"/>
              </w:rPr>
              <w:t>业绩比较基准收益率</w:t>
            </w:r>
            <w:r w:rsidRPr="00C00F56">
              <w:rPr>
                <w:rFonts w:ascii="宋体" w:hAnsi="宋体" w:cs="宋体" w:hint="eastAsia"/>
                <w:sz w:val="21"/>
                <w:szCs w:val="21"/>
              </w:rPr>
              <w:t>③</w:t>
            </w:r>
          </w:p>
        </w:tc>
        <w:tc>
          <w:tcPr>
            <w:tcW w:w="1513" w:type="dxa"/>
            <w:vAlign w:val="center"/>
          </w:tcPr>
          <w:p w:rsidR="00C93E26" w:rsidRPr="00C00F56" w:rsidRDefault="00C93E26" w:rsidP="003D7B6D">
            <w:pPr>
              <w:ind w:firstLineChars="0" w:firstLine="0"/>
              <w:jc w:val="center"/>
              <w:rPr>
                <w:sz w:val="21"/>
                <w:szCs w:val="21"/>
              </w:rPr>
            </w:pPr>
            <w:r w:rsidRPr="00C00F56">
              <w:rPr>
                <w:sz w:val="21"/>
                <w:szCs w:val="21"/>
              </w:rPr>
              <w:t>业绩比较基准收益率标准差</w:t>
            </w:r>
            <w:r w:rsidRPr="00C00F56">
              <w:rPr>
                <w:rFonts w:ascii="宋体" w:hAnsi="宋体" w:cs="宋体" w:hint="eastAsia"/>
                <w:sz w:val="21"/>
                <w:szCs w:val="21"/>
              </w:rPr>
              <w:t>④</w:t>
            </w:r>
          </w:p>
        </w:tc>
        <w:tc>
          <w:tcPr>
            <w:tcW w:w="1056" w:type="dxa"/>
            <w:vAlign w:val="center"/>
          </w:tcPr>
          <w:p w:rsidR="00C93E26" w:rsidRPr="00C00F56" w:rsidRDefault="00C93E26" w:rsidP="003D7B6D">
            <w:pPr>
              <w:ind w:firstLineChars="0" w:firstLine="0"/>
              <w:jc w:val="center"/>
              <w:rPr>
                <w:sz w:val="21"/>
                <w:szCs w:val="21"/>
              </w:rPr>
            </w:pPr>
            <w:r w:rsidRPr="00C00F56">
              <w:rPr>
                <w:rFonts w:ascii="宋体" w:hAnsi="宋体" w:cs="宋体" w:hint="eastAsia"/>
                <w:sz w:val="21"/>
                <w:szCs w:val="21"/>
              </w:rPr>
              <w:t>①</w:t>
            </w:r>
            <w:r w:rsidRPr="00C00F56">
              <w:rPr>
                <w:sz w:val="21"/>
                <w:szCs w:val="21"/>
              </w:rPr>
              <w:t>-</w:t>
            </w:r>
            <w:r w:rsidRPr="00C00F56">
              <w:rPr>
                <w:rFonts w:ascii="宋体" w:hAnsi="宋体" w:cs="宋体" w:hint="eastAsia"/>
                <w:sz w:val="21"/>
                <w:szCs w:val="21"/>
              </w:rPr>
              <w:t>③</w:t>
            </w:r>
          </w:p>
        </w:tc>
        <w:tc>
          <w:tcPr>
            <w:tcW w:w="1160" w:type="dxa"/>
            <w:vAlign w:val="center"/>
          </w:tcPr>
          <w:p w:rsidR="00C93E26" w:rsidRPr="00C00F56" w:rsidRDefault="00C93E26" w:rsidP="003D7B6D">
            <w:pPr>
              <w:ind w:firstLineChars="0" w:firstLine="0"/>
              <w:jc w:val="center"/>
              <w:rPr>
                <w:sz w:val="21"/>
                <w:szCs w:val="21"/>
              </w:rPr>
            </w:pPr>
            <w:r w:rsidRPr="00C00F56">
              <w:rPr>
                <w:rFonts w:ascii="宋体" w:hAnsi="宋体" w:cs="宋体" w:hint="eastAsia"/>
                <w:sz w:val="21"/>
                <w:szCs w:val="21"/>
              </w:rPr>
              <w:t>②</w:t>
            </w:r>
            <w:r w:rsidRPr="00C00F56">
              <w:rPr>
                <w:sz w:val="21"/>
                <w:szCs w:val="21"/>
              </w:rPr>
              <w:t>-</w:t>
            </w:r>
            <w:r w:rsidRPr="00C00F56">
              <w:rPr>
                <w:rFonts w:ascii="宋体" w:hAnsi="宋体" w:cs="宋体" w:hint="eastAsia"/>
                <w:sz w:val="21"/>
                <w:szCs w:val="21"/>
              </w:rPr>
              <w:t>④</w:t>
            </w:r>
          </w:p>
        </w:tc>
      </w:tr>
      <w:tr w:rsidR="00C93E26" w:rsidRPr="00C00F56" w:rsidTr="003D7B6D">
        <w:tblPrEx>
          <w:tblCellMar>
            <w:top w:w="0" w:type="dxa"/>
            <w:bottom w:w="0" w:type="dxa"/>
          </w:tblCellMar>
        </w:tblPrEx>
        <w:trPr>
          <w:jc w:val="center"/>
        </w:trPr>
        <w:tc>
          <w:tcPr>
            <w:tcW w:w="2055" w:type="dxa"/>
            <w:vAlign w:val="center"/>
          </w:tcPr>
          <w:p w:rsidR="00C93E26" w:rsidRPr="00C00F56" w:rsidRDefault="00114B27" w:rsidP="003D7B6D">
            <w:pPr>
              <w:pStyle w:val="af4"/>
              <w:spacing w:before="312" w:after="312"/>
              <w:ind w:firstLineChars="0" w:firstLine="0"/>
              <w:jc w:val="both"/>
              <w:rPr>
                <w:rFonts w:ascii="宋体" w:eastAsia="宋体" w:hAnsi="宋体"/>
                <w:sz w:val="21"/>
                <w:szCs w:val="21"/>
              </w:rPr>
            </w:pPr>
            <w:r>
              <w:rPr>
                <w:rFonts w:ascii="宋体" w:eastAsia="宋体" w:hAnsi="宋体" w:hint="default"/>
                <w:sz w:val="21"/>
                <w:szCs w:val="21"/>
              </w:rPr>
              <w:t>2019.03.07-2019.12.31</w:t>
            </w:r>
          </w:p>
        </w:tc>
        <w:tc>
          <w:tcPr>
            <w:tcW w:w="1167" w:type="dxa"/>
            <w:vAlign w:val="center"/>
          </w:tcPr>
          <w:p w:rsidR="00C93E26" w:rsidRPr="00C00F56" w:rsidRDefault="00114B27" w:rsidP="003D7B6D">
            <w:pPr>
              <w:pStyle w:val="af4"/>
              <w:spacing w:before="312" w:after="312"/>
              <w:ind w:firstLineChars="0" w:firstLine="0"/>
              <w:jc w:val="right"/>
              <w:rPr>
                <w:rFonts w:ascii="宋体" w:eastAsia="宋体" w:hAnsi="宋体"/>
                <w:sz w:val="21"/>
                <w:szCs w:val="21"/>
              </w:rPr>
            </w:pPr>
            <w:r>
              <w:rPr>
                <w:rFonts w:ascii="宋体" w:eastAsia="宋体" w:hAnsi="宋体" w:hint="default"/>
                <w:sz w:val="21"/>
                <w:szCs w:val="21"/>
              </w:rPr>
              <w:t>3.75%</w:t>
            </w:r>
          </w:p>
        </w:tc>
        <w:tc>
          <w:tcPr>
            <w:tcW w:w="1557" w:type="dxa"/>
            <w:vAlign w:val="center"/>
          </w:tcPr>
          <w:p w:rsidR="00C93E26" w:rsidRPr="00C00F56" w:rsidRDefault="00114B27" w:rsidP="003D7B6D">
            <w:pPr>
              <w:pStyle w:val="af4"/>
              <w:spacing w:before="312" w:after="312"/>
              <w:ind w:firstLineChars="0" w:firstLine="0"/>
              <w:jc w:val="right"/>
              <w:rPr>
                <w:rFonts w:ascii="宋体" w:eastAsia="宋体" w:hAnsi="宋体"/>
                <w:sz w:val="21"/>
                <w:szCs w:val="21"/>
              </w:rPr>
            </w:pPr>
            <w:r>
              <w:rPr>
                <w:rFonts w:ascii="宋体" w:eastAsia="宋体" w:hAnsi="宋体" w:hint="default"/>
                <w:sz w:val="21"/>
                <w:szCs w:val="21"/>
              </w:rPr>
              <w:t>0.87%</w:t>
            </w:r>
          </w:p>
        </w:tc>
        <w:tc>
          <w:tcPr>
            <w:tcW w:w="1418" w:type="dxa"/>
            <w:vAlign w:val="center"/>
          </w:tcPr>
          <w:p w:rsidR="00C93E26" w:rsidRPr="00C00F56" w:rsidRDefault="00114B27" w:rsidP="003D7B6D">
            <w:pPr>
              <w:pStyle w:val="af4"/>
              <w:spacing w:before="312" w:after="312"/>
              <w:ind w:firstLineChars="0" w:firstLine="0"/>
              <w:jc w:val="right"/>
              <w:rPr>
                <w:rFonts w:ascii="宋体" w:eastAsia="宋体" w:hAnsi="宋体"/>
                <w:sz w:val="21"/>
                <w:szCs w:val="21"/>
              </w:rPr>
            </w:pPr>
            <w:r>
              <w:rPr>
                <w:rFonts w:ascii="宋体" w:eastAsia="宋体" w:hAnsi="宋体" w:hint="default"/>
                <w:sz w:val="21"/>
                <w:szCs w:val="21"/>
              </w:rPr>
              <w:t>1.03%</w:t>
            </w:r>
          </w:p>
        </w:tc>
        <w:tc>
          <w:tcPr>
            <w:tcW w:w="1513" w:type="dxa"/>
            <w:vAlign w:val="center"/>
          </w:tcPr>
          <w:p w:rsidR="00C93E26" w:rsidRPr="00C00F56" w:rsidRDefault="00114B27" w:rsidP="003D7B6D">
            <w:pPr>
              <w:pStyle w:val="af4"/>
              <w:spacing w:before="312" w:after="312"/>
              <w:ind w:firstLineChars="0" w:firstLine="0"/>
              <w:jc w:val="right"/>
              <w:rPr>
                <w:rFonts w:ascii="宋体" w:eastAsia="宋体" w:hAnsi="宋体"/>
                <w:sz w:val="21"/>
                <w:szCs w:val="21"/>
              </w:rPr>
            </w:pPr>
            <w:r>
              <w:rPr>
                <w:rFonts w:ascii="宋体" w:eastAsia="宋体" w:hAnsi="宋体" w:hint="default"/>
                <w:sz w:val="21"/>
                <w:szCs w:val="21"/>
              </w:rPr>
              <w:t>0.94%</w:t>
            </w:r>
          </w:p>
        </w:tc>
        <w:tc>
          <w:tcPr>
            <w:tcW w:w="1056" w:type="dxa"/>
            <w:vAlign w:val="center"/>
          </w:tcPr>
          <w:p w:rsidR="00C93E26" w:rsidRPr="00C00F56" w:rsidRDefault="00114B27" w:rsidP="003D7B6D">
            <w:pPr>
              <w:pStyle w:val="af4"/>
              <w:spacing w:before="312" w:after="312"/>
              <w:ind w:firstLineChars="0" w:firstLine="0"/>
              <w:jc w:val="right"/>
              <w:rPr>
                <w:rFonts w:ascii="宋体" w:eastAsia="宋体" w:hAnsi="宋体"/>
                <w:sz w:val="21"/>
                <w:szCs w:val="21"/>
              </w:rPr>
            </w:pPr>
            <w:r>
              <w:rPr>
                <w:rFonts w:ascii="宋体" w:eastAsia="宋体" w:hAnsi="宋体" w:hint="default"/>
                <w:sz w:val="21"/>
                <w:szCs w:val="21"/>
              </w:rPr>
              <w:t>2.72%</w:t>
            </w:r>
          </w:p>
        </w:tc>
        <w:tc>
          <w:tcPr>
            <w:tcW w:w="1160" w:type="dxa"/>
            <w:vAlign w:val="center"/>
          </w:tcPr>
          <w:p w:rsidR="00C93E26" w:rsidRPr="00C00F56" w:rsidRDefault="00114B27" w:rsidP="003D7B6D">
            <w:pPr>
              <w:pStyle w:val="af4"/>
              <w:spacing w:before="312" w:after="312"/>
              <w:ind w:firstLineChars="0" w:firstLine="0"/>
              <w:jc w:val="right"/>
              <w:rPr>
                <w:rFonts w:ascii="宋体" w:eastAsia="宋体" w:hAnsi="宋体"/>
                <w:sz w:val="21"/>
                <w:szCs w:val="21"/>
              </w:rPr>
            </w:pPr>
            <w:r>
              <w:rPr>
                <w:rFonts w:ascii="宋体" w:eastAsia="宋体" w:hAnsi="宋体" w:hint="default"/>
                <w:sz w:val="21"/>
                <w:szCs w:val="21"/>
              </w:rPr>
              <w:t>-0.07%</w:t>
            </w:r>
          </w:p>
        </w:tc>
      </w:tr>
    </w:tbl>
    <w:p w:rsidR="00C93E26" w:rsidRPr="002A26E4" w:rsidRDefault="00C93E26" w:rsidP="00C93E26">
      <w:pPr>
        <w:pStyle w:val="2"/>
        <w:numPr>
          <w:ilvl w:val="1"/>
          <w:numId w:val="15"/>
        </w:numPr>
        <w:ind w:firstLine="482"/>
        <w:rPr>
          <w:rFonts w:hint="eastAsia"/>
        </w:rPr>
      </w:pPr>
      <w:r w:rsidRPr="002A26E4">
        <w:rPr>
          <w:rFonts w:hint="eastAsia"/>
        </w:rPr>
        <w:t>自基金合同生效以来基金累计份额净值增长率变动及其与同期业绩比较基准收益率变动的比较</w:t>
      </w:r>
    </w:p>
    <w:p w:rsidR="00C93E26" w:rsidRPr="00355782" w:rsidRDefault="00C93E26" w:rsidP="003D7B6D">
      <w:pPr>
        <w:ind w:firstLine="480"/>
        <w:rPr>
          <w:rFonts w:hint="eastAsia"/>
        </w:rPr>
      </w:pPr>
    </w:p>
    <w:p w:rsidR="00C93E26" w:rsidRPr="009D1146" w:rsidRDefault="00114B27" w:rsidP="003D7B6D">
      <w:pPr>
        <w:ind w:firstLine="480"/>
        <w:rPr>
          <w:rFonts w:ascii="宋体" w:hAnsi="宋体" w:hint="eastAsia"/>
          <w:bCs/>
        </w:rPr>
      </w:pPr>
      <w:r>
        <w:rPr>
          <w:rFonts w:ascii="宋体" w:hAnsi="宋体" w:hint="eastAsia"/>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76.75pt">
            <v:imagedata r:id="rId14" o:title="CN_50100000_159963_FB030040_20200001_1"/>
          </v:shape>
        </w:pict>
      </w:r>
    </w:p>
    <w:p w:rsidR="00114B27" w:rsidRDefault="00114B27" w:rsidP="003D7B6D">
      <w:pPr>
        <w:ind w:firstLine="480"/>
        <w:rPr>
          <w:rFonts w:hint="eastAsia"/>
        </w:rPr>
      </w:pPr>
      <w:r>
        <w:rPr>
          <w:rFonts w:hint="eastAsia"/>
        </w:rPr>
        <w:t>注：</w:t>
      </w:r>
      <w:r>
        <w:rPr>
          <w:rFonts w:hint="eastAsia"/>
        </w:rPr>
        <w:t>1</w:t>
      </w:r>
      <w:r>
        <w:rPr>
          <w:rFonts w:hint="eastAsia"/>
        </w:rPr>
        <w:t>、截止日期为</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p w:rsidR="00C93E26" w:rsidRDefault="00114B27" w:rsidP="003D7B6D">
      <w:pPr>
        <w:ind w:firstLine="480"/>
        <w:rPr>
          <w:rFonts w:hint="eastAsia"/>
          <w:kern w:val="0"/>
        </w:rPr>
      </w:pPr>
      <w:r>
        <w:rPr>
          <w:rFonts w:hint="eastAsia"/>
        </w:rPr>
        <w:t>2</w:t>
      </w:r>
      <w:r>
        <w:rPr>
          <w:rFonts w:hint="eastAsia"/>
        </w:rPr>
        <w:t>、本基金于</w:t>
      </w:r>
      <w:r>
        <w:rPr>
          <w:rFonts w:hint="eastAsia"/>
        </w:rPr>
        <w:t>2019</w:t>
      </w:r>
      <w:r>
        <w:rPr>
          <w:rFonts w:hint="eastAsia"/>
        </w:rPr>
        <w:t>年</w:t>
      </w:r>
      <w:r>
        <w:rPr>
          <w:rFonts w:hint="eastAsia"/>
        </w:rPr>
        <w:t>3</w:t>
      </w:r>
      <w:r>
        <w:rPr>
          <w:rFonts w:hint="eastAsia"/>
        </w:rPr>
        <w:t>月</w:t>
      </w:r>
      <w:r>
        <w:rPr>
          <w:rFonts w:hint="eastAsia"/>
        </w:rPr>
        <w:t>7</w:t>
      </w:r>
      <w:r>
        <w:rPr>
          <w:rFonts w:hint="eastAsia"/>
        </w:rPr>
        <w:t>日成立，自合同生效日起至本报告期末不足一年。本基金建仓期</w:t>
      </w:r>
      <w:r>
        <w:rPr>
          <w:rFonts w:hint="eastAsia"/>
        </w:rPr>
        <w:t>6</w:t>
      </w:r>
      <w:r>
        <w:rPr>
          <w:rFonts w:hint="eastAsia"/>
        </w:rPr>
        <w:t>个月，从</w:t>
      </w:r>
      <w:r>
        <w:rPr>
          <w:rFonts w:hint="eastAsia"/>
        </w:rPr>
        <w:t>2019</w:t>
      </w:r>
      <w:r>
        <w:rPr>
          <w:rFonts w:hint="eastAsia"/>
        </w:rPr>
        <w:t>年</w:t>
      </w:r>
      <w:r>
        <w:rPr>
          <w:rFonts w:hint="eastAsia"/>
        </w:rPr>
        <w:t>3</w:t>
      </w:r>
      <w:r>
        <w:rPr>
          <w:rFonts w:hint="eastAsia"/>
        </w:rPr>
        <w:t>月</w:t>
      </w:r>
      <w:r>
        <w:rPr>
          <w:rFonts w:hint="eastAsia"/>
        </w:rPr>
        <w:t>7</w:t>
      </w:r>
      <w:r>
        <w:rPr>
          <w:rFonts w:hint="eastAsia"/>
        </w:rPr>
        <w:t>日起至</w:t>
      </w:r>
      <w:r>
        <w:rPr>
          <w:rFonts w:hint="eastAsia"/>
        </w:rPr>
        <w:t>2019</w:t>
      </w:r>
      <w:r>
        <w:rPr>
          <w:rFonts w:hint="eastAsia"/>
        </w:rPr>
        <w:t>年</w:t>
      </w:r>
      <w:r>
        <w:rPr>
          <w:rFonts w:hint="eastAsia"/>
        </w:rPr>
        <w:t>9</w:t>
      </w:r>
      <w:r>
        <w:rPr>
          <w:rFonts w:hint="eastAsia"/>
        </w:rPr>
        <w:t>月</w:t>
      </w:r>
      <w:r>
        <w:rPr>
          <w:rFonts w:hint="eastAsia"/>
        </w:rPr>
        <w:t>6</w:t>
      </w:r>
      <w:r>
        <w:rPr>
          <w:rFonts w:hint="eastAsia"/>
        </w:rPr>
        <w:t>日，建仓期结束时各项资产配置比例均符合基金合同约定。</w:t>
      </w:r>
      <w:r w:rsidR="00C93E26">
        <w:rPr>
          <w:rFonts w:hint="eastAsia"/>
          <w:kern w:val="0"/>
        </w:rPr>
        <w:t xml:space="preserve"> </w:t>
      </w:r>
    </w:p>
    <w:p w:rsidR="00C93E26" w:rsidRPr="003A4C91" w:rsidRDefault="00C93E26" w:rsidP="00C93E26">
      <w:pPr>
        <w:pStyle w:val="1"/>
        <w:keepLines/>
        <w:numPr>
          <w:ilvl w:val="0"/>
          <w:numId w:val="15"/>
        </w:numPr>
        <w:ind w:left="0" w:firstLine="0"/>
        <w:rPr>
          <w:rFonts w:hint="eastAsia"/>
        </w:rPr>
      </w:pPr>
      <w:r>
        <w:rPr>
          <w:rFonts w:hint="eastAsia"/>
        </w:rPr>
        <w:t>费用概览</w:t>
      </w:r>
    </w:p>
    <w:p w:rsidR="00C93E26" w:rsidRPr="003A4C91" w:rsidRDefault="00C93E26" w:rsidP="00C93E26">
      <w:pPr>
        <w:pStyle w:val="2"/>
        <w:numPr>
          <w:ilvl w:val="1"/>
          <w:numId w:val="15"/>
        </w:numPr>
        <w:ind w:leftChars="-1" w:left="-2" w:firstLine="482"/>
      </w:pPr>
      <w:r w:rsidRPr="003A4C91">
        <w:t>基金费用的种类</w:t>
      </w:r>
    </w:p>
    <w:p w:rsidR="00114B27" w:rsidRDefault="00114B27" w:rsidP="00114B27">
      <w:pPr>
        <w:ind w:firstLine="480"/>
        <w:rPr>
          <w:rFonts w:ascii="宋体" w:hAnsi="宋体"/>
        </w:rPr>
      </w:pPr>
      <w:r>
        <w:rPr>
          <w:rFonts w:ascii="宋体" w:hAnsi="宋体"/>
        </w:rPr>
        <w:t>1、基金管理人的管理费；</w:t>
      </w:r>
    </w:p>
    <w:p w:rsidR="00114B27" w:rsidRDefault="00114B27" w:rsidP="00114B27">
      <w:pPr>
        <w:ind w:firstLine="480"/>
        <w:rPr>
          <w:rFonts w:ascii="宋体" w:hAnsi="宋体"/>
        </w:rPr>
      </w:pPr>
      <w:r>
        <w:rPr>
          <w:rFonts w:ascii="宋体" w:hAnsi="宋体"/>
        </w:rPr>
        <w:t>2、基金托管人的托管费；</w:t>
      </w:r>
    </w:p>
    <w:p w:rsidR="00114B27" w:rsidRDefault="00114B27" w:rsidP="00114B27">
      <w:pPr>
        <w:ind w:firstLine="480"/>
        <w:rPr>
          <w:rFonts w:ascii="宋体" w:hAnsi="宋体"/>
        </w:rPr>
      </w:pPr>
      <w:r>
        <w:rPr>
          <w:rFonts w:ascii="宋体" w:hAnsi="宋体"/>
        </w:rPr>
        <w:t>3、标的指数许可使用费（包括为指数公司缴纳的相关税费以及与支付外币相关的汇兑损益、手续费、汇款费等）；</w:t>
      </w:r>
    </w:p>
    <w:p w:rsidR="00114B27" w:rsidRDefault="00114B27" w:rsidP="00114B27">
      <w:pPr>
        <w:ind w:firstLine="480"/>
        <w:rPr>
          <w:rFonts w:ascii="宋体" w:hAnsi="宋体"/>
        </w:rPr>
      </w:pPr>
      <w:r>
        <w:rPr>
          <w:rFonts w:ascii="宋体" w:hAnsi="宋体"/>
        </w:rPr>
        <w:t>4、基金合同生效后与基金相关的信息披露费用；</w:t>
      </w:r>
    </w:p>
    <w:p w:rsidR="00114B27" w:rsidRDefault="00114B27" w:rsidP="00114B27">
      <w:pPr>
        <w:ind w:firstLine="480"/>
        <w:rPr>
          <w:rFonts w:ascii="宋体" w:hAnsi="宋体"/>
        </w:rPr>
      </w:pPr>
      <w:r>
        <w:rPr>
          <w:rFonts w:ascii="宋体" w:hAnsi="宋体"/>
        </w:rPr>
        <w:t>5、基金合同生效后与基金相关的会计师费、律师费、诉讼费和仲裁费；</w:t>
      </w:r>
    </w:p>
    <w:p w:rsidR="00114B27" w:rsidRDefault="00114B27" w:rsidP="00114B27">
      <w:pPr>
        <w:ind w:firstLine="480"/>
        <w:rPr>
          <w:rFonts w:ascii="宋体" w:hAnsi="宋体"/>
        </w:rPr>
      </w:pPr>
      <w:r>
        <w:rPr>
          <w:rFonts w:ascii="宋体" w:hAnsi="宋体"/>
        </w:rPr>
        <w:t>6、基金份额持有人大会费用；</w:t>
      </w:r>
    </w:p>
    <w:p w:rsidR="00114B27" w:rsidRDefault="00114B27" w:rsidP="00114B27">
      <w:pPr>
        <w:ind w:firstLine="480"/>
        <w:rPr>
          <w:rFonts w:ascii="宋体" w:hAnsi="宋体"/>
        </w:rPr>
      </w:pPr>
      <w:r>
        <w:rPr>
          <w:rFonts w:ascii="宋体" w:hAnsi="宋体"/>
        </w:rPr>
        <w:t>7、因基金的证券、期货交易或结算而产生的费用；</w:t>
      </w:r>
    </w:p>
    <w:p w:rsidR="00114B27" w:rsidRDefault="00114B27" w:rsidP="00114B27">
      <w:pPr>
        <w:ind w:firstLine="480"/>
        <w:rPr>
          <w:rFonts w:ascii="宋体" w:hAnsi="宋体"/>
        </w:rPr>
      </w:pPr>
      <w:r>
        <w:rPr>
          <w:rFonts w:ascii="宋体" w:hAnsi="宋体"/>
        </w:rPr>
        <w:t>8、基金的银行汇划费用；</w:t>
      </w:r>
    </w:p>
    <w:p w:rsidR="00114B27" w:rsidRDefault="00114B27" w:rsidP="00114B27">
      <w:pPr>
        <w:ind w:firstLine="480"/>
        <w:rPr>
          <w:rFonts w:ascii="宋体" w:hAnsi="宋体"/>
        </w:rPr>
      </w:pPr>
      <w:r>
        <w:rPr>
          <w:rFonts w:ascii="宋体" w:hAnsi="宋体"/>
        </w:rPr>
        <w:t>9、基金合同生效后基金的证券、期货账户开户费用，银行账户维护费用；</w:t>
      </w:r>
    </w:p>
    <w:p w:rsidR="00114B27" w:rsidRDefault="00114B27" w:rsidP="00114B27">
      <w:pPr>
        <w:ind w:firstLine="480"/>
        <w:rPr>
          <w:rFonts w:ascii="宋体" w:hAnsi="宋体"/>
        </w:rPr>
      </w:pPr>
      <w:r>
        <w:rPr>
          <w:rFonts w:ascii="宋体" w:hAnsi="宋体"/>
        </w:rPr>
        <w:t>10、基金上市费及年费；</w:t>
      </w:r>
    </w:p>
    <w:p w:rsidR="00114B27" w:rsidRDefault="00114B27" w:rsidP="00114B27">
      <w:pPr>
        <w:ind w:firstLine="480"/>
        <w:rPr>
          <w:rFonts w:ascii="宋体" w:hAnsi="宋体"/>
        </w:rPr>
      </w:pPr>
      <w:r>
        <w:rPr>
          <w:rFonts w:ascii="宋体" w:hAnsi="宋体"/>
        </w:rPr>
        <w:t>11、因投资港股通标的股票而产生的各项合理费</w:t>
      </w:r>
      <w:r>
        <w:rPr>
          <w:rFonts w:ascii="宋体" w:hAnsi="宋体" w:hint="eastAsia"/>
        </w:rPr>
        <w:t>用；</w:t>
      </w:r>
    </w:p>
    <w:p w:rsidR="00C93E26" w:rsidRDefault="00114B27" w:rsidP="00114B27">
      <w:pPr>
        <w:ind w:firstLine="480"/>
        <w:rPr>
          <w:rFonts w:hint="eastAsia"/>
          <w:sz w:val="28"/>
        </w:rPr>
      </w:pPr>
      <w:r>
        <w:rPr>
          <w:rFonts w:ascii="宋体" w:hAnsi="宋体"/>
        </w:rPr>
        <w:t>12、按照国家有关规定和基金合同约定，可以在基金财产中列支的其他费用。</w:t>
      </w:r>
    </w:p>
    <w:p w:rsidR="00C93E26" w:rsidRPr="003A4C91" w:rsidRDefault="00C93E26" w:rsidP="00C93E26">
      <w:pPr>
        <w:pStyle w:val="2"/>
        <w:numPr>
          <w:ilvl w:val="1"/>
          <w:numId w:val="15"/>
        </w:numPr>
        <w:ind w:leftChars="-1" w:left="-2" w:firstLine="482"/>
      </w:pPr>
      <w:r w:rsidRPr="003A4C91">
        <w:t>基金费用计提方法、计提标准和支付方式</w:t>
      </w:r>
    </w:p>
    <w:p w:rsidR="00114B27" w:rsidRDefault="00114B27" w:rsidP="008D6A0F">
      <w:pPr>
        <w:ind w:firstLine="480"/>
        <w:rPr>
          <w:rFonts w:hint="eastAsia"/>
        </w:rPr>
      </w:pPr>
      <w:r>
        <w:rPr>
          <w:rFonts w:hint="eastAsia"/>
        </w:rPr>
        <w:t>1</w:t>
      </w:r>
      <w:r>
        <w:rPr>
          <w:rFonts w:hint="eastAsia"/>
        </w:rPr>
        <w:t>、基金管理人的管理费</w:t>
      </w:r>
    </w:p>
    <w:p w:rsidR="00114B27" w:rsidRDefault="00114B27" w:rsidP="008D6A0F">
      <w:pPr>
        <w:ind w:firstLine="480"/>
        <w:rPr>
          <w:rFonts w:hint="eastAsia"/>
        </w:rPr>
      </w:pPr>
      <w:r>
        <w:rPr>
          <w:rFonts w:hint="eastAsia"/>
        </w:rPr>
        <w:t>本基金的管理费按前一日基金资产净值的</w:t>
      </w:r>
      <w:r>
        <w:rPr>
          <w:rFonts w:hint="eastAsia"/>
        </w:rPr>
        <w:t>0.50%</w:t>
      </w:r>
      <w:r>
        <w:rPr>
          <w:rFonts w:hint="eastAsia"/>
        </w:rPr>
        <w:t>年费率计提。管理费的计算方法如下：</w:t>
      </w:r>
    </w:p>
    <w:p w:rsidR="00114B27" w:rsidRDefault="00114B27" w:rsidP="008D6A0F">
      <w:pPr>
        <w:ind w:firstLine="480"/>
        <w:rPr>
          <w:rFonts w:hint="eastAsia"/>
        </w:rPr>
      </w:pPr>
      <w:r>
        <w:rPr>
          <w:rFonts w:hint="eastAsia"/>
        </w:rPr>
        <w:t>H</w:t>
      </w:r>
      <w:r>
        <w:rPr>
          <w:rFonts w:hint="eastAsia"/>
        </w:rPr>
        <w:t>＝</w:t>
      </w:r>
      <w:r>
        <w:rPr>
          <w:rFonts w:hint="eastAsia"/>
        </w:rPr>
        <w:t>E</w:t>
      </w:r>
      <w:r>
        <w:rPr>
          <w:rFonts w:hint="eastAsia"/>
        </w:rPr>
        <w:t>×</w:t>
      </w:r>
      <w:r>
        <w:rPr>
          <w:rFonts w:hint="eastAsia"/>
        </w:rPr>
        <w:t>0.50%</w:t>
      </w:r>
      <w:r>
        <w:rPr>
          <w:rFonts w:hint="eastAsia"/>
        </w:rPr>
        <w:t>÷当年天数</w:t>
      </w:r>
    </w:p>
    <w:p w:rsidR="00114B27" w:rsidRDefault="00114B27" w:rsidP="008D6A0F">
      <w:pPr>
        <w:ind w:firstLine="480"/>
        <w:rPr>
          <w:rFonts w:hint="eastAsia"/>
        </w:rPr>
      </w:pPr>
      <w:r>
        <w:rPr>
          <w:rFonts w:hint="eastAsia"/>
        </w:rPr>
        <w:t>H</w:t>
      </w:r>
      <w:r>
        <w:rPr>
          <w:rFonts w:hint="eastAsia"/>
        </w:rPr>
        <w:t>为每日应计提的基金管理费</w:t>
      </w:r>
    </w:p>
    <w:p w:rsidR="00114B27" w:rsidRDefault="00114B27" w:rsidP="008D6A0F">
      <w:pPr>
        <w:ind w:firstLine="480"/>
        <w:rPr>
          <w:rFonts w:hint="eastAsia"/>
        </w:rPr>
      </w:pPr>
      <w:r>
        <w:rPr>
          <w:rFonts w:hint="eastAsia"/>
        </w:rPr>
        <w:t>E</w:t>
      </w:r>
      <w:r>
        <w:rPr>
          <w:rFonts w:hint="eastAsia"/>
        </w:rPr>
        <w:t>为前一日的基金资产净值</w:t>
      </w:r>
    </w:p>
    <w:p w:rsidR="00114B27" w:rsidRDefault="00114B27" w:rsidP="008D6A0F">
      <w:pPr>
        <w:ind w:firstLine="480"/>
        <w:rPr>
          <w:rFonts w:hint="eastAsia"/>
        </w:rPr>
      </w:pPr>
      <w:r>
        <w:rPr>
          <w:rFonts w:hint="eastAsia"/>
        </w:rPr>
        <w:t>基金管理费每日计提，按月支付。由基金管理人向基金托管人发送基金管理费划付指令，经基金托管人复核后于次月首日起</w:t>
      </w:r>
      <w:r>
        <w:rPr>
          <w:rFonts w:hint="eastAsia"/>
        </w:rPr>
        <w:t>2</w:t>
      </w:r>
      <w:r>
        <w:rPr>
          <w:rFonts w:hint="eastAsia"/>
        </w:rPr>
        <w:t>个工作日内从基金财产中一次性支付给基金管理人。若遇法定节假日、休息日或不可抗力致使无法按时支付的，顺延至法定节假日、休息日结束之日起</w:t>
      </w:r>
      <w:r>
        <w:rPr>
          <w:rFonts w:hint="eastAsia"/>
        </w:rPr>
        <w:t>2</w:t>
      </w:r>
      <w:r>
        <w:rPr>
          <w:rFonts w:hint="eastAsia"/>
        </w:rPr>
        <w:t>个工作日内或不可抗力情形消除之日起</w:t>
      </w:r>
      <w:r>
        <w:rPr>
          <w:rFonts w:hint="eastAsia"/>
        </w:rPr>
        <w:t>2</w:t>
      </w:r>
      <w:r>
        <w:rPr>
          <w:rFonts w:hint="eastAsia"/>
        </w:rPr>
        <w:t>个工作日内支付。</w:t>
      </w:r>
    </w:p>
    <w:p w:rsidR="00114B27" w:rsidRDefault="00114B27" w:rsidP="008D6A0F">
      <w:pPr>
        <w:ind w:firstLine="480"/>
        <w:rPr>
          <w:rFonts w:hint="eastAsia"/>
        </w:rPr>
      </w:pPr>
      <w:r>
        <w:rPr>
          <w:rFonts w:hint="eastAsia"/>
        </w:rPr>
        <w:t>2</w:t>
      </w:r>
      <w:r>
        <w:rPr>
          <w:rFonts w:hint="eastAsia"/>
        </w:rPr>
        <w:t>、基金托管人的托管费</w:t>
      </w:r>
    </w:p>
    <w:p w:rsidR="00114B27" w:rsidRDefault="00114B27" w:rsidP="008D6A0F">
      <w:pPr>
        <w:ind w:firstLine="480"/>
        <w:rPr>
          <w:rFonts w:hint="eastAsia"/>
        </w:rPr>
      </w:pPr>
      <w:r>
        <w:rPr>
          <w:rFonts w:hint="eastAsia"/>
        </w:rPr>
        <w:t>本基金的托管费按前一日基金资产净值的</w:t>
      </w:r>
      <w:r>
        <w:rPr>
          <w:rFonts w:hint="eastAsia"/>
        </w:rPr>
        <w:t>0.10%</w:t>
      </w:r>
      <w:r>
        <w:rPr>
          <w:rFonts w:hint="eastAsia"/>
        </w:rPr>
        <w:t>的年费率计提。托管费的计算方法如下：</w:t>
      </w:r>
    </w:p>
    <w:p w:rsidR="00114B27" w:rsidRDefault="00114B27" w:rsidP="008D6A0F">
      <w:pPr>
        <w:ind w:firstLine="480"/>
        <w:rPr>
          <w:rFonts w:hint="eastAsia"/>
        </w:rPr>
      </w:pPr>
      <w:r>
        <w:rPr>
          <w:rFonts w:hint="eastAsia"/>
        </w:rPr>
        <w:t>H</w:t>
      </w:r>
      <w:r>
        <w:rPr>
          <w:rFonts w:hint="eastAsia"/>
        </w:rPr>
        <w:t>＝</w:t>
      </w:r>
      <w:r>
        <w:rPr>
          <w:rFonts w:hint="eastAsia"/>
        </w:rPr>
        <w:t>E</w:t>
      </w:r>
      <w:r>
        <w:rPr>
          <w:rFonts w:hint="eastAsia"/>
        </w:rPr>
        <w:t>×</w:t>
      </w:r>
      <w:r>
        <w:rPr>
          <w:rFonts w:hint="eastAsia"/>
        </w:rPr>
        <w:t>0.10%</w:t>
      </w:r>
      <w:r>
        <w:rPr>
          <w:rFonts w:hint="eastAsia"/>
        </w:rPr>
        <w:t>÷当年天数</w:t>
      </w:r>
    </w:p>
    <w:p w:rsidR="00114B27" w:rsidRDefault="00114B27" w:rsidP="008D6A0F">
      <w:pPr>
        <w:ind w:firstLine="480"/>
        <w:rPr>
          <w:rFonts w:hint="eastAsia"/>
        </w:rPr>
      </w:pPr>
      <w:r>
        <w:rPr>
          <w:rFonts w:hint="eastAsia"/>
        </w:rPr>
        <w:t>H</w:t>
      </w:r>
      <w:r>
        <w:rPr>
          <w:rFonts w:hint="eastAsia"/>
        </w:rPr>
        <w:t>为每日应计提的基金托管费</w:t>
      </w:r>
    </w:p>
    <w:p w:rsidR="00114B27" w:rsidRDefault="00114B27" w:rsidP="008D6A0F">
      <w:pPr>
        <w:ind w:firstLine="480"/>
        <w:rPr>
          <w:rFonts w:hint="eastAsia"/>
        </w:rPr>
      </w:pPr>
      <w:r>
        <w:rPr>
          <w:rFonts w:hint="eastAsia"/>
        </w:rPr>
        <w:t>E</w:t>
      </w:r>
      <w:r>
        <w:rPr>
          <w:rFonts w:hint="eastAsia"/>
        </w:rPr>
        <w:t>为前一日的基金资产净值</w:t>
      </w:r>
    </w:p>
    <w:p w:rsidR="00114B27" w:rsidRDefault="00114B27" w:rsidP="008D6A0F">
      <w:pPr>
        <w:ind w:firstLine="480"/>
        <w:rPr>
          <w:rFonts w:hint="eastAsia"/>
        </w:rPr>
      </w:pPr>
      <w:r>
        <w:rPr>
          <w:rFonts w:hint="eastAsia"/>
        </w:rPr>
        <w:t>基金托管费每日计提，按月支付。由基金管理人向基金托管人发送基金托管费划付指令，基金托管人复核后于次月首日起</w:t>
      </w:r>
      <w:r>
        <w:rPr>
          <w:rFonts w:hint="eastAsia"/>
        </w:rPr>
        <w:t>2</w:t>
      </w:r>
      <w:r>
        <w:rPr>
          <w:rFonts w:hint="eastAsia"/>
        </w:rPr>
        <w:t>个工作日内从基金财产中一次性支付给基金托管人。若遇法定节假日、休息日或不可抗力致使无法按时支付的，顺延至法定节假日、休息日结束之日起</w:t>
      </w:r>
      <w:r>
        <w:rPr>
          <w:rFonts w:hint="eastAsia"/>
        </w:rPr>
        <w:t>2</w:t>
      </w:r>
      <w:r>
        <w:rPr>
          <w:rFonts w:hint="eastAsia"/>
        </w:rPr>
        <w:t>个工作日内或不可抗力情形消除之日起</w:t>
      </w:r>
      <w:r>
        <w:rPr>
          <w:rFonts w:hint="eastAsia"/>
        </w:rPr>
        <w:t>2</w:t>
      </w:r>
      <w:r>
        <w:rPr>
          <w:rFonts w:hint="eastAsia"/>
        </w:rPr>
        <w:t>个工作日内支付。</w:t>
      </w:r>
    </w:p>
    <w:p w:rsidR="00114B27" w:rsidRDefault="00114B27" w:rsidP="008D6A0F">
      <w:pPr>
        <w:ind w:firstLine="480"/>
        <w:rPr>
          <w:rFonts w:hint="eastAsia"/>
        </w:rPr>
      </w:pPr>
      <w:r>
        <w:rPr>
          <w:rFonts w:hint="eastAsia"/>
        </w:rPr>
        <w:t>3</w:t>
      </w:r>
      <w:r>
        <w:rPr>
          <w:rFonts w:hint="eastAsia"/>
        </w:rPr>
        <w:t>、基金的指数许可使用费及其外汇兑换交易的相关费用</w:t>
      </w:r>
    </w:p>
    <w:p w:rsidR="00114B27" w:rsidRDefault="00114B27" w:rsidP="008D6A0F">
      <w:pPr>
        <w:ind w:firstLine="480"/>
        <w:rPr>
          <w:rFonts w:hint="eastAsia"/>
        </w:rPr>
      </w:pPr>
      <w:r>
        <w:rPr>
          <w:rFonts w:hint="eastAsia"/>
        </w:rPr>
        <w:t>本基金作为指数基金，需要根据与标的指数许可方所签订的指数使用许可协议中所规定的指数许可使用费计提方法计提指数许可使用费（包括为指数公司缴纳的相关税费以及与支付外币相关的汇兑损益、手续费、汇款费等）。指数许可使用费自基金任何一类份额首次挂牌之日起累计，计算方法如下：</w:t>
      </w:r>
    </w:p>
    <w:p w:rsidR="00114B27" w:rsidRDefault="00114B27" w:rsidP="008D6A0F">
      <w:pPr>
        <w:ind w:firstLine="480"/>
        <w:rPr>
          <w:rFonts w:hint="eastAsia"/>
        </w:rPr>
      </w:pPr>
      <w:r>
        <w:rPr>
          <w:rFonts w:hint="eastAsia"/>
        </w:rPr>
        <w:t>H</w:t>
      </w:r>
      <w:r>
        <w:rPr>
          <w:rFonts w:hint="eastAsia"/>
        </w:rPr>
        <w:t>＝</w:t>
      </w:r>
      <w:r>
        <w:rPr>
          <w:rFonts w:hint="eastAsia"/>
        </w:rPr>
        <w:t>E</w:t>
      </w:r>
      <w:r>
        <w:rPr>
          <w:rFonts w:hint="eastAsia"/>
        </w:rPr>
        <w:t>×</w:t>
      </w:r>
      <w:r>
        <w:rPr>
          <w:rFonts w:hint="eastAsia"/>
        </w:rPr>
        <w:t>0.04%</w:t>
      </w:r>
      <w:r>
        <w:rPr>
          <w:rFonts w:hint="eastAsia"/>
        </w:rPr>
        <w:t>÷</w:t>
      </w:r>
      <w:r>
        <w:rPr>
          <w:rFonts w:hint="eastAsia"/>
        </w:rPr>
        <w:t>365</w:t>
      </w:r>
    </w:p>
    <w:p w:rsidR="00114B27" w:rsidRDefault="00114B27" w:rsidP="008D6A0F">
      <w:pPr>
        <w:ind w:firstLine="480"/>
        <w:rPr>
          <w:rFonts w:hint="eastAsia"/>
        </w:rPr>
      </w:pPr>
      <w:r>
        <w:rPr>
          <w:rFonts w:hint="eastAsia"/>
        </w:rPr>
        <w:t>H</w:t>
      </w:r>
      <w:r>
        <w:rPr>
          <w:rFonts w:hint="eastAsia"/>
        </w:rPr>
        <w:t>为每日应计提的指数许可使用费</w:t>
      </w:r>
    </w:p>
    <w:p w:rsidR="00114B27" w:rsidRDefault="00114B27" w:rsidP="008D6A0F">
      <w:pPr>
        <w:ind w:firstLine="480"/>
        <w:rPr>
          <w:rFonts w:hint="eastAsia"/>
        </w:rPr>
      </w:pPr>
      <w:r>
        <w:rPr>
          <w:rFonts w:hint="eastAsia"/>
        </w:rPr>
        <w:t>E</w:t>
      </w:r>
      <w:r>
        <w:rPr>
          <w:rFonts w:hint="eastAsia"/>
        </w:rPr>
        <w:t>为前一日的基金资产净值</w:t>
      </w:r>
    </w:p>
    <w:p w:rsidR="00114B27" w:rsidRDefault="00114B27" w:rsidP="008D6A0F">
      <w:pPr>
        <w:ind w:firstLine="480"/>
        <w:rPr>
          <w:rFonts w:hint="eastAsia"/>
        </w:rPr>
      </w:pPr>
      <w:r>
        <w:rPr>
          <w:rFonts w:hint="eastAsia"/>
        </w:rPr>
        <w:t>若一个季度累计计提指数使用费金额小于指数使用许可协议规定的费用下限，则基金于季末最后一日补提指数使用费至指数使用许可协议规定的费用下限。</w:t>
      </w:r>
    </w:p>
    <w:p w:rsidR="00114B27" w:rsidRDefault="00114B27" w:rsidP="008D6A0F">
      <w:pPr>
        <w:ind w:firstLine="480"/>
        <w:rPr>
          <w:rFonts w:hint="eastAsia"/>
        </w:rPr>
      </w:pPr>
      <w:r>
        <w:rPr>
          <w:rFonts w:hint="eastAsia"/>
        </w:rPr>
        <w:t>指数使用费每日计提，按季支付。经基金管理人和基金托管人核对一致后，基金托管人于次季度首日起</w:t>
      </w:r>
      <w:r>
        <w:rPr>
          <w:rFonts w:hint="eastAsia"/>
        </w:rPr>
        <w:t>5</w:t>
      </w:r>
      <w:r>
        <w:rPr>
          <w:rFonts w:hint="eastAsia"/>
        </w:rPr>
        <w:t>个工作日内向基金托管人出具指令从基金财产中一次性支付给基金管理人，由基金管理人根据指数使用许可协议所规定的方式支付给标的指数许可方。</w:t>
      </w:r>
    </w:p>
    <w:p w:rsidR="00114B27" w:rsidRDefault="00114B27" w:rsidP="008D6A0F">
      <w:pPr>
        <w:ind w:firstLine="480"/>
        <w:rPr>
          <w:rFonts w:hint="eastAsia"/>
        </w:rPr>
      </w:pPr>
      <w:r>
        <w:rPr>
          <w:rFonts w:hint="eastAsia"/>
        </w:rPr>
        <w:t>如果指数使用费的计算方法和费率等发生调整，本基金将采用调整后的方法或费率计算指数使用费。基金管理人应及时按照《信息披露管理办法》的规定在指定媒介进行公告。</w:t>
      </w:r>
    </w:p>
    <w:p w:rsidR="00114B27" w:rsidRPr="009A139A" w:rsidRDefault="00114B27" w:rsidP="008D6A0F">
      <w:pPr>
        <w:ind w:firstLine="480"/>
        <w:rPr>
          <w:rFonts w:hint="eastAsia"/>
        </w:rPr>
      </w:pPr>
      <w:r>
        <w:rPr>
          <w:rFonts w:hint="eastAsia"/>
        </w:rPr>
        <w:t>上述“一、基金费用的种类”中第</w:t>
      </w:r>
      <w:r>
        <w:rPr>
          <w:rFonts w:hint="eastAsia"/>
        </w:rPr>
        <w:t>4</w:t>
      </w:r>
      <w:r>
        <w:rPr>
          <w:rFonts w:hint="eastAsia"/>
        </w:rPr>
        <w:t>－</w:t>
      </w:r>
      <w:r>
        <w:rPr>
          <w:rFonts w:hint="eastAsia"/>
        </w:rPr>
        <w:t>12</w:t>
      </w:r>
      <w:r>
        <w:rPr>
          <w:rFonts w:hint="eastAsia"/>
        </w:rPr>
        <w:t>项费用，根据有关法规及相应协议规定，按费用实际支出金额列入当期费用，由基金托管人从基金财产中支付。</w:t>
      </w:r>
    </w:p>
    <w:p w:rsidR="00C93E26" w:rsidRPr="003A4C91" w:rsidRDefault="00C93E26" w:rsidP="00C93E26">
      <w:pPr>
        <w:pStyle w:val="2"/>
        <w:numPr>
          <w:ilvl w:val="1"/>
          <w:numId w:val="15"/>
        </w:numPr>
        <w:ind w:leftChars="-1" w:left="-2" w:firstLine="482"/>
      </w:pPr>
      <w:r w:rsidRPr="003A4C91">
        <w:t>不列入基金费用的项目</w:t>
      </w:r>
    </w:p>
    <w:p w:rsidR="00114B27" w:rsidRDefault="00114B27" w:rsidP="003D7B6D">
      <w:pPr>
        <w:ind w:firstLine="480"/>
        <w:rPr>
          <w:rFonts w:ascii="宋体" w:hAnsi="宋体"/>
        </w:rPr>
      </w:pPr>
      <w:bookmarkStart w:id="6" w:name="_Hlt88827255"/>
      <w:bookmarkEnd w:id="6"/>
      <w:r>
        <w:rPr>
          <w:rFonts w:ascii="宋体" w:hAnsi="宋体" w:hint="eastAsia"/>
        </w:rPr>
        <w:t>下列费用不列入基金费用：</w:t>
      </w:r>
    </w:p>
    <w:p w:rsidR="00114B27" w:rsidRDefault="00114B27" w:rsidP="003D7B6D">
      <w:pPr>
        <w:ind w:firstLine="480"/>
        <w:rPr>
          <w:rFonts w:ascii="宋体" w:hAnsi="宋体"/>
        </w:rPr>
      </w:pPr>
      <w:r>
        <w:rPr>
          <w:rFonts w:ascii="宋体" w:hAnsi="宋体"/>
        </w:rPr>
        <w:t>1、基金管理人和基金托管人因未履行或未完全履行义务导致的费用支出或基金财产的损失；</w:t>
      </w:r>
    </w:p>
    <w:p w:rsidR="00114B27" w:rsidRDefault="00114B27" w:rsidP="003D7B6D">
      <w:pPr>
        <w:ind w:firstLine="480"/>
        <w:rPr>
          <w:rFonts w:ascii="宋体" w:hAnsi="宋体"/>
        </w:rPr>
      </w:pPr>
      <w:r>
        <w:rPr>
          <w:rFonts w:ascii="宋体" w:hAnsi="宋体"/>
        </w:rPr>
        <w:t>2、基金管理人和基金托管人处理与基金运作无关的事项发生的费用；</w:t>
      </w:r>
    </w:p>
    <w:p w:rsidR="00114B27" w:rsidRDefault="00114B27" w:rsidP="003D7B6D">
      <w:pPr>
        <w:ind w:firstLine="480"/>
        <w:rPr>
          <w:rFonts w:ascii="宋体" w:hAnsi="宋体"/>
        </w:rPr>
      </w:pPr>
      <w:r>
        <w:rPr>
          <w:rFonts w:ascii="宋体" w:hAnsi="宋体"/>
        </w:rPr>
        <w:t>3、基金合同生效前的相关费用；</w:t>
      </w:r>
    </w:p>
    <w:p w:rsidR="00C93E26" w:rsidRDefault="00114B27" w:rsidP="003D7B6D">
      <w:pPr>
        <w:ind w:firstLine="480"/>
        <w:rPr>
          <w:rFonts w:ascii="宋体" w:hAnsi="宋体" w:hint="eastAsia"/>
        </w:rPr>
      </w:pPr>
      <w:r>
        <w:rPr>
          <w:rFonts w:ascii="宋体" w:hAnsi="宋体"/>
        </w:rPr>
        <w:t>4、其他根据相关法律法规及中国证监会的有关规定不得列入基金费用的项目。</w:t>
      </w:r>
    </w:p>
    <w:p w:rsidR="00C93E26" w:rsidRPr="003A4C91" w:rsidRDefault="00C93E26" w:rsidP="00C93E26">
      <w:pPr>
        <w:pStyle w:val="2"/>
        <w:numPr>
          <w:ilvl w:val="1"/>
          <w:numId w:val="15"/>
        </w:numPr>
        <w:ind w:leftChars="-1" w:left="-2" w:firstLine="482"/>
      </w:pPr>
      <w:r w:rsidRPr="003A4C91">
        <w:t>基金税收</w:t>
      </w:r>
    </w:p>
    <w:p w:rsidR="00114B27" w:rsidRDefault="00114B27" w:rsidP="003D7B6D">
      <w:pPr>
        <w:ind w:firstLine="480"/>
        <w:rPr>
          <w:rFonts w:ascii="宋体" w:hAnsi="宋体"/>
        </w:rPr>
      </w:pPr>
      <w:r>
        <w:rPr>
          <w:rFonts w:ascii="宋体" w:hAnsi="宋体" w:hint="eastAsia"/>
        </w:rPr>
        <w:t>本基金运作过程中涉及的各纳税主体，其纳税义务按国家税收法律、法规执行。</w:t>
      </w:r>
    </w:p>
    <w:p w:rsidR="00C93E26" w:rsidRDefault="00114B27" w:rsidP="003D7B6D">
      <w:pPr>
        <w:ind w:firstLine="480"/>
        <w:rPr>
          <w:rFonts w:hint="eastAsia"/>
          <w:lang/>
        </w:rPr>
      </w:pPr>
      <w:r>
        <w:rPr>
          <w:rFonts w:ascii="宋体" w:hAnsi="宋体" w:hint="eastAsia"/>
        </w:rPr>
        <w:t>鉴于基金管理人为本基金的利益投资、运用基金财产过程中，可能因法律法规、税收政策的要求而成为纳税义务人，就归属于基金的投资收益、投资回报和</w:t>
      </w:r>
      <w:r>
        <w:rPr>
          <w:rFonts w:ascii="宋体" w:hAnsi="宋体"/>
        </w:rPr>
        <w:t>/或本金承担纳税义务。因此，本基金运营过程中由于上述原因发生的增值税等税负，仍由本基金财产承担，届时基金管理人与基金托管人依据税务部门要求完成税款申报缴纳。</w:t>
      </w:r>
    </w:p>
    <w:p w:rsidR="00C93E26" w:rsidRDefault="00C93E26" w:rsidP="00C93E26">
      <w:pPr>
        <w:pStyle w:val="2"/>
        <w:numPr>
          <w:ilvl w:val="1"/>
          <w:numId w:val="15"/>
        </w:numPr>
        <w:ind w:firstLine="482"/>
        <w:rPr>
          <w:rFonts w:hint="eastAsia"/>
          <w:lang w:eastAsia="zh-CN"/>
        </w:rPr>
      </w:pPr>
      <w:r w:rsidRPr="003A4C91">
        <w:rPr>
          <w:rFonts w:hint="eastAsia"/>
        </w:rPr>
        <w:t>与基金销售有关的费用</w:t>
      </w:r>
    </w:p>
    <w:p w:rsidR="00114B27" w:rsidRPr="00B30B7C" w:rsidRDefault="00114B27" w:rsidP="008D6A0F">
      <w:pPr>
        <w:ind w:firstLine="480"/>
        <w:rPr>
          <w:rFonts w:hint="eastAsia"/>
        </w:rPr>
      </w:pPr>
      <w:r w:rsidRPr="009D493B">
        <w:rPr>
          <w:rFonts w:hint="eastAsia"/>
        </w:rPr>
        <w:t>投资者在申购或赎回基金份额时，申购赎回代理机构可按照不超过</w:t>
      </w:r>
      <w:r w:rsidRPr="009D493B">
        <w:rPr>
          <w:rFonts w:hint="eastAsia"/>
        </w:rPr>
        <w:t>0.5%</w:t>
      </w:r>
      <w:r w:rsidRPr="009D493B">
        <w:rPr>
          <w:rFonts w:hint="eastAsia"/>
        </w:rPr>
        <w:t>的标准收取佣金，其中包含证券交易所、登记机构等收取的相关费用。</w:t>
      </w:r>
    </w:p>
    <w:p w:rsidR="00C93E26" w:rsidRDefault="00C93E26" w:rsidP="003D7B6D">
      <w:pPr>
        <w:ind w:firstLine="480"/>
        <w:rPr>
          <w:rFonts w:hint="eastAsia"/>
          <w:lang/>
        </w:rPr>
      </w:pPr>
    </w:p>
    <w:p w:rsidR="00C93E26" w:rsidRDefault="00C93E26" w:rsidP="00C93E26">
      <w:pPr>
        <w:pStyle w:val="1"/>
        <w:keepLines/>
        <w:numPr>
          <w:ilvl w:val="0"/>
          <w:numId w:val="15"/>
        </w:numPr>
        <w:ind w:left="0" w:firstLine="0"/>
        <w:rPr>
          <w:rFonts w:hint="eastAsia"/>
        </w:rPr>
      </w:pPr>
      <w:r>
        <w:rPr>
          <w:rFonts w:hint="eastAsia"/>
        </w:rPr>
        <w:t>对招募说明书更新部分的说明</w:t>
      </w:r>
    </w:p>
    <w:p w:rsidR="00114B27" w:rsidRDefault="00114B27" w:rsidP="003D7B6D">
      <w:pPr>
        <w:ind w:firstLine="480"/>
        <w:rPr>
          <w:rFonts w:hint="eastAsia"/>
        </w:rPr>
      </w:pPr>
      <w:r>
        <w:rPr>
          <w:rFonts w:hint="eastAsia"/>
        </w:rPr>
        <w:t>本招募说明书依据《中华人民共和国证券投资基金法》《公开募集证券投资基金运作管理办法》《证券投资基金销售管理办法》《公开募集证券投资基金信息披露管理办法》《公开募集开放式证券投资基金流动性风险管理规定》及其他有关法律法规的要求，对本基金招募说明书进行了更新，主要更新内容如下：</w:t>
      </w:r>
    </w:p>
    <w:p w:rsidR="00C93E26" w:rsidRDefault="00776CD0" w:rsidP="003D7B6D">
      <w:pPr>
        <w:ind w:firstLine="480"/>
        <w:rPr>
          <w:rFonts w:hint="eastAsia"/>
        </w:rPr>
      </w:pPr>
      <w:r w:rsidRPr="00776CD0">
        <w:rPr>
          <w:rFonts w:hint="eastAsia"/>
        </w:rPr>
        <w:t>在“第三部分</w:t>
      </w:r>
      <w:r w:rsidRPr="00776CD0">
        <w:rPr>
          <w:rFonts w:hint="eastAsia"/>
        </w:rPr>
        <w:t xml:space="preserve"> </w:t>
      </w:r>
      <w:r w:rsidRPr="00776CD0">
        <w:rPr>
          <w:rFonts w:hint="eastAsia"/>
        </w:rPr>
        <w:t>基金管理人”部分，更新了基金经理的相关信息。</w:t>
      </w:r>
    </w:p>
    <w:p w:rsidR="00C93E26" w:rsidRDefault="00C93E26" w:rsidP="003D7B6D">
      <w:pPr>
        <w:ind w:firstLine="480"/>
        <w:rPr>
          <w:rFonts w:hint="eastAsia"/>
        </w:rPr>
      </w:pPr>
    </w:p>
    <w:p w:rsidR="00C93E26" w:rsidRDefault="00C93E26" w:rsidP="003D7B6D">
      <w:pPr>
        <w:ind w:firstLine="480"/>
        <w:rPr>
          <w:rFonts w:hint="eastAsia"/>
        </w:rPr>
      </w:pPr>
    </w:p>
    <w:p w:rsidR="00C93E26" w:rsidRDefault="00C93E26" w:rsidP="003D7B6D">
      <w:pPr>
        <w:ind w:firstLine="480"/>
        <w:rPr>
          <w:rFonts w:hint="eastAsia"/>
        </w:rPr>
      </w:pPr>
    </w:p>
    <w:p w:rsidR="00C93E26" w:rsidRPr="000B40CF" w:rsidRDefault="00C93E26" w:rsidP="003D7B6D">
      <w:pPr>
        <w:ind w:firstLine="480"/>
        <w:rPr>
          <w:rFonts w:hint="eastAsia"/>
        </w:rPr>
      </w:pPr>
    </w:p>
    <w:p w:rsidR="00C93E26" w:rsidRPr="00503F2C" w:rsidRDefault="00C93E26" w:rsidP="003D7B6D">
      <w:pPr>
        <w:ind w:firstLineChars="2200" w:firstLine="5301"/>
        <w:jc w:val="right"/>
        <w:rPr>
          <w:rFonts w:ascii="宋体" w:hAnsi="宋体"/>
          <w:b/>
        </w:rPr>
      </w:pPr>
      <w:r w:rsidRPr="00503F2C">
        <w:rPr>
          <w:rFonts w:ascii="宋体" w:hAnsi="宋体"/>
          <w:b/>
        </w:rPr>
        <w:t>富国基金管理有限公司</w:t>
      </w:r>
    </w:p>
    <w:p w:rsidR="00C93E26" w:rsidRPr="00503F2C" w:rsidRDefault="00114B27" w:rsidP="003D7B6D">
      <w:pPr>
        <w:wordWrap w:val="0"/>
        <w:ind w:firstLine="482"/>
        <w:jc w:val="right"/>
        <w:rPr>
          <w:rFonts w:ascii="宋体" w:hAnsi="宋体"/>
          <w:b/>
        </w:rPr>
      </w:pPr>
      <w:r>
        <w:rPr>
          <w:rFonts w:ascii="宋体" w:hAnsi="宋体"/>
          <w:b/>
        </w:rPr>
        <w:t>2020年</w:t>
      </w:r>
      <w:r w:rsidR="00566517">
        <w:rPr>
          <w:rFonts w:ascii="宋体" w:hAnsi="宋体"/>
          <w:b/>
        </w:rPr>
        <w:t>8</w:t>
      </w:r>
      <w:r>
        <w:rPr>
          <w:rFonts w:ascii="宋体" w:hAnsi="宋体"/>
          <w:b/>
        </w:rPr>
        <w:t>月</w:t>
      </w:r>
      <w:r w:rsidR="00776CD0">
        <w:rPr>
          <w:rFonts w:ascii="宋体" w:hAnsi="宋体"/>
          <w:b/>
        </w:rPr>
        <w:t>1</w:t>
      </w:r>
      <w:r w:rsidR="00566517">
        <w:rPr>
          <w:rFonts w:ascii="宋体" w:hAnsi="宋体"/>
          <w:b/>
        </w:rPr>
        <w:t>1</w:t>
      </w:r>
      <w:r>
        <w:rPr>
          <w:rFonts w:ascii="宋体" w:hAnsi="宋体"/>
          <w:b/>
        </w:rPr>
        <w:t>日</w:t>
      </w:r>
    </w:p>
    <w:bookmarkEnd w:id="1"/>
    <w:p w:rsidR="00C93E26" w:rsidRPr="000B40CF" w:rsidRDefault="00C93E26" w:rsidP="003D7B6D">
      <w:pPr>
        <w:ind w:firstLine="480"/>
        <w:rPr>
          <w:rFonts w:hint="eastAsia"/>
        </w:rPr>
      </w:pPr>
    </w:p>
    <w:sectPr w:rsidR="00C93E26" w:rsidRPr="000B40CF" w:rsidSect="00503F2C">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C8" w:rsidRDefault="00AC48C8" w:rsidP="009B58D0">
      <w:pPr>
        <w:ind w:firstLine="480"/>
      </w:pPr>
      <w:r>
        <w:separator/>
      </w:r>
    </w:p>
  </w:endnote>
  <w:endnote w:type="continuationSeparator" w:id="0">
    <w:p w:rsidR="00AC48C8" w:rsidRDefault="00AC48C8" w:rsidP="009B58D0">
      <w:pPr>
        <w:ind w:firstLine="480"/>
      </w:pPr>
      <w:r>
        <w:continuationSeparator/>
      </w:r>
    </w:p>
  </w:endnote>
  <w:endnote w:type="continuationNotice" w:id="1">
    <w:p w:rsidR="00AC48C8" w:rsidRDefault="00AC48C8" w:rsidP="009B58D0">
      <w:pPr>
        <w:ind w:firstLine="48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FangSong">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3A" w:rsidRDefault="00E9453A" w:rsidP="009B58D0">
    <w:pPr>
      <w:pStyle w:val="a6"/>
      <w:framePr w:wrap="around" w:vAnchor="text" w:hAnchor="margin" w:xAlign="center" w:y="1"/>
      <w:ind w:firstLine="360"/>
      <w:rPr>
        <w:rStyle w:val="a4"/>
      </w:rPr>
    </w:pPr>
    <w:r>
      <w:fldChar w:fldCharType="begin"/>
    </w:r>
    <w:r>
      <w:rPr>
        <w:rStyle w:val="a4"/>
      </w:rPr>
      <w:instrText xml:space="preserve">PAGE  </w:instrText>
    </w:r>
    <w:r>
      <w:fldChar w:fldCharType="end"/>
    </w:r>
  </w:p>
  <w:p w:rsidR="00E9453A" w:rsidRDefault="00E9453A" w:rsidP="009B58D0">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3A" w:rsidRDefault="00E9453A" w:rsidP="005F4C4B">
    <w:pPr>
      <w:pStyle w:val="a6"/>
      <w:tabs>
        <w:tab w:val="clear" w:pos="8306"/>
      </w:tabs>
      <w:ind w:firstLineChars="111"/>
      <w:jc w:val="center"/>
      <w:rPr>
        <w:rFonts w:hint="eastAsia"/>
        <w:lang w:eastAsia="zh-CN"/>
      </w:rPr>
    </w:pP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413D81">
      <w:rPr>
        <w:noProof/>
        <w:lang w:eastAsia="zh-CN"/>
      </w:rPr>
      <w:t>3</w:t>
    </w:r>
    <w:r>
      <w:rPr>
        <w:lang w:eastAsia="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3A" w:rsidRDefault="00E9453A" w:rsidP="008C68C2">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3A" w:rsidRDefault="00E9453A" w:rsidP="009B58D0">
    <w:pPr>
      <w:pStyle w:val="a6"/>
      <w:ind w:firstLine="360"/>
      <w:jc w:val="center"/>
    </w:pPr>
    <w:fldSimple w:instr=" PAGE   \* MERGEFORMAT ">
      <w:r w:rsidR="00CF6EC2" w:rsidRPr="00CF6EC2">
        <w:rPr>
          <w:noProof/>
          <w:lang w:val="zh-CN" w:eastAsia="zh-CN"/>
        </w:rPr>
        <w:t>1</w:t>
      </w:r>
    </w:fldSimple>
  </w:p>
  <w:p w:rsidR="00E9453A" w:rsidRDefault="00E9453A" w:rsidP="009B58D0">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C8" w:rsidRDefault="00AC48C8" w:rsidP="009B58D0">
      <w:pPr>
        <w:ind w:firstLine="480"/>
      </w:pPr>
      <w:r>
        <w:separator/>
      </w:r>
    </w:p>
  </w:footnote>
  <w:footnote w:type="continuationSeparator" w:id="0">
    <w:p w:rsidR="00AC48C8" w:rsidRDefault="00AC48C8" w:rsidP="009B58D0">
      <w:pPr>
        <w:ind w:firstLine="480"/>
      </w:pPr>
      <w:r>
        <w:continuationSeparator/>
      </w:r>
    </w:p>
  </w:footnote>
  <w:footnote w:type="continuationNotice" w:id="1">
    <w:p w:rsidR="00AC48C8" w:rsidRDefault="00AC48C8" w:rsidP="009B58D0">
      <w:pPr>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3A" w:rsidRDefault="00E9453A" w:rsidP="008C68C2">
    <w:pPr>
      <w:pStyle w:val="af1"/>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3A" w:rsidRDefault="00E9453A" w:rsidP="009B58D0">
    <w:pPr>
      <w:pStyle w:val="af1"/>
      <w:ind w:firstLine="360"/>
      <w:jc w:val="right"/>
      <w:rPr>
        <w:rFonts w:ascii="华文行楷" w:eastAsia="华文行楷"/>
        <w:sz w:val="21"/>
        <w:szCs w:val="21"/>
      </w:rPr>
    </w:pPr>
    <w:r>
      <w:rPr>
        <w:rFonts w:ascii="华文行楷" w:eastAsia="华文行楷" w:hint="eastAsia"/>
        <w:szCs w:val="21"/>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49" type="#_x0000_t75" style="position:absolute;left:0;text-align:left;margin-left:-2.4pt;margin-top:-5.05pt;width:114.7pt;height:18.85pt;z-index:251658240">
          <v:imagedata r:id="rId1" o:title=""/>
        </v:shape>
      </w:pict>
    </w:r>
    <w:r>
      <w:rPr>
        <w:rFonts w:ascii="华文行楷" w:eastAsia="华文行楷" w:hint="eastAsia"/>
        <w:szCs w:val="21"/>
        <w:lang w:val="en-US" w:eastAsia="zh-CN"/>
      </w:rPr>
      <w:pict>
        <v:shape id="图片 3" o:spid="_x0000_s2050" type="#_x0000_t75" alt="Logo" style="position:absolute;left:0;text-align:left;margin-left:0;margin-top:-1.75pt;width:99.75pt;height:18.75pt;z-index:-251660288" o:allowoverlap="f">
          <v:imagedata r:id="rId2" o:title="Logo" gain="2147483647f"/>
          <w10:wrap type="square"/>
        </v:shape>
      </w:pict>
    </w:r>
    <w:r>
      <w:rPr>
        <w:rFonts w:ascii="华文行楷" w:eastAsia="华文行楷" w:hint="eastAsia"/>
        <w:sz w:val="21"/>
        <w:szCs w:val="21"/>
      </w:rPr>
      <w:t>招募说明书（更新）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3A" w:rsidRDefault="00E9453A" w:rsidP="009B58D0">
    <w:pPr>
      <w:pStyle w:val="af1"/>
      <w:ind w:firstLine="360"/>
      <w:jc w:val="right"/>
      <w:rPr>
        <w:rFonts w:ascii="华文行楷" w:eastAsia="华文行楷"/>
        <w:sz w:val="21"/>
        <w:szCs w:val="21"/>
      </w:rPr>
    </w:pPr>
    <w:r>
      <w:rPr>
        <w:rFonts w:ascii="华文行楷" w:eastAsia="华文行楷" w:hint="eastAsia"/>
        <w:szCs w:val="21"/>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2051" type="#_x0000_t75" style="position:absolute;left:0;text-align:left;margin-left:0;margin-top:-3.65pt;width:114.7pt;height:18.85pt;z-index:251659264">
          <v:imagedata r:id="rId1" o:title=""/>
        </v:shape>
      </w:pict>
    </w:r>
    <w:r>
      <w:rPr>
        <w:rFonts w:ascii="华文行楷" w:eastAsia="华文行楷" w:hint="eastAsia"/>
        <w:szCs w:val="21"/>
        <w:lang w:val="en-US" w:eastAsia="zh-CN"/>
      </w:rPr>
      <w:pict>
        <v:shape id="图片 4" o:spid="_x0000_s2052" type="#_x0000_t75" alt="Logo" style="position:absolute;left:0;text-align:left;margin-left:0;margin-top:-1.75pt;width:99.75pt;height:18.75pt;z-index:-251659264" o:allowoverlap="f">
          <v:imagedata r:id="rId2" o:title="Logo" gain="2147483647f"/>
          <w10:wrap type="square"/>
        </v:shape>
      </w:pict>
    </w:r>
    <w:r>
      <w:rPr>
        <w:rFonts w:ascii="华文行楷" w:eastAsia="华文行楷" w:hint="eastAsia"/>
        <w:sz w:val="21"/>
        <w:szCs w:val="21"/>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720"/>
      </w:pPr>
      <w:rPr>
        <w:rFonts w:ascii="Symbol" w:hAnsi="Symbol" w:hint="default"/>
      </w:rPr>
    </w:lvl>
  </w:abstractNum>
  <w:abstractNum w:abstractNumId="1">
    <w:nsid w:val="00000003"/>
    <w:multiLevelType w:val="multilevel"/>
    <w:tmpl w:val="00000003"/>
    <w:lvl w:ilvl="0">
      <w:start w:val="1"/>
      <w:numFmt w:val="decimal"/>
      <w:suff w:val="nothing"/>
      <w:lvlText w:val="Anne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0000004"/>
    <w:multiLevelType w:val="multilevel"/>
    <w:tmpl w:val="00000004"/>
    <w:lvl w:ilvl="0">
      <w:start w:val="1"/>
      <w:numFmt w:val="none"/>
      <w:suff w:val="nothing"/>
      <w:lvlText w:val=""/>
      <w:lvlJc w:val="left"/>
      <w:pPr>
        <w:ind w:left="1260" w:firstLine="0"/>
      </w:pPr>
    </w:lvl>
    <w:lvl w:ilvl="1">
      <w:start w:val="1"/>
      <w:numFmt w:val="none"/>
      <w:suff w:val="nothing"/>
      <w:lvlText w:val=""/>
      <w:lvlJc w:val="left"/>
      <w:pPr>
        <w:ind w:left="1980" w:firstLine="0"/>
      </w:pPr>
    </w:lvl>
    <w:lvl w:ilvl="2">
      <w:start w:val="1"/>
      <w:numFmt w:val="none"/>
      <w:suff w:val="nothing"/>
      <w:lvlText w:val=""/>
      <w:lvlJc w:val="left"/>
      <w:pPr>
        <w:ind w:left="2700" w:firstLine="0"/>
      </w:pPr>
    </w:lvl>
    <w:lvl w:ilvl="3">
      <w:start w:val="1"/>
      <w:numFmt w:val="none"/>
      <w:suff w:val="nothing"/>
      <w:lvlText w:val=""/>
      <w:lvlJc w:val="left"/>
      <w:pPr>
        <w:ind w:left="3420" w:firstLine="0"/>
      </w:pPr>
    </w:lvl>
    <w:lvl w:ilvl="4">
      <w:start w:val="1"/>
      <w:numFmt w:val="none"/>
      <w:suff w:val="nothing"/>
      <w:lvlText w:val=""/>
      <w:lvlJc w:val="left"/>
      <w:pPr>
        <w:ind w:left="4140" w:firstLine="0"/>
      </w:pPr>
    </w:lvl>
    <w:lvl w:ilvl="5">
      <w:start w:val="1"/>
      <w:numFmt w:val="none"/>
      <w:suff w:val="nothing"/>
      <w:lvlText w:val=""/>
      <w:lvlJc w:val="left"/>
      <w:pPr>
        <w:ind w:left="4860" w:firstLine="0"/>
      </w:pPr>
    </w:lvl>
    <w:lvl w:ilvl="6">
      <w:start w:val="1"/>
      <w:numFmt w:val="none"/>
      <w:suff w:val="nothing"/>
      <w:lvlText w:val=""/>
      <w:lvlJc w:val="left"/>
      <w:pPr>
        <w:ind w:left="5580" w:firstLine="0"/>
      </w:pPr>
    </w:lvl>
    <w:lvl w:ilvl="7">
      <w:start w:val="1"/>
      <w:numFmt w:val="none"/>
      <w:suff w:val="nothing"/>
      <w:lvlText w:val=""/>
      <w:lvlJc w:val="left"/>
      <w:pPr>
        <w:ind w:left="6300" w:firstLine="0"/>
      </w:pPr>
    </w:lvl>
    <w:lvl w:ilvl="8">
      <w:start w:val="1"/>
      <w:numFmt w:val="none"/>
      <w:suff w:val="nothing"/>
      <w:lvlText w:val=""/>
      <w:lvlJc w:val="left"/>
      <w:pPr>
        <w:ind w:left="7020" w:firstLine="0"/>
      </w:pPr>
    </w:lvl>
  </w:abstractNum>
  <w:abstractNum w:abstractNumId="3">
    <w:nsid w:val="00000007"/>
    <w:multiLevelType w:val="multilevel"/>
    <w:tmpl w:val="00000007"/>
    <w:lvl w:ilvl="0">
      <w:start w:val="1"/>
      <w:numFmt w:val="decimal"/>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0000008"/>
    <w:multiLevelType w:val="multilevel"/>
    <w:tmpl w:val="00000008"/>
    <w:lvl w:ilvl="0">
      <w:start w:val="1"/>
      <w:numFmt w:val="decimal"/>
      <w:suff w:val="nothing"/>
      <w:lvlText w:val="Schedule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nsid w:val="00000009"/>
    <w:multiLevelType w:val="multilevel"/>
    <w:tmpl w:val="00000009"/>
    <w:lvl w:ilvl="0">
      <w:start w:val="1"/>
      <w:numFmt w:val="decimal"/>
      <w:suff w:val="nothing"/>
      <w:lvlText w:val="Appendi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000000A"/>
    <w:multiLevelType w:val="multilevel"/>
    <w:tmpl w:val="000000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0000000C"/>
    <w:multiLevelType w:val="singleLevel"/>
    <w:tmpl w:val="0000000C"/>
    <w:lvl w:ilvl="0">
      <w:start w:val="7"/>
      <w:numFmt w:val="chineseCounting"/>
      <w:suff w:val="nothing"/>
      <w:lvlText w:val="（%1）"/>
      <w:lvlJc w:val="left"/>
    </w:lvl>
  </w:abstractNum>
  <w:abstractNum w:abstractNumId="8">
    <w:nsid w:val="00000016"/>
    <w:multiLevelType w:val="multilevel"/>
    <w:tmpl w:val="00000016"/>
    <w:lvl w:ilvl="0">
      <w:start w:val="1"/>
      <w:numFmt w:val="upperLetter"/>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nsid w:val="00000017"/>
    <w:multiLevelType w:val="multilevel"/>
    <w:tmpl w:val="5D2844CA"/>
    <w:lvl w:ilvl="0">
      <w:start w:val="1"/>
      <w:numFmt w:val="chineseCountingThousand"/>
      <w:pStyle w:val="1"/>
      <w:suff w:val="space"/>
      <w:lvlText w:val="第%1部分"/>
      <w:lvlJc w:val="left"/>
      <w:pPr>
        <w:ind w:left="720" w:hanging="720"/>
      </w:pPr>
      <w:rPr>
        <w:rFonts w:hint="default"/>
      </w:rPr>
    </w:lvl>
    <w:lvl w:ilvl="1">
      <w:start w:val="1"/>
      <w:numFmt w:val="chineseCountingThousand"/>
      <w:pStyle w:val="2"/>
      <w:suff w:val="space"/>
      <w:lvlText w:val="%2、"/>
      <w:lvlJc w:val="left"/>
      <w:pPr>
        <w:ind w:left="0" w:firstLine="0"/>
      </w:pPr>
      <w:rPr>
        <w:rFonts w:hint="eastAsia"/>
      </w:rPr>
    </w:lvl>
    <w:lvl w:ilvl="2">
      <w:start w:val="1"/>
      <w:numFmt w:val="chineseCountingThousand"/>
      <w:pStyle w:val="3"/>
      <w:suff w:val="space"/>
      <w:lvlText w:val="（%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1B"/>
    <w:multiLevelType w:val="multilevel"/>
    <w:tmpl w:val="0000001B"/>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nsid w:val="0000001C"/>
    <w:multiLevelType w:val="multilevel"/>
    <w:tmpl w:val="9FC4A1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1D"/>
    <w:multiLevelType w:val="singleLevel"/>
    <w:tmpl w:val="0000001D"/>
    <w:lvl w:ilvl="0">
      <w:start w:val="1"/>
      <w:numFmt w:val="decimal"/>
      <w:lvlText w:val="(%1)"/>
      <w:lvlJc w:val="left"/>
      <w:pPr>
        <w:tabs>
          <w:tab w:val="num" w:pos="907"/>
        </w:tabs>
        <w:ind w:left="907" w:hanging="482"/>
      </w:pPr>
    </w:lvl>
  </w:abstractNum>
  <w:abstractNum w:abstractNumId="13">
    <w:nsid w:val="0000001E"/>
    <w:multiLevelType w:val="multilevel"/>
    <w:tmpl w:val="0000001E"/>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4">
    <w:nsid w:val="41050F44"/>
    <w:multiLevelType w:val="hybridMultilevel"/>
    <w:tmpl w:val="6E726434"/>
    <w:lvl w:ilvl="0" w:tplc="D4B26028">
      <w:start w:val="1"/>
      <w:numFmt w:val="decimal"/>
      <w:lvlText w:val="%1"/>
      <w:lvlJc w:val="center"/>
      <w:pPr>
        <w:tabs>
          <w:tab w:val="num" w:pos="0"/>
        </w:tabs>
        <w:ind w:left="0" w:firstLine="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4D8247F"/>
    <w:multiLevelType w:val="multilevel"/>
    <w:tmpl w:val="54D8247F"/>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5CA91A40"/>
    <w:multiLevelType w:val="multilevel"/>
    <w:tmpl w:val="F0708132"/>
    <w:lvl w:ilvl="0">
      <w:start w:val="1"/>
      <w:numFmt w:val="chineseCountingThousand"/>
      <w:suff w:val="space"/>
      <w:lvlText w:val="第%1部分"/>
      <w:lvlJc w:val="left"/>
      <w:pPr>
        <w:ind w:left="720" w:hanging="720"/>
      </w:pPr>
      <w:rPr>
        <w:rFonts w:hint="default"/>
      </w:rPr>
    </w:lvl>
    <w:lvl w:ilvl="1">
      <w:start w:val="1"/>
      <w:numFmt w:val="chineseCountingThousand"/>
      <w:suff w:val="space"/>
      <w:lvlText w:val="%2、"/>
      <w:lvlJc w:val="left"/>
      <w:pPr>
        <w:ind w:left="840" w:hanging="840"/>
      </w:pPr>
      <w:rPr>
        <w:rFonts w:hint="eastAsia"/>
      </w:rPr>
    </w:lvl>
    <w:lvl w:ilvl="2">
      <w:start w:val="1"/>
      <w:numFmt w:val="chineseCountingThousand"/>
      <w:suff w:val="space"/>
      <w:lvlText w:val="（%3）"/>
      <w:lvlJc w:val="left"/>
      <w:pPr>
        <w:ind w:left="2268" w:hanging="1134"/>
      </w:pPr>
      <w:rPr>
        <w:rFonts w:hint="eastAsia"/>
      </w:rPr>
    </w:lvl>
    <w:lvl w:ilvl="3">
      <w:start w:val="1"/>
      <w:numFmt w:val="decimal"/>
      <w:pStyle w:val="4"/>
      <w:lvlText w:val="%4."/>
      <w:lvlJc w:val="left"/>
      <w:pPr>
        <w:ind w:left="0" w:firstLine="0"/>
      </w:pPr>
      <w:rPr>
        <w:rFonts w:hint="eastAsia"/>
      </w:rPr>
    </w:lvl>
    <w:lvl w:ilvl="4">
      <w:start w:val="1"/>
      <w:numFmt w:val="decimal"/>
      <w:pStyle w:val="5"/>
      <w:suff w:val="space"/>
      <w:lvlText w:val="（%5）"/>
      <w:lvlJc w:val="left"/>
      <w:pPr>
        <w:ind w:left="0" w:firstLine="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11"/>
  </w:num>
  <w:num w:numId="2">
    <w:abstractNumId w:val="2"/>
  </w:num>
  <w:num w:numId="3">
    <w:abstractNumId w:val="15"/>
  </w:num>
  <w:num w:numId="4">
    <w:abstractNumId w:val="0"/>
  </w:num>
  <w:num w:numId="5">
    <w:abstractNumId w:val="1"/>
  </w:num>
  <w:num w:numId="6">
    <w:abstractNumId w:val="5"/>
  </w:num>
  <w:num w:numId="7">
    <w:abstractNumId w:val="3"/>
  </w:num>
  <w:num w:numId="8">
    <w:abstractNumId w:val="13"/>
  </w:num>
  <w:num w:numId="9">
    <w:abstractNumId w:val="10"/>
  </w:num>
  <w:num w:numId="10">
    <w:abstractNumId w:val="6"/>
  </w:num>
  <w:num w:numId="11">
    <w:abstractNumId w:val="8"/>
  </w:num>
  <w:num w:numId="12">
    <w:abstractNumId w:val="4"/>
  </w:num>
  <w:num w:numId="13">
    <w:abstractNumId w:val="12"/>
  </w:num>
  <w:num w:numId="14">
    <w:abstractNumId w:val="16"/>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16"/>
  </w:num>
  <w:num w:numId="22">
    <w:abstractNumId w:val="16"/>
  </w:num>
  <w:num w:numId="23">
    <w:abstractNumId w:val="11"/>
  </w:num>
  <w:num w:numId="24">
    <w:abstractNumId w:val="11"/>
  </w:num>
  <w:num w:numId="25">
    <w:abstractNumId w:val="11"/>
  </w:num>
  <w:num w:numId="26">
    <w:abstractNumId w:val="11"/>
  </w:num>
  <w:num w:numId="27">
    <w:abstractNumId w:val="9"/>
  </w:num>
  <w:num w:numId="28">
    <w:abstractNumId w:val="9"/>
  </w:num>
  <w:num w:numId="29">
    <w:abstractNumId w:val="14"/>
  </w:num>
  <w:num w:numId="30">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ASTDURATION" w:val="0001年01月01日至0001年01月01日"/>
    <w:docVar w:name="LASTENDDATE" w:val="0001年01月01日"/>
    <w:docVar w:name="LASTSTARTDATE" w:val="0001年01月01日"/>
    <w:docVar w:name="THISDURATION" w:val="2019年01月21日至2020年01月20日"/>
    <w:docVar w:name="THISENDDATE" w:val="2020年01月20日"/>
    <w:docVar w:name="THISSTARTDATE" w:val="2019年01月21日"/>
  </w:docVars>
  <w:rsids>
    <w:rsidRoot w:val="00A5148D"/>
    <w:rsid w:val="0000478E"/>
    <w:rsid w:val="00005E62"/>
    <w:rsid w:val="000068BF"/>
    <w:rsid w:val="000079C0"/>
    <w:rsid w:val="00007CC0"/>
    <w:rsid w:val="000115E2"/>
    <w:rsid w:val="00011939"/>
    <w:rsid w:val="00012C4D"/>
    <w:rsid w:val="0001416B"/>
    <w:rsid w:val="000211D3"/>
    <w:rsid w:val="00022304"/>
    <w:rsid w:val="00025236"/>
    <w:rsid w:val="000255D9"/>
    <w:rsid w:val="000256BD"/>
    <w:rsid w:val="00032854"/>
    <w:rsid w:val="00033AC8"/>
    <w:rsid w:val="00033ECF"/>
    <w:rsid w:val="00034E54"/>
    <w:rsid w:val="0003646F"/>
    <w:rsid w:val="0003751F"/>
    <w:rsid w:val="00042191"/>
    <w:rsid w:val="000445D4"/>
    <w:rsid w:val="00050749"/>
    <w:rsid w:val="00052822"/>
    <w:rsid w:val="00054472"/>
    <w:rsid w:val="00060929"/>
    <w:rsid w:val="00060A64"/>
    <w:rsid w:val="0006207B"/>
    <w:rsid w:val="000630DA"/>
    <w:rsid w:val="00064C4D"/>
    <w:rsid w:val="00066F76"/>
    <w:rsid w:val="00067DA1"/>
    <w:rsid w:val="0007399D"/>
    <w:rsid w:val="00074B5D"/>
    <w:rsid w:val="00075FC9"/>
    <w:rsid w:val="000776BF"/>
    <w:rsid w:val="00077A6C"/>
    <w:rsid w:val="0008187E"/>
    <w:rsid w:val="00082152"/>
    <w:rsid w:val="000859BC"/>
    <w:rsid w:val="00087076"/>
    <w:rsid w:val="00096FCD"/>
    <w:rsid w:val="000974ED"/>
    <w:rsid w:val="000A0669"/>
    <w:rsid w:val="000A0B7B"/>
    <w:rsid w:val="000A32BA"/>
    <w:rsid w:val="000A47A7"/>
    <w:rsid w:val="000B2119"/>
    <w:rsid w:val="000B4FD3"/>
    <w:rsid w:val="000C1E32"/>
    <w:rsid w:val="000D0A48"/>
    <w:rsid w:val="000D14E0"/>
    <w:rsid w:val="000D4698"/>
    <w:rsid w:val="000E153D"/>
    <w:rsid w:val="000E3EEE"/>
    <w:rsid w:val="000E7213"/>
    <w:rsid w:val="000F06C6"/>
    <w:rsid w:val="000F3E5E"/>
    <w:rsid w:val="000F67B8"/>
    <w:rsid w:val="00102C58"/>
    <w:rsid w:val="00113799"/>
    <w:rsid w:val="00113BF0"/>
    <w:rsid w:val="00114B27"/>
    <w:rsid w:val="001150B5"/>
    <w:rsid w:val="001178C9"/>
    <w:rsid w:val="00122FC3"/>
    <w:rsid w:val="001231C5"/>
    <w:rsid w:val="0012734C"/>
    <w:rsid w:val="00127E05"/>
    <w:rsid w:val="00131DB3"/>
    <w:rsid w:val="00134068"/>
    <w:rsid w:val="0013753A"/>
    <w:rsid w:val="0014165E"/>
    <w:rsid w:val="00146676"/>
    <w:rsid w:val="0014757A"/>
    <w:rsid w:val="001530D2"/>
    <w:rsid w:val="00153F36"/>
    <w:rsid w:val="00156DB1"/>
    <w:rsid w:val="0016024E"/>
    <w:rsid w:val="00160DAE"/>
    <w:rsid w:val="001644A4"/>
    <w:rsid w:val="00166B78"/>
    <w:rsid w:val="001678FB"/>
    <w:rsid w:val="00170EF1"/>
    <w:rsid w:val="00172A27"/>
    <w:rsid w:val="001742C5"/>
    <w:rsid w:val="001750E8"/>
    <w:rsid w:val="00180A5D"/>
    <w:rsid w:val="00181730"/>
    <w:rsid w:val="001852B8"/>
    <w:rsid w:val="00191A2D"/>
    <w:rsid w:val="00194C9E"/>
    <w:rsid w:val="001A1E18"/>
    <w:rsid w:val="001A43D8"/>
    <w:rsid w:val="001A6FE1"/>
    <w:rsid w:val="001B35B7"/>
    <w:rsid w:val="001B4EB3"/>
    <w:rsid w:val="001B6303"/>
    <w:rsid w:val="001B6E7C"/>
    <w:rsid w:val="001C25C1"/>
    <w:rsid w:val="001C56D8"/>
    <w:rsid w:val="001D1E0E"/>
    <w:rsid w:val="001D1F8C"/>
    <w:rsid w:val="001D6170"/>
    <w:rsid w:val="001D6C39"/>
    <w:rsid w:val="001E3AA3"/>
    <w:rsid w:val="001E53FD"/>
    <w:rsid w:val="001E7844"/>
    <w:rsid w:val="001E7F3B"/>
    <w:rsid w:val="001F0FF1"/>
    <w:rsid w:val="001F1829"/>
    <w:rsid w:val="001F1D91"/>
    <w:rsid w:val="00204517"/>
    <w:rsid w:val="00205C5E"/>
    <w:rsid w:val="002067A6"/>
    <w:rsid w:val="00210722"/>
    <w:rsid w:val="00212354"/>
    <w:rsid w:val="00214619"/>
    <w:rsid w:val="002153CE"/>
    <w:rsid w:val="002163A4"/>
    <w:rsid w:val="002179D9"/>
    <w:rsid w:val="00224DFA"/>
    <w:rsid w:val="00224EA1"/>
    <w:rsid w:val="00225D72"/>
    <w:rsid w:val="00225FF0"/>
    <w:rsid w:val="002279EF"/>
    <w:rsid w:val="002313F3"/>
    <w:rsid w:val="00231C8F"/>
    <w:rsid w:val="00233B3F"/>
    <w:rsid w:val="00235DFE"/>
    <w:rsid w:val="00240ADC"/>
    <w:rsid w:val="0024271B"/>
    <w:rsid w:val="0024697F"/>
    <w:rsid w:val="0024702F"/>
    <w:rsid w:val="002502B9"/>
    <w:rsid w:val="00252E8E"/>
    <w:rsid w:val="0025476C"/>
    <w:rsid w:val="0025481A"/>
    <w:rsid w:val="0025559C"/>
    <w:rsid w:val="00255950"/>
    <w:rsid w:val="002559C3"/>
    <w:rsid w:val="00257AC7"/>
    <w:rsid w:val="00262EFE"/>
    <w:rsid w:val="00264612"/>
    <w:rsid w:val="00265C35"/>
    <w:rsid w:val="002672AE"/>
    <w:rsid w:val="002756BB"/>
    <w:rsid w:val="002768D8"/>
    <w:rsid w:val="00280822"/>
    <w:rsid w:val="00281350"/>
    <w:rsid w:val="00282E9E"/>
    <w:rsid w:val="00283125"/>
    <w:rsid w:val="00283D68"/>
    <w:rsid w:val="00283E84"/>
    <w:rsid w:val="00287231"/>
    <w:rsid w:val="00287C4F"/>
    <w:rsid w:val="00290267"/>
    <w:rsid w:val="0029469B"/>
    <w:rsid w:val="002956A0"/>
    <w:rsid w:val="00295B29"/>
    <w:rsid w:val="00296466"/>
    <w:rsid w:val="002966F3"/>
    <w:rsid w:val="002975E7"/>
    <w:rsid w:val="00297CA9"/>
    <w:rsid w:val="002A287E"/>
    <w:rsid w:val="002A318F"/>
    <w:rsid w:val="002A498B"/>
    <w:rsid w:val="002B7172"/>
    <w:rsid w:val="002B7C7D"/>
    <w:rsid w:val="002C0004"/>
    <w:rsid w:val="002C15DD"/>
    <w:rsid w:val="002C1C20"/>
    <w:rsid w:val="002C1FED"/>
    <w:rsid w:val="002C2985"/>
    <w:rsid w:val="002C3D3A"/>
    <w:rsid w:val="002C4552"/>
    <w:rsid w:val="002C5768"/>
    <w:rsid w:val="002C5CC4"/>
    <w:rsid w:val="002C67B7"/>
    <w:rsid w:val="002C7A46"/>
    <w:rsid w:val="002D1211"/>
    <w:rsid w:val="002D2B1B"/>
    <w:rsid w:val="002D39B8"/>
    <w:rsid w:val="002D42AD"/>
    <w:rsid w:val="002D5672"/>
    <w:rsid w:val="002D56D6"/>
    <w:rsid w:val="002D7C52"/>
    <w:rsid w:val="002E0CE5"/>
    <w:rsid w:val="002E2D73"/>
    <w:rsid w:val="002E6C77"/>
    <w:rsid w:val="002E71B0"/>
    <w:rsid w:val="002E793B"/>
    <w:rsid w:val="002F01D9"/>
    <w:rsid w:val="002F18E4"/>
    <w:rsid w:val="002F3F64"/>
    <w:rsid w:val="002F3F89"/>
    <w:rsid w:val="00302171"/>
    <w:rsid w:val="003061E5"/>
    <w:rsid w:val="00306495"/>
    <w:rsid w:val="00310719"/>
    <w:rsid w:val="0031360B"/>
    <w:rsid w:val="0032034B"/>
    <w:rsid w:val="003229BA"/>
    <w:rsid w:val="0032710F"/>
    <w:rsid w:val="00337EB6"/>
    <w:rsid w:val="003405C1"/>
    <w:rsid w:val="00341EB9"/>
    <w:rsid w:val="00344CB6"/>
    <w:rsid w:val="0034520F"/>
    <w:rsid w:val="003465A4"/>
    <w:rsid w:val="00350A8F"/>
    <w:rsid w:val="00353F17"/>
    <w:rsid w:val="00363EB0"/>
    <w:rsid w:val="0037025F"/>
    <w:rsid w:val="003746BB"/>
    <w:rsid w:val="00375A16"/>
    <w:rsid w:val="00387F63"/>
    <w:rsid w:val="00392900"/>
    <w:rsid w:val="003A318F"/>
    <w:rsid w:val="003B5E11"/>
    <w:rsid w:val="003B6EF1"/>
    <w:rsid w:val="003C23A1"/>
    <w:rsid w:val="003C272B"/>
    <w:rsid w:val="003C62BD"/>
    <w:rsid w:val="003C7047"/>
    <w:rsid w:val="003C724E"/>
    <w:rsid w:val="003D0CFC"/>
    <w:rsid w:val="003D5A1E"/>
    <w:rsid w:val="003D60A5"/>
    <w:rsid w:val="003D7A62"/>
    <w:rsid w:val="003D7B6D"/>
    <w:rsid w:val="003E1A07"/>
    <w:rsid w:val="003E3DB0"/>
    <w:rsid w:val="003F4993"/>
    <w:rsid w:val="00400003"/>
    <w:rsid w:val="004013A5"/>
    <w:rsid w:val="00401577"/>
    <w:rsid w:val="004039F3"/>
    <w:rsid w:val="004121A2"/>
    <w:rsid w:val="0041338E"/>
    <w:rsid w:val="00413D81"/>
    <w:rsid w:val="00424A6C"/>
    <w:rsid w:val="00431FE2"/>
    <w:rsid w:val="004338B3"/>
    <w:rsid w:val="0044439C"/>
    <w:rsid w:val="00444945"/>
    <w:rsid w:val="00450C7E"/>
    <w:rsid w:val="00451D1C"/>
    <w:rsid w:val="00453C86"/>
    <w:rsid w:val="00454074"/>
    <w:rsid w:val="004555AE"/>
    <w:rsid w:val="00460205"/>
    <w:rsid w:val="0046299B"/>
    <w:rsid w:val="00463965"/>
    <w:rsid w:val="00463F0D"/>
    <w:rsid w:val="00465198"/>
    <w:rsid w:val="00467D7D"/>
    <w:rsid w:val="0047017D"/>
    <w:rsid w:val="00470184"/>
    <w:rsid w:val="00470B8E"/>
    <w:rsid w:val="00470FA8"/>
    <w:rsid w:val="004723F4"/>
    <w:rsid w:val="004807E2"/>
    <w:rsid w:val="0048185A"/>
    <w:rsid w:val="0048343D"/>
    <w:rsid w:val="00483BBC"/>
    <w:rsid w:val="00484C2E"/>
    <w:rsid w:val="0048522A"/>
    <w:rsid w:val="0048738D"/>
    <w:rsid w:val="00491594"/>
    <w:rsid w:val="004C0812"/>
    <w:rsid w:val="004C3023"/>
    <w:rsid w:val="004C39A1"/>
    <w:rsid w:val="004C3C52"/>
    <w:rsid w:val="004C5A5F"/>
    <w:rsid w:val="004C6464"/>
    <w:rsid w:val="004C75B3"/>
    <w:rsid w:val="004D24AE"/>
    <w:rsid w:val="004E1A0F"/>
    <w:rsid w:val="004E40AF"/>
    <w:rsid w:val="004E6631"/>
    <w:rsid w:val="004F2ACD"/>
    <w:rsid w:val="004F3042"/>
    <w:rsid w:val="004F3384"/>
    <w:rsid w:val="00500ED2"/>
    <w:rsid w:val="005032A1"/>
    <w:rsid w:val="00503AF2"/>
    <w:rsid w:val="00503F2C"/>
    <w:rsid w:val="00505900"/>
    <w:rsid w:val="00506260"/>
    <w:rsid w:val="0051147E"/>
    <w:rsid w:val="00515BEE"/>
    <w:rsid w:val="005177A6"/>
    <w:rsid w:val="00522258"/>
    <w:rsid w:val="005224A9"/>
    <w:rsid w:val="005236AD"/>
    <w:rsid w:val="005243ED"/>
    <w:rsid w:val="005245FA"/>
    <w:rsid w:val="00526563"/>
    <w:rsid w:val="005323EA"/>
    <w:rsid w:val="00534D8D"/>
    <w:rsid w:val="00536830"/>
    <w:rsid w:val="00543420"/>
    <w:rsid w:val="00550987"/>
    <w:rsid w:val="005509D1"/>
    <w:rsid w:val="00553E22"/>
    <w:rsid w:val="00556A20"/>
    <w:rsid w:val="00557943"/>
    <w:rsid w:val="00560B5F"/>
    <w:rsid w:val="00563346"/>
    <w:rsid w:val="0056340F"/>
    <w:rsid w:val="00563B8F"/>
    <w:rsid w:val="00566427"/>
    <w:rsid w:val="00566517"/>
    <w:rsid w:val="00570071"/>
    <w:rsid w:val="00570BCB"/>
    <w:rsid w:val="00573E76"/>
    <w:rsid w:val="0057421A"/>
    <w:rsid w:val="00587542"/>
    <w:rsid w:val="00587E75"/>
    <w:rsid w:val="0059031D"/>
    <w:rsid w:val="00592AD6"/>
    <w:rsid w:val="005A0302"/>
    <w:rsid w:val="005A12D3"/>
    <w:rsid w:val="005A4CF8"/>
    <w:rsid w:val="005A6704"/>
    <w:rsid w:val="005C2E4E"/>
    <w:rsid w:val="005C4A73"/>
    <w:rsid w:val="005D23CD"/>
    <w:rsid w:val="005D33DC"/>
    <w:rsid w:val="005D3863"/>
    <w:rsid w:val="005D3B23"/>
    <w:rsid w:val="005D3DD5"/>
    <w:rsid w:val="005D5462"/>
    <w:rsid w:val="005D5B09"/>
    <w:rsid w:val="005D67C4"/>
    <w:rsid w:val="005D757D"/>
    <w:rsid w:val="005E242A"/>
    <w:rsid w:val="005E33FE"/>
    <w:rsid w:val="005E401A"/>
    <w:rsid w:val="005E4990"/>
    <w:rsid w:val="005E6A8F"/>
    <w:rsid w:val="005E6CFB"/>
    <w:rsid w:val="005F1250"/>
    <w:rsid w:val="005F3B4B"/>
    <w:rsid w:val="005F4C4B"/>
    <w:rsid w:val="005F6ED6"/>
    <w:rsid w:val="006004BA"/>
    <w:rsid w:val="00605403"/>
    <w:rsid w:val="00606FED"/>
    <w:rsid w:val="00607280"/>
    <w:rsid w:val="00610A2C"/>
    <w:rsid w:val="00610E4A"/>
    <w:rsid w:val="00615D54"/>
    <w:rsid w:val="00616C39"/>
    <w:rsid w:val="00620D6F"/>
    <w:rsid w:val="00623CAD"/>
    <w:rsid w:val="006254B0"/>
    <w:rsid w:val="006263AB"/>
    <w:rsid w:val="0062778F"/>
    <w:rsid w:val="00630208"/>
    <w:rsid w:val="00633A2F"/>
    <w:rsid w:val="00635027"/>
    <w:rsid w:val="00635880"/>
    <w:rsid w:val="00636BD4"/>
    <w:rsid w:val="00640E3E"/>
    <w:rsid w:val="006410F6"/>
    <w:rsid w:val="00645D5C"/>
    <w:rsid w:val="006475B6"/>
    <w:rsid w:val="00650727"/>
    <w:rsid w:val="006511FF"/>
    <w:rsid w:val="00652DAC"/>
    <w:rsid w:val="00653A6D"/>
    <w:rsid w:val="0065580D"/>
    <w:rsid w:val="00656CB2"/>
    <w:rsid w:val="00657056"/>
    <w:rsid w:val="0065731D"/>
    <w:rsid w:val="00661BF7"/>
    <w:rsid w:val="00662376"/>
    <w:rsid w:val="006648A2"/>
    <w:rsid w:val="006720FF"/>
    <w:rsid w:val="00674D0D"/>
    <w:rsid w:val="006846D9"/>
    <w:rsid w:val="00684B40"/>
    <w:rsid w:val="006901E2"/>
    <w:rsid w:val="00693164"/>
    <w:rsid w:val="00694655"/>
    <w:rsid w:val="00694B11"/>
    <w:rsid w:val="00695C6E"/>
    <w:rsid w:val="00696577"/>
    <w:rsid w:val="006A02D3"/>
    <w:rsid w:val="006A1B74"/>
    <w:rsid w:val="006B1093"/>
    <w:rsid w:val="006B2857"/>
    <w:rsid w:val="006B3B07"/>
    <w:rsid w:val="006C0B2F"/>
    <w:rsid w:val="006C29CC"/>
    <w:rsid w:val="006C3E63"/>
    <w:rsid w:val="006C481F"/>
    <w:rsid w:val="006C6868"/>
    <w:rsid w:val="006C6B85"/>
    <w:rsid w:val="006D5370"/>
    <w:rsid w:val="006E7939"/>
    <w:rsid w:val="006E7CAA"/>
    <w:rsid w:val="006F2F47"/>
    <w:rsid w:val="006F3E32"/>
    <w:rsid w:val="006F49FA"/>
    <w:rsid w:val="006F4C6B"/>
    <w:rsid w:val="006F7F10"/>
    <w:rsid w:val="007004F7"/>
    <w:rsid w:val="00701024"/>
    <w:rsid w:val="00703F41"/>
    <w:rsid w:val="00704273"/>
    <w:rsid w:val="00705C9C"/>
    <w:rsid w:val="007065B8"/>
    <w:rsid w:val="00706CF2"/>
    <w:rsid w:val="00710973"/>
    <w:rsid w:val="0071195D"/>
    <w:rsid w:val="0071234F"/>
    <w:rsid w:val="00716698"/>
    <w:rsid w:val="00716CE7"/>
    <w:rsid w:val="0072054F"/>
    <w:rsid w:val="0072225A"/>
    <w:rsid w:val="00724D01"/>
    <w:rsid w:val="007258D5"/>
    <w:rsid w:val="00727549"/>
    <w:rsid w:val="00732363"/>
    <w:rsid w:val="00733213"/>
    <w:rsid w:val="00733577"/>
    <w:rsid w:val="007343A3"/>
    <w:rsid w:val="007364C0"/>
    <w:rsid w:val="00740752"/>
    <w:rsid w:val="00741805"/>
    <w:rsid w:val="00743946"/>
    <w:rsid w:val="0074666B"/>
    <w:rsid w:val="00746D41"/>
    <w:rsid w:val="00752325"/>
    <w:rsid w:val="00752B59"/>
    <w:rsid w:val="0075465A"/>
    <w:rsid w:val="00755BB3"/>
    <w:rsid w:val="0075677D"/>
    <w:rsid w:val="007573A6"/>
    <w:rsid w:val="0076322E"/>
    <w:rsid w:val="00765607"/>
    <w:rsid w:val="0076624E"/>
    <w:rsid w:val="00771741"/>
    <w:rsid w:val="007752E1"/>
    <w:rsid w:val="00776CD0"/>
    <w:rsid w:val="00776D22"/>
    <w:rsid w:val="00780771"/>
    <w:rsid w:val="0078100C"/>
    <w:rsid w:val="00784772"/>
    <w:rsid w:val="00787FC5"/>
    <w:rsid w:val="0079075F"/>
    <w:rsid w:val="00792B48"/>
    <w:rsid w:val="00794AF6"/>
    <w:rsid w:val="007964E0"/>
    <w:rsid w:val="00797C18"/>
    <w:rsid w:val="007A1353"/>
    <w:rsid w:val="007A1939"/>
    <w:rsid w:val="007A4CD3"/>
    <w:rsid w:val="007B1F78"/>
    <w:rsid w:val="007C1B1B"/>
    <w:rsid w:val="007C1B76"/>
    <w:rsid w:val="007C1ED7"/>
    <w:rsid w:val="007C2FF3"/>
    <w:rsid w:val="007C5A7F"/>
    <w:rsid w:val="007C67BB"/>
    <w:rsid w:val="007C6B01"/>
    <w:rsid w:val="007D2D52"/>
    <w:rsid w:val="007D487C"/>
    <w:rsid w:val="007D6708"/>
    <w:rsid w:val="007F17D3"/>
    <w:rsid w:val="007F2481"/>
    <w:rsid w:val="007F25CC"/>
    <w:rsid w:val="00801C04"/>
    <w:rsid w:val="0080246B"/>
    <w:rsid w:val="00804C82"/>
    <w:rsid w:val="00805511"/>
    <w:rsid w:val="00811C77"/>
    <w:rsid w:val="008126BF"/>
    <w:rsid w:val="00817FB8"/>
    <w:rsid w:val="008229A9"/>
    <w:rsid w:val="00823F92"/>
    <w:rsid w:val="0082450C"/>
    <w:rsid w:val="00825EA5"/>
    <w:rsid w:val="008265B2"/>
    <w:rsid w:val="00827E5A"/>
    <w:rsid w:val="0083066C"/>
    <w:rsid w:val="008306B6"/>
    <w:rsid w:val="00835051"/>
    <w:rsid w:val="008360E6"/>
    <w:rsid w:val="00841D9F"/>
    <w:rsid w:val="008432F0"/>
    <w:rsid w:val="00845E62"/>
    <w:rsid w:val="00846FCB"/>
    <w:rsid w:val="0084782E"/>
    <w:rsid w:val="008513AC"/>
    <w:rsid w:val="008569EA"/>
    <w:rsid w:val="00856EA3"/>
    <w:rsid w:val="00860D61"/>
    <w:rsid w:val="00862D04"/>
    <w:rsid w:val="008639C7"/>
    <w:rsid w:val="008644A6"/>
    <w:rsid w:val="008660B1"/>
    <w:rsid w:val="00866D12"/>
    <w:rsid w:val="008700B1"/>
    <w:rsid w:val="00872519"/>
    <w:rsid w:val="00872BC2"/>
    <w:rsid w:val="008738FB"/>
    <w:rsid w:val="00875B0B"/>
    <w:rsid w:val="008762CC"/>
    <w:rsid w:val="00883464"/>
    <w:rsid w:val="00884B03"/>
    <w:rsid w:val="00884F83"/>
    <w:rsid w:val="00895934"/>
    <w:rsid w:val="008A0D5E"/>
    <w:rsid w:val="008A5EC1"/>
    <w:rsid w:val="008A767D"/>
    <w:rsid w:val="008B0579"/>
    <w:rsid w:val="008B0CB2"/>
    <w:rsid w:val="008B11CA"/>
    <w:rsid w:val="008B3894"/>
    <w:rsid w:val="008B40CA"/>
    <w:rsid w:val="008B5E54"/>
    <w:rsid w:val="008B641F"/>
    <w:rsid w:val="008C061A"/>
    <w:rsid w:val="008C49DF"/>
    <w:rsid w:val="008C53DD"/>
    <w:rsid w:val="008C57B0"/>
    <w:rsid w:val="008C68C2"/>
    <w:rsid w:val="008D6A0F"/>
    <w:rsid w:val="008E0202"/>
    <w:rsid w:val="008E23C1"/>
    <w:rsid w:val="008E2D81"/>
    <w:rsid w:val="008E3DB6"/>
    <w:rsid w:val="008E52CB"/>
    <w:rsid w:val="008F1F96"/>
    <w:rsid w:val="008F2172"/>
    <w:rsid w:val="008F2926"/>
    <w:rsid w:val="008F2A1A"/>
    <w:rsid w:val="008F4C19"/>
    <w:rsid w:val="008F592C"/>
    <w:rsid w:val="008F5BD4"/>
    <w:rsid w:val="008F62B9"/>
    <w:rsid w:val="008F6C88"/>
    <w:rsid w:val="008F715F"/>
    <w:rsid w:val="00901999"/>
    <w:rsid w:val="00902894"/>
    <w:rsid w:val="00903527"/>
    <w:rsid w:val="00903B2E"/>
    <w:rsid w:val="009045A7"/>
    <w:rsid w:val="00910C4E"/>
    <w:rsid w:val="00913C3A"/>
    <w:rsid w:val="00913E82"/>
    <w:rsid w:val="00913E9A"/>
    <w:rsid w:val="00921A92"/>
    <w:rsid w:val="0092287B"/>
    <w:rsid w:val="0092483A"/>
    <w:rsid w:val="00925632"/>
    <w:rsid w:val="00927E70"/>
    <w:rsid w:val="009308BC"/>
    <w:rsid w:val="00931955"/>
    <w:rsid w:val="00934995"/>
    <w:rsid w:val="00940E9D"/>
    <w:rsid w:val="00943776"/>
    <w:rsid w:val="00951BBE"/>
    <w:rsid w:val="009528F4"/>
    <w:rsid w:val="00953BB0"/>
    <w:rsid w:val="009566F0"/>
    <w:rsid w:val="009569FF"/>
    <w:rsid w:val="009633BC"/>
    <w:rsid w:val="009672F7"/>
    <w:rsid w:val="00970994"/>
    <w:rsid w:val="00971B5F"/>
    <w:rsid w:val="00977535"/>
    <w:rsid w:val="0098158A"/>
    <w:rsid w:val="009838D0"/>
    <w:rsid w:val="0098391A"/>
    <w:rsid w:val="00984B65"/>
    <w:rsid w:val="009857A2"/>
    <w:rsid w:val="00990725"/>
    <w:rsid w:val="00991568"/>
    <w:rsid w:val="00994DE6"/>
    <w:rsid w:val="009955FB"/>
    <w:rsid w:val="009A13E5"/>
    <w:rsid w:val="009A258B"/>
    <w:rsid w:val="009A5F03"/>
    <w:rsid w:val="009A75D9"/>
    <w:rsid w:val="009B0A53"/>
    <w:rsid w:val="009B3E04"/>
    <w:rsid w:val="009B4C91"/>
    <w:rsid w:val="009B58D0"/>
    <w:rsid w:val="009B6024"/>
    <w:rsid w:val="009B7C37"/>
    <w:rsid w:val="009C161A"/>
    <w:rsid w:val="009C6531"/>
    <w:rsid w:val="009D0158"/>
    <w:rsid w:val="009D120F"/>
    <w:rsid w:val="009D2FD4"/>
    <w:rsid w:val="009E0F55"/>
    <w:rsid w:val="009E32FA"/>
    <w:rsid w:val="009E3EA7"/>
    <w:rsid w:val="009E4DEB"/>
    <w:rsid w:val="009F1FA2"/>
    <w:rsid w:val="009F2D4E"/>
    <w:rsid w:val="009F4A1F"/>
    <w:rsid w:val="009F4BD3"/>
    <w:rsid w:val="009F5565"/>
    <w:rsid w:val="009F78DB"/>
    <w:rsid w:val="00A0274F"/>
    <w:rsid w:val="00A03F94"/>
    <w:rsid w:val="00A04F20"/>
    <w:rsid w:val="00A0637D"/>
    <w:rsid w:val="00A07B69"/>
    <w:rsid w:val="00A07D4A"/>
    <w:rsid w:val="00A11767"/>
    <w:rsid w:val="00A1365D"/>
    <w:rsid w:val="00A169AF"/>
    <w:rsid w:val="00A1798B"/>
    <w:rsid w:val="00A17E32"/>
    <w:rsid w:val="00A202EB"/>
    <w:rsid w:val="00A218FC"/>
    <w:rsid w:val="00A23F74"/>
    <w:rsid w:val="00A24F86"/>
    <w:rsid w:val="00A34953"/>
    <w:rsid w:val="00A35919"/>
    <w:rsid w:val="00A4064E"/>
    <w:rsid w:val="00A4098A"/>
    <w:rsid w:val="00A41001"/>
    <w:rsid w:val="00A41DAF"/>
    <w:rsid w:val="00A44C6B"/>
    <w:rsid w:val="00A47D45"/>
    <w:rsid w:val="00A501C3"/>
    <w:rsid w:val="00A507FD"/>
    <w:rsid w:val="00A50DA6"/>
    <w:rsid w:val="00A5148D"/>
    <w:rsid w:val="00A579E2"/>
    <w:rsid w:val="00A60E22"/>
    <w:rsid w:val="00A60F02"/>
    <w:rsid w:val="00A61773"/>
    <w:rsid w:val="00A65376"/>
    <w:rsid w:val="00A6614E"/>
    <w:rsid w:val="00A70F9B"/>
    <w:rsid w:val="00A70FD9"/>
    <w:rsid w:val="00A720D0"/>
    <w:rsid w:val="00A728DF"/>
    <w:rsid w:val="00A72B64"/>
    <w:rsid w:val="00A77469"/>
    <w:rsid w:val="00A828F6"/>
    <w:rsid w:val="00A82C22"/>
    <w:rsid w:val="00A87703"/>
    <w:rsid w:val="00A877AB"/>
    <w:rsid w:val="00A9185F"/>
    <w:rsid w:val="00A931ED"/>
    <w:rsid w:val="00AA001D"/>
    <w:rsid w:val="00AA4B3A"/>
    <w:rsid w:val="00AA6D54"/>
    <w:rsid w:val="00AB103C"/>
    <w:rsid w:val="00AB22F9"/>
    <w:rsid w:val="00AB387D"/>
    <w:rsid w:val="00AB5041"/>
    <w:rsid w:val="00AB54CB"/>
    <w:rsid w:val="00AB5FC5"/>
    <w:rsid w:val="00AB6094"/>
    <w:rsid w:val="00AC111D"/>
    <w:rsid w:val="00AC26E4"/>
    <w:rsid w:val="00AC4234"/>
    <w:rsid w:val="00AC48C8"/>
    <w:rsid w:val="00AD1103"/>
    <w:rsid w:val="00AD317F"/>
    <w:rsid w:val="00AD5C0C"/>
    <w:rsid w:val="00AE0604"/>
    <w:rsid w:val="00AE3B32"/>
    <w:rsid w:val="00AE60ED"/>
    <w:rsid w:val="00AF0283"/>
    <w:rsid w:val="00AF7B3C"/>
    <w:rsid w:val="00B02EEF"/>
    <w:rsid w:val="00B12A48"/>
    <w:rsid w:val="00B17B80"/>
    <w:rsid w:val="00B2600B"/>
    <w:rsid w:val="00B31253"/>
    <w:rsid w:val="00B31BD7"/>
    <w:rsid w:val="00B35001"/>
    <w:rsid w:val="00B40FE8"/>
    <w:rsid w:val="00B411F7"/>
    <w:rsid w:val="00B42B7C"/>
    <w:rsid w:val="00B4618A"/>
    <w:rsid w:val="00B46D8C"/>
    <w:rsid w:val="00B4768A"/>
    <w:rsid w:val="00B54477"/>
    <w:rsid w:val="00B55AAE"/>
    <w:rsid w:val="00B55D9F"/>
    <w:rsid w:val="00B6000E"/>
    <w:rsid w:val="00B60DC0"/>
    <w:rsid w:val="00B72157"/>
    <w:rsid w:val="00B76178"/>
    <w:rsid w:val="00B80011"/>
    <w:rsid w:val="00B82279"/>
    <w:rsid w:val="00B82386"/>
    <w:rsid w:val="00B8682C"/>
    <w:rsid w:val="00B90785"/>
    <w:rsid w:val="00B96F58"/>
    <w:rsid w:val="00BA3BC0"/>
    <w:rsid w:val="00BB67F4"/>
    <w:rsid w:val="00BC3372"/>
    <w:rsid w:val="00BC4BCC"/>
    <w:rsid w:val="00BC63D3"/>
    <w:rsid w:val="00BC6469"/>
    <w:rsid w:val="00BC6CAD"/>
    <w:rsid w:val="00BD43E5"/>
    <w:rsid w:val="00BD5612"/>
    <w:rsid w:val="00BD6A35"/>
    <w:rsid w:val="00BD6EBB"/>
    <w:rsid w:val="00BE2B9E"/>
    <w:rsid w:val="00BE3D86"/>
    <w:rsid w:val="00BE60AC"/>
    <w:rsid w:val="00BE7591"/>
    <w:rsid w:val="00BF0118"/>
    <w:rsid w:val="00BF2936"/>
    <w:rsid w:val="00BF2B84"/>
    <w:rsid w:val="00BF68AB"/>
    <w:rsid w:val="00C0112A"/>
    <w:rsid w:val="00C02BC5"/>
    <w:rsid w:val="00C02DA7"/>
    <w:rsid w:val="00C05599"/>
    <w:rsid w:val="00C06BBA"/>
    <w:rsid w:val="00C07623"/>
    <w:rsid w:val="00C128C6"/>
    <w:rsid w:val="00C12CF8"/>
    <w:rsid w:val="00C13062"/>
    <w:rsid w:val="00C1316F"/>
    <w:rsid w:val="00C23E66"/>
    <w:rsid w:val="00C36BBD"/>
    <w:rsid w:val="00C37D24"/>
    <w:rsid w:val="00C40F58"/>
    <w:rsid w:val="00C45AE6"/>
    <w:rsid w:val="00C45DA1"/>
    <w:rsid w:val="00C468E7"/>
    <w:rsid w:val="00C46ABE"/>
    <w:rsid w:val="00C47F66"/>
    <w:rsid w:val="00C50118"/>
    <w:rsid w:val="00C51D82"/>
    <w:rsid w:val="00C5425D"/>
    <w:rsid w:val="00C55E06"/>
    <w:rsid w:val="00C61C15"/>
    <w:rsid w:val="00C6217B"/>
    <w:rsid w:val="00C62C19"/>
    <w:rsid w:val="00C65A42"/>
    <w:rsid w:val="00C66555"/>
    <w:rsid w:val="00C66979"/>
    <w:rsid w:val="00C71429"/>
    <w:rsid w:val="00C7256C"/>
    <w:rsid w:val="00C756A0"/>
    <w:rsid w:val="00C75C96"/>
    <w:rsid w:val="00C75F08"/>
    <w:rsid w:val="00C83F27"/>
    <w:rsid w:val="00C857A1"/>
    <w:rsid w:val="00C85AC2"/>
    <w:rsid w:val="00C8761A"/>
    <w:rsid w:val="00C93383"/>
    <w:rsid w:val="00C93E26"/>
    <w:rsid w:val="00C96316"/>
    <w:rsid w:val="00CA12C8"/>
    <w:rsid w:val="00CA1CB3"/>
    <w:rsid w:val="00CA2B05"/>
    <w:rsid w:val="00CA56E6"/>
    <w:rsid w:val="00CA7978"/>
    <w:rsid w:val="00CB11AE"/>
    <w:rsid w:val="00CB1DE3"/>
    <w:rsid w:val="00CB1DF4"/>
    <w:rsid w:val="00CB3884"/>
    <w:rsid w:val="00CB3CE3"/>
    <w:rsid w:val="00CB3EC9"/>
    <w:rsid w:val="00CC1042"/>
    <w:rsid w:val="00CC3954"/>
    <w:rsid w:val="00CC3AA2"/>
    <w:rsid w:val="00CC7C7F"/>
    <w:rsid w:val="00CD01C9"/>
    <w:rsid w:val="00CD0EDE"/>
    <w:rsid w:val="00CD3EB2"/>
    <w:rsid w:val="00CE0D1D"/>
    <w:rsid w:val="00CE4670"/>
    <w:rsid w:val="00CF0687"/>
    <w:rsid w:val="00CF6EC2"/>
    <w:rsid w:val="00D030E7"/>
    <w:rsid w:val="00D03B98"/>
    <w:rsid w:val="00D06F91"/>
    <w:rsid w:val="00D075C8"/>
    <w:rsid w:val="00D131A7"/>
    <w:rsid w:val="00D135A6"/>
    <w:rsid w:val="00D16B01"/>
    <w:rsid w:val="00D17652"/>
    <w:rsid w:val="00D179EA"/>
    <w:rsid w:val="00D17EA8"/>
    <w:rsid w:val="00D21CB1"/>
    <w:rsid w:val="00D25224"/>
    <w:rsid w:val="00D27428"/>
    <w:rsid w:val="00D2765F"/>
    <w:rsid w:val="00D306A5"/>
    <w:rsid w:val="00D310EE"/>
    <w:rsid w:val="00D35C8B"/>
    <w:rsid w:val="00D37C27"/>
    <w:rsid w:val="00D405E0"/>
    <w:rsid w:val="00D41194"/>
    <w:rsid w:val="00D424EB"/>
    <w:rsid w:val="00D431F3"/>
    <w:rsid w:val="00D45CE4"/>
    <w:rsid w:val="00D46BEA"/>
    <w:rsid w:val="00D47DF7"/>
    <w:rsid w:val="00D47E2E"/>
    <w:rsid w:val="00D508C0"/>
    <w:rsid w:val="00D50F0C"/>
    <w:rsid w:val="00D510D2"/>
    <w:rsid w:val="00D5207A"/>
    <w:rsid w:val="00D5482C"/>
    <w:rsid w:val="00D54FE0"/>
    <w:rsid w:val="00D5519B"/>
    <w:rsid w:val="00D5699F"/>
    <w:rsid w:val="00D669D2"/>
    <w:rsid w:val="00D70DAD"/>
    <w:rsid w:val="00D7392F"/>
    <w:rsid w:val="00D74828"/>
    <w:rsid w:val="00D74904"/>
    <w:rsid w:val="00D75D68"/>
    <w:rsid w:val="00D803C7"/>
    <w:rsid w:val="00D80808"/>
    <w:rsid w:val="00D82024"/>
    <w:rsid w:val="00D83338"/>
    <w:rsid w:val="00D84519"/>
    <w:rsid w:val="00D862D2"/>
    <w:rsid w:val="00D8666E"/>
    <w:rsid w:val="00D86B1A"/>
    <w:rsid w:val="00D92A22"/>
    <w:rsid w:val="00DA01BD"/>
    <w:rsid w:val="00DA5F40"/>
    <w:rsid w:val="00DA637A"/>
    <w:rsid w:val="00DA6739"/>
    <w:rsid w:val="00DA7F8F"/>
    <w:rsid w:val="00DB3FD8"/>
    <w:rsid w:val="00DB42CF"/>
    <w:rsid w:val="00DB7922"/>
    <w:rsid w:val="00DC486B"/>
    <w:rsid w:val="00DC53C9"/>
    <w:rsid w:val="00DD39CB"/>
    <w:rsid w:val="00DD3C53"/>
    <w:rsid w:val="00DD4E2D"/>
    <w:rsid w:val="00DE0E2A"/>
    <w:rsid w:val="00DE19E0"/>
    <w:rsid w:val="00DE1F03"/>
    <w:rsid w:val="00DE2226"/>
    <w:rsid w:val="00DE2398"/>
    <w:rsid w:val="00DE3172"/>
    <w:rsid w:val="00DE373E"/>
    <w:rsid w:val="00DE3B0A"/>
    <w:rsid w:val="00DE41C8"/>
    <w:rsid w:val="00DE7C04"/>
    <w:rsid w:val="00DE7EA2"/>
    <w:rsid w:val="00DF1A31"/>
    <w:rsid w:val="00DF221A"/>
    <w:rsid w:val="00DF2A68"/>
    <w:rsid w:val="00DF38FE"/>
    <w:rsid w:val="00DF7850"/>
    <w:rsid w:val="00E006D8"/>
    <w:rsid w:val="00E0105C"/>
    <w:rsid w:val="00E03EE1"/>
    <w:rsid w:val="00E045FF"/>
    <w:rsid w:val="00E11CFD"/>
    <w:rsid w:val="00E134D1"/>
    <w:rsid w:val="00E16861"/>
    <w:rsid w:val="00E17922"/>
    <w:rsid w:val="00E20626"/>
    <w:rsid w:val="00E21FDF"/>
    <w:rsid w:val="00E2208E"/>
    <w:rsid w:val="00E22EF1"/>
    <w:rsid w:val="00E26696"/>
    <w:rsid w:val="00E30445"/>
    <w:rsid w:val="00E31A94"/>
    <w:rsid w:val="00E31F29"/>
    <w:rsid w:val="00E346BA"/>
    <w:rsid w:val="00E36D09"/>
    <w:rsid w:val="00E449C8"/>
    <w:rsid w:val="00E51323"/>
    <w:rsid w:val="00E550A5"/>
    <w:rsid w:val="00E55498"/>
    <w:rsid w:val="00E55D02"/>
    <w:rsid w:val="00E56C66"/>
    <w:rsid w:val="00E60391"/>
    <w:rsid w:val="00E60A57"/>
    <w:rsid w:val="00E6112C"/>
    <w:rsid w:val="00E63CF8"/>
    <w:rsid w:val="00E65D5D"/>
    <w:rsid w:val="00E66A3C"/>
    <w:rsid w:val="00E7026C"/>
    <w:rsid w:val="00E713B9"/>
    <w:rsid w:val="00E71583"/>
    <w:rsid w:val="00E725E1"/>
    <w:rsid w:val="00E747C0"/>
    <w:rsid w:val="00E76032"/>
    <w:rsid w:val="00E83E28"/>
    <w:rsid w:val="00E85832"/>
    <w:rsid w:val="00E9453A"/>
    <w:rsid w:val="00E95DD5"/>
    <w:rsid w:val="00E96B5B"/>
    <w:rsid w:val="00EA377E"/>
    <w:rsid w:val="00EA67CE"/>
    <w:rsid w:val="00EB5038"/>
    <w:rsid w:val="00ED20D6"/>
    <w:rsid w:val="00ED7D96"/>
    <w:rsid w:val="00EF02A8"/>
    <w:rsid w:val="00EF1F70"/>
    <w:rsid w:val="00F011AB"/>
    <w:rsid w:val="00F05690"/>
    <w:rsid w:val="00F11010"/>
    <w:rsid w:val="00F115D9"/>
    <w:rsid w:val="00F11888"/>
    <w:rsid w:val="00F11C2A"/>
    <w:rsid w:val="00F1512B"/>
    <w:rsid w:val="00F154F3"/>
    <w:rsid w:val="00F15715"/>
    <w:rsid w:val="00F160B0"/>
    <w:rsid w:val="00F21C39"/>
    <w:rsid w:val="00F22F6F"/>
    <w:rsid w:val="00F2633F"/>
    <w:rsid w:val="00F33E63"/>
    <w:rsid w:val="00F440C9"/>
    <w:rsid w:val="00F448F9"/>
    <w:rsid w:val="00F47356"/>
    <w:rsid w:val="00F47842"/>
    <w:rsid w:val="00F478AC"/>
    <w:rsid w:val="00F52593"/>
    <w:rsid w:val="00F527BE"/>
    <w:rsid w:val="00F52B38"/>
    <w:rsid w:val="00F5387C"/>
    <w:rsid w:val="00F6072B"/>
    <w:rsid w:val="00F6131D"/>
    <w:rsid w:val="00F67992"/>
    <w:rsid w:val="00F7126D"/>
    <w:rsid w:val="00F71286"/>
    <w:rsid w:val="00F71884"/>
    <w:rsid w:val="00F75C34"/>
    <w:rsid w:val="00F76236"/>
    <w:rsid w:val="00F80B0A"/>
    <w:rsid w:val="00F82597"/>
    <w:rsid w:val="00F84AF3"/>
    <w:rsid w:val="00F850BB"/>
    <w:rsid w:val="00F90821"/>
    <w:rsid w:val="00F91DA0"/>
    <w:rsid w:val="00F937E0"/>
    <w:rsid w:val="00F94238"/>
    <w:rsid w:val="00F957D9"/>
    <w:rsid w:val="00F97600"/>
    <w:rsid w:val="00FA211C"/>
    <w:rsid w:val="00FA34AB"/>
    <w:rsid w:val="00FA362D"/>
    <w:rsid w:val="00FA3DDC"/>
    <w:rsid w:val="00FA636D"/>
    <w:rsid w:val="00FA64C6"/>
    <w:rsid w:val="00FA70E4"/>
    <w:rsid w:val="00FB180A"/>
    <w:rsid w:val="00FC3176"/>
    <w:rsid w:val="00FC591B"/>
    <w:rsid w:val="00FC7197"/>
    <w:rsid w:val="00FC7D28"/>
    <w:rsid w:val="00FD1DD3"/>
    <w:rsid w:val="00FD61A3"/>
    <w:rsid w:val="00FD728C"/>
    <w:rsid w:val="00FE18EB"/>
    <w:rsid w:val="00FE4450"/>
    <w:rsid w:val="00FF476E"/>
    <w:rsid w:val="00FF69AC"/>
    <w:rsid w:val="6CCF0E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20F"/>
    <w:pPr>
      <w:widowControl w:val="0"/>
      <w:spacing w:line="360" w:lineRule="auto"/>
      <w:ind w:firstLineChars="200" w:firstLine="200"/>
      <w:jc w:val="both"/>
    </w:pPr>
    <w:rPr>
      <w:kern w:val="2"/>
      <w:sz w:val="24"/>
      <w:szCs w:val="24"/>
    </w:rPr>
  </w:style>
  <w:style w:type="paragraph" w:styleId="1">
    <w:name w:val="heading 1"/>
    <w:basedOn w:val="a"/>
    <w:next w:val="a"/>
    <w:link w:val="1Char"/>
    <w:qFormat/>
    <w:rsid w:val="00DA637A"/>
    <w:pPr>
      <w:pageBreakBefore/>
      <w:numPr>
        <w:numId w:val="20"/>
      </w:numPr>
      <w:spacing w:before="340" w:after="330" w:line="576" w:lineRule="auto"/>
      <w:ind w:left="0" w:firstLineChars="0" w:firstLine="0"/>
      <w:jc w:val="center"/>
      <w:outlineLvl w:val="0"/>
    </w:pPr>
    <w:rPr>
      <w:b/>
      <w:bCs/>
      <w:kern w:val="44"/>
      <w:sz w:val="28"/>
      <w:szCs w:val="44"/>
    </w:rPr>
  </w:style>
  <w:style w:type="paragraph" w:styleId="2">
    <w:name w:val="heading 2"/>
    <w:basedOn w:val="a"/>
    <w:next w:val="a"/>
    <w:link w:val="2Char"/>
    <w:qFormat/>
    <w:rsid w:val="003746BB"/>
    <w:pPr>
      <w:keepNext/>
      <w:keepLines/>
      <w:numPr>
        <w:ilvl w:val="1"/>
        <w:numId w:val="20"/>
      </w:numPr>
      <w:ind w:firstLine="200"/>
      <w:outlineLvl w:val="1"/>
    </w:pPr>
    <w:rPr>
      <w:rFonts w:ascii="Arial" w:hAnsi="Arial"/>
      <w:b/>
      <w:bCs/>
      <w:szCs w:val="32"/>
      <w:lang/>
    </w:rPr>
  </w:style>
  <w:style w:type="paragraph" w:styleId="3">
    <w:name w:val="heading 3"/>
    <w:basedOn w:val="a"/>
    <w:next w:val="a"/>
    <w:link w:val="3Char"/>
    <w:qFormat/>
    <w:rsid w:val="003746BB"/>
    <w:pPr>
      <w:keepNext/>
      <w:keepLines/>
      <w:numPr>
        <w:ilvl w:val="2"/>
        <w:numId w:val="20"/>
      </w:numPr>
      <w:ind w:firstLine="200"/>
      <w:outlineLvl w:val="2"/>
    </w:pPr>
    <w:rPr>
      <w:b/>
      <w:bCs/>
      <w:szCs w:val="32"/>
    </w:rPr>
  </w:style>
  <w:style w:type="paragraph" w:styleId="4">
    <w:name w:val="heading 4"/>
    <w:basedOn w:val="a"/>
    <w:next w:val="a"/>
    <w:qFormat/>
    <w:rsid w:val="0059031D"/>
    <w:pPr>
      <w:keepNext/>
      <w:keepLines/>
      <w:numPr>
        <w:ilvl w:val="3"/>
        <w:numId w:val="22"/>
      </w:numPr>
      <w:autoSpaceDE w:val="0"/>
      <w:autoSpaceDN w:val="0"/>
      <w:adjustRightInd w:val="0"/>
      <w:spacing w:before="120" w:after="120" w:line="374" w:lineRule="auto"/>
      <w:ind w:firstLineChars="0"/>
      <w:outlineLvl w:val="3"/>
    </w:pPr>
    <w:rPr>
      <w:rFonts w:ascii="Arial" w:hAnsi="Arial"/>
      <w:kern w:val="0"/>
      <w:szCs w:val="20"/>
    </w:rPr>
  </w:style>
  <w:style w:type="paragraph" w:styleId="5">
    <w:name w:val="heading 5"/>
    <w:basedOn w:val="a"/>
    <w:next w:val="a"/>
    <w:qFormat/>
    <w:rsid w:val="0059031D"/>
    <w:pPr>
      <w:keepNext/>
      <w:keepLines/>
      <w:numPr>
        <w:ilvl w:val="4"/>
        <w:numId w:val="22"/>
      </w:numPr>
      <w:tabs>
        <w:tab w:val="left" w:pos="1008"/>
      </w:tabs>
      <w:autoSpaceDE w:val="0"/>
      <w:autoSpaceDN w:val="0"/>
      <w:adjustRightInd w:val="0"/>
      <w:spacing w:before="280" w:after="290" w:line="374" w:lineRule="auto"/>
      <w:ind w:firstLineChars="0"/>
      <w:outlineLvl w:val="4"/>
    </w:pPr>
    <w:rPr>
      <w:rFonts w:ascii="宋体" w:hint="eastAsia"/>
      <w:kern w:val="0"/>
      <w:szCs w:val="20"/>
    </w:rPr>
  </w:style>
  <w:style w:type="paragraph" w:styleId="6">
    <w:name w:val="heading 6"/>
    <w:basedOn w:val="a"/>
    <w:next w:val="a"/>
    <w:qFormat/>
    <w:rsid w:val="0059031D"/>
    <w:pPr>
      <w:keepNext/>
      <w:keepLines/>
      <w:tabs>
        <w:tab w:val="left" w:pos="1152"/>
      </w:tabs>
      <w:autoSpaceDE w:val="0"/>
      <w:autoSpaceDN w:val="0"/>
      <w:adjustRightInd w:val="0"/>
      <w:spacing w:before="240" w:after="64" w:line="319" w:lineRule="auto"/>
      <w:ind w:firstLineChars="0" w:firstLine="0"/>
      <w:outlineLvl w:val="5"/>
    </w:pPr>
    <w:rPr>
      <w:rFonts w:ascii="Arial" w:eastAsia="黑体" w:hAnsi="Arial"/>
      <w:b/>
      <w:kern w:val="0"/>
      <w:szCs w:val="20"/>
    </w:rPr>
  </w:style>
  <w:style w:type="paragraph" w:styleId="7">
    <w:name w:val="heading 7"/>
    <w:basedOn w:val="a"/>
    <w:next w:val="a"/>
    <w:qFormat/>
    <w:rsid w:val="0059031D"/>
    <w:pPr>
      <w:keepNext/>
      <w:keepLines/>
      <w:tabs>
        <w:tab w:val="left" w:pos="1296"/>
      </w:tabs>
      <w:autoSpaceDE w:val="0"/>
      <w:autoSpaceDN w:val="0"/>
      <w:adjustRightInd w:val="0"/>
      <w:spacing w:before="240" w:after="64" w:line="319" w:lineRule="auto"/>
      <w:ind w:firstLineChars="0" w:firstLine="0"/>
      <w:outlineLvl w:val="6"/>
    </w:pPr>
    <w:rPr>
      <w:rFonts w:ascii="宋体" w:hint="eastAsia"/>
      <w:b/>
      <w:kern w:val="0"/>
      <w:szCs w:val="20"/>
    </w:rPr>
  </w:style>
  <w:style w:type="paragraph" w:styleId="8">
    <w:name w:val="heading 8"/>
    <w:basedOn w:val="a"/>
    <w:next w:val="a"/>
    <w:qFormat/>
    <w:rsid w:val="0059031D"/>
    <w:pPr>
      <w:keepNext/>
      <w:keepLines/>
      <w:tabs>
        <w:tab w:val="left" w:pos="1440"/>
      </w:tabs>
      <w:autoSpaceDE w:val="0"/>
      <w:autoSpaceDN w:val="0"/>
      <w:adjustRightInd w:val="0"/>
      <w:spacing w:before="240" w:after="64" w:line="319" w:lineRule="auto"/>
      <w:ind w:firstLineChars="0" w:firstLine="0"/>
      <w:outlineLvl w:val="7"/>
    </w:pPr>
    <w:rPr>
      <w:rFonts w:ascii="Arial" w:eastAsia="黑体" w:hAnsi="Arial"/>
      <w:kern w:val="0"/>
      <w:szCs w:val="20"/>
    </w:rPr>
  </w:style>
  <w:style w:type="paragraph" w:styleId="9">
    <w:name w:val="heading 9"/>
    <w:basedOn w:val="a"/>
    <w:next w:val="a"/>
    <w:qFormat/>
    <w:rsid w:val="0059031D"/>
    <w:pPr>
      <w:keepNext/>
      <w:keepLines/>
      <w:tabs>
        <w:tab w:val="left" w:pos="1584"/>
      </w:tabs>
      <w:autoSpaceDE w:val="0"/>
      <w:autoSpaceDN w:val="0"/>
      <w:adjustRightInd w:val="0"/>
      <w:spacing w:before="240" w:after="64" w:line="319" w:lineRule="auto"/>
      <w:ind w:firstLineChars="0" w:firstLine="0"/>
      <w:outlineLvl w:val="8"/>
    </w:pPr>
    <w:rPr>
      <w:rFonts w:ascii="Arial" w:eastAsia="黑体" w:hAnsi="Arial"/>
      <w:kern w:val="0"/>
      <w:szCs w:val="2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Arial Unicode MS" w:eastAsia="Arial Unicode MS" w:hAnsi="Arial Unicode MS" w:cs="Arial Unicode MS"/>
      <w:kern w:val="2"/>
      <w:sz w:val="20"/>
      <w:szCs w:val="20"/>
      <w:lang w:val="en-US" w:eastAsia="zh-CN" w:bidi="ar-SA"/>
    </w:rPr>
  </w:style>
  <w:style w:type="character" w:customStyle="1" w:styleId="DeltaViewInsertion">
    <w:name w:val="DeltaView Insertion"/>
    <w:rPr>
      <w:color w:val="0000FF"/>
      <w:spacing w:val="0"/>
      <w:u w:val="double"/>
    </w:rPr>
  </w:style>
  <w:style w:type="character" w:styleId="a3">
    <w:name w:val="访问过的超链接"/>
    <w:uiPriority w:val="99"/>
    <w:unhideWhenUsed/>
    <w:rPr>
      <w:color w:val="800080"/>
      <w:u w:val="single"/>
    </w:rPr>
  </w:style>
  <w:style w:type="character" w:customStyle="1" w:styleId="DeltaViewMoveDestination">
    <w:name w:val="DeltaView Move Destination"/>
    <w:rPr>
      <w:color w:val="00C000"/>
      <w:spacing w:val="0"/>
      <w:u w:val="double"/>
    </w:rPr>
  </w:style>
  <w:style w:type="character" w:customStyle="1" w:styleId="2Char">
    <w:name w:val="标题 2 Char"/>
    <w:link w:val="2"/>
    <w:rsid w:val="003746BB"/>
    <w:rPr>
      <w:rFonts w:ascii="Arial" w:hAnsi="Arial"/>
      <w:b/>
      <w:bCs/>
      <w:kern w:val="2"/>
      <w:sz w:val="24"/>
      <w:szCs w:val="32"/>
      <w:lang/>
    </w:rPr>
  </w:style>
  <w:style w:type="character" w:styleId="a4">
    <w:name w:val="page number"/>
    <w:basedOn w:val="a0"/>
  </w:style>
  <w:style w:type="character" w:styleId="a5">
    <w:name w:val="Hyperlink"/>
    <w:uiPriority w:val="99"/>
    <w:rPr>
      <w:color w:val="0000FF"/>
      <w:u w:val="single"/>
    </w:rPr>
  </w:style>
  <w:style w:type="character" w:customStyle="1" w:styleId="Char">
    <w:name w:val="页脚 Char"/>
    <w:link w:val="a6"/>
    <w:rPr>
      <w:sz w:val="18"/>
      <w:szCs w:val="18"/>
    </w:rPr>
  </w:style>
  <w:style w:type="character" w:styleId="a7">
    <w:name w:val="annotation reference"/>
    <w:rPr>
      <w:rFonts w:eastAsia="宋体"/>
      <w:kern w:val="2"/>
      <w:sz w:val="21"/>
      <w:szCs w:val="21"/>
      <w:lang w:val="en-US" w:eastAsia="zh-CN" w:bidi="ar-SA"/>
    </w:rPr>
  </w:style>
  <w:style w:type="character" w:customStyle="1" w:styleId="read">
    <w:name w:val="read"/>
    <w:basedOn w:val="a0"/>
  </w:style>
  <w:style w:type="character" w:customStyle="1" w:styleId="apple-style-span">
    <w:name w:val="apple-style-span"/>
    <w:basedOn w:val="a0"/>
  </w:style>
  <w:style w:type="character" w:customStyle="1" w:styleId="Char0">
    <w:name w:val="纯文本 Char"/>
    <w:link w:val="a8"/>
    <w:rPr>
      <w:rFonts w:ascii="宋体" w:hAnsi="Courier New"/>
      <w:sz w:val="21"/>
    </w:rPr>
  </w:style>
  <w:style w:type="character" w:customStyle="1" w:styleId="Char1">
    <w:name w:val="正文文本缩进 Char"/>
    <w:link w:val="a9"/>
    <w:rPr>
      <w:rFonts w:ascii="宋体"/>
    </w:rPr>
  </w:style>
  <w:style w:type="paragraph" w:styleId="a9">
    <w:name w:val="Body Text Indent"/>
    <w:basedOn w:val="a"/>
    <w:link w:val="Char1"/>
    <w:pPr>
      <w:autoSpaceDE w:val="0"/>
      <w:autoSpaceDN w:val="0"/>
      <w:adjustRightInd w:val="0"/>
      <w:spacing w:after="120" w:line="440" w:lineRule="atLeast"/>
      <w:ind w:firstLine="539"/>
    </w:pPr>
    <w:rPr>
      <w:rFonts w:ascii="宋体"/>
      <w:kern w:val="0"/>
      <w:sz w:val="20"/>
      <w:szCs w:val="20"/>
      <w:lang/>
    </w:rPr>
  </w:style>
  <w:style w:type="paragraph" w:styleId="70">
    <w:name w:val="toc 7"/>
    <w:basedOn w:val="a"/>
    <w:next w:val="a"/>
    <w:pPr>
      <w:ind w:left="1260"/>
      <w:jc w:val="left"/>
    </w:pPr>
    <w:rPr>
      <w:sz w:val="18"/>
      <w:szCs w:val="18"/>
    </w:rPr>
  </w:style>
  <w:style w:type="paragraph" w:styleId="aa">
    <w:name w:val="Body Text"/>
    <w:basedOn w:val="a"/>
  </w:style>
  <w:style w:type="paragraph" w:styleId="ab">
    <w:name w:val="annotation subject"/>
    <w:basedOn w:val="ac"/>
    <w:next w:val="ac"/>
    <w:rPr>
      <w:b/>
      <w:bCs/>
      <w:sz w:val="21"/>
      <w:szCs w:val="24"/>
    </w:rPr>
  </w:style>
  <w:style w:type="paragraph" w:styleId="ad">
    <w:name w:val="Normal Indent"/>
    <w:basedOn w:val="a"/>
    <w:pPr>
      <w:ind w:firstLine="420"/>
    </w:pPr>
    <w:rPr>
      <w:szCs w:val="20"/>
    </w:rPr>
  </w:style>
  <w:style w:type="paragraph" w:styleId="ae">
    <w:name w:val="List Bullet"/>
    <w:basedOn w:val="af"/>
    <w:pPr>
      <w:ind w:right="720"/>
    </w:pPr>
  </w:style>
  <w:style w:type="paragraph" w:styleId="af0">
    <w:name w:val="List Number"/>
    <w:basedOn w:val="af"/>
    <w:pPr>
      <w:ind w:right="720"/>
    </w:pPr>
  </w:style>
  <w:style w:type="paragraph" w:styleId="ac">
    <w:name w:val="annotation text"/>
    <w:basedOn w:val="a"/>
    <w:pPr>
      <w:jc w:val="left"/>
    </w:pPr>
    <w:rPr>
      <w:szCs w:val="20"/>
    </w:rPr>
  </w:style>
  <w:style w:type="paragraph" w:customStyle="1" w:styleId="30">
    <w:name w:val="列表3"/>
    <w:basedOn w:val="a"/>
    <w:rPr>
      <w:rFonts w:ascii="宋体" w:hint="eastAsia"/>
      <w:szCs w:val="20"/>
    </w:rPr>
  </w:style>
  <w:style w:type="paragraph" w:styleId="af1">
    <w:name w:val="header"/>
    <w:basedOn w:val="a"/>
    <w:pPr>
      <w:pBdr>
        <w:bottom w:val="single" w:sz="6" w:space="1" w:color="auto"/>
      </w:pBdr>
      <w:tabs>
        <w:tab w:val="center" w:pos="4153"/>
        <w:tab w:val="right" w:pos="8306"/>
      </w:tabs>
      <w:snapToGrid w:val="0"/>
      <w:jc w:val="center"/>
    </w:pPr>
    <w:rPr>
      <w:sz w:val="18"/>
      <w:szCs w:val="18"/>
    </w:rPr>
  </w:style>
  <w:style w:type="paragraph" w:customStyle="1" w:styleId="AOHeadings">
    <w:name w:val="AOHeadings"/>
    <w:basedOn w:val="AOBodyTxt"/>
    <w:next w:val="AODocTxt"/>
    <w:pPr>
      <w:numPr>
        <w:ilvl w:val="1"/>
        <w:numId w:val="2"/>
      </w:numPr>
      <w:ind w:left="0"/>
    </w:pPr>
  </w:style>
  <w:style w:type="paragraph" w:styleId="af2">
    <w:name w:val="Balloon Text"/>
    <w:basedOn w:val="a"/>
    <w:rPr>
      <w:sz w:val="18"/>
      <w:szCs w:val="18"/>
    </w:rPr>
  </w:style>
  <w:style w:type="paragraph" w:styleId="20">
    <w:name w:val="toc 2"/>
    <w:basedOn w:val="a"/>
    <w:next w:val="a"/>
    <w:uiPriority w:val="39"/>
    <w:pPr>
      <w:tabs>
        <w:tab w:val="left" w:pos="870"/>
        <w:tab w:val="right" w:leader="dot" w:pos="8296"/>
      </w:tabs>
      <w:ind w:left="210"/>
      <w:jc w:val="left"/>
    </w:pPr>
    <w:rPr>
      <w:smallCaps/>
      <w:sz w:val="20"/>
      <w:szCs w:val="20"/>
    </w:rPr>
  </w:style>
  <w:style w:type="paragraph" w:customStyle="1" w:styleId="AOHead2">
    <w:name w:val="AOHead2"/>
    <w:basedOn w:val="AOHeadings"/>
    <w:next w:val="AODocTxtL1"/>
    <w:pPr>
      <w:keepNext/>
      <w:tabs>
        <w:tab w:val="left" w:pos="720"/>
      </w:tabs>
      <w:ind w:left="720" w:hanging="720"/>
      <w:outlineLvl w:val="1"/>
    </w:pPr>
    <w:rPr>
      <w:b/>
    </w:rPr>
  </w:style>
  <w:style w:type="paragraph" w:styleId="31">
    <w:name w:val="Body Text Indent 3"/>
    <w:basedOn w:val="a"/>
    <w:pPr>
      <w:spacing w:line="400" w:lineRule="atLeast"/>
      <w:ind w:firstLine="600"/>
    </w:pPr>
    <w:rPr>
      <w:rFonts w:ascii="宋体" w:hint="eastAsia"/>
      <w:sz w:val="28"/>
      <w:szCs w:val="20"/>
    </w:rPr>
  </w:style>
  <w:style w:type="paragraph" w:styleId="40">
    <w:name w:val="toc 4"/>
    <w:basedOn w:val="a"/>
    <w:next w:val="a"/>
    <w:pPr>
      <w:ind w:left="630"/>
      <w:jc w:val="left"/>
    </w:pPr>
    <w:rPr>
      <w:sz w:val="18"/>
      <w:szCs w:val="18"/>
    </w:rPr>
  </w:style>
  <w:style w:type="paragraph" w:customStyle="1" w:styleId="AOHead4">
    <w:name w:val="AOHead4"/>
    <w:basedOn w:val="AOHeadings"/>
    <w:next w:val="AODocTxtL3"/>
    <w:pPr>
      <w:tabs>
        <w:tab w:val="left" w:pos="2160"/>
      </w:tabs>
      <w:ind w:left="2160" w:hanging="720"/>
      <w:outlineLvl w:val="3"/>
    </w:pPr>
  </w:style>
  <w:style w:type="paragraph" w:styleId="af">
    <w:name w:val="List"/>
    <w:basedOn w:val="aa"/>
    <w:pPr>
      <w:widowControl/>
      <w:tabs>
        <w:tab w:val="left" w:pos="720"/>
      </w:tabs>
      <w:spacing w:after="240" w:line="240" w:lineRule="atLeast"/>
      <w:ind w:left="720" w:hanging="360"/>
      <w:jc w:val="left"/>
    </w:pPr>
    <w:rPr>
      <w:rFonts w:eastAsia="PMingLiU"/>
      <w:kern w:val="0"/>
      <w:szCs w:val="20"/>
      <w:lang w:eastAsia="en-US"/>
    </w:rPr>
  </w:style>
  <w:style w:type="paragraph" w:styleId="50">
    <w:name w:val="toc 5"/>
    <w:basedOn w:val="a"/>
    <w:next w:val="a"/>
    <w:pPr>
      <w:ind w:left="840"/>
      <w:jc w:val="left"/>
    </w:pPr>
    <w:rPr>
      <w:sz w:val="18"/>
      <w:szCs w:val="18"/>
    </w:rPr>
  </w:style>
  <w:style w:type="paragraph" w:styleId="32">
    <w:name w:val="toc 3"/>
    <w:basedOn w:val="a"/>
    <w:next w:val="a"/>
    <w:pPr>
      <w:ind w:left="420"/>
      <w:jc w:val="left"/>
    </w:pPr>
    <w:rPr>
      <w:i/>
      <w:iCs/>
      <w:sz w:val="20"/>
      <w:szCs w:val="20"/>
    </w:rPr>
  </w:style>
  <w:style w:type="paragraph" w:styleId="a8">
    <w:name w:val="Plain Text"/>
    <w:basedOn w:val="a"/>
    <w:link w:val="Char0"/>
    <w:rPr>
      <w:rFonts w:ascii="宋体" w:hAnsi="Courier New"/>
      <w:kern w:val="0"/>
      <w:sz w:val="21"/>
      <w:szCs w:val="20"/>
      <w:lang/>
    </w:rPr>
  </w:style>
  <w:style w:type="paragraph" w:styleId="80">
    <w:name w:val="toc 8"/>
    <w:basedOn w:val="a"/>
    <w:next w:val="a"/>
    <w:pPr>
      <w:ind w:left="1470"/>
      <w:jc w:val="left"/>
    </w:pPr>
    <w:rPr>
      <w:sz w:val="18"/>
      <w:szCs w:val="18"/>
    </w:rPr>
  </w:style>
  <w:style w:type="paragraph" w:customStyle="1" w:styleId="AOGenNum2Para">
    <w:name w:val="AOGenNum2Para"/>
    <w:basedOn w:val="AOGenNum2"/>
    <w:next w:val="AOGenNum2List"/>
    <w:pPr>
      <w:keepNext w:val="0"/>
      <w:tabs>
        <w:tab w:val="clear" w:pos="720"/>
        <w:tab w:val="left" w:pos="1588"/>
      </w:tabs>
      <w:ind w:left="1588" w:hanging="737"/>
    </w:pPr>
    <w:rPr>
      <w:b w:val="0"/>
    </w:rPr>
  </w:style>
  <w:style w:type="paragraph" w:styleId="21">
    <w:name w:val="Body Text Indent 2"/>
    <w:basedOn w:val="a"/>
    <w:pPr>
      <w:spacing w:after="120" w:line="480" w:lineRule="auto"/>
      <w:ind w:leftChars="200" w:left="480"/>
    </w:pPr>
  </w:style>
  <w:style w:type="paragraph" w:styleId="10">
    <w:name w:val="index 1"/>
    <w:basedOn w:val="a"/>
    <w:next w:val="a"/>
    <w:pPr>
      <w:ind w:firstLine="422"/>
      <w:outlineLvl w:val="0"/>
    </w:pPr>
    <w:rPr>
      <w:rFonts w:ascii="宋体" w:hAnsi="宋体"/>
      <w:b/>
      <w:bCs/>
      <w:color w:val="000000"/>
      <w:kern w:val="0"/>
    </w:rPr>
  </w:style>
  <w:style w:type="paragraph" w:styleId="90">
    <w:name w:val="toc 9"/>
    <w:basedOn w:val="a"/>
    <w:next w:val="a"/>
    <w:pPr>
      <w:ind w:left="1680"/>
      <w:jc w:val="left"/>
    </w:pPr>
    <w:rPr>
      <w:sz w:val="18"/>
      <w:szCs w:val="18"/>
    </w:rPr>
  </w:style>
  <w:style w:type="paragraph" w:styleId="a6">
    <w:name w:val="footer"/>
    <w:basedOn w:val="a"/>
    <w:link w:val="Char"/>
    <w:pPr>
      <w:tabs>
        <w:tab w:val="center" w:pos="4153"/>
        <w:tab w:val="right" w:pos="8306"/>
      </w:tabs>
      <w:snapToGrid w:val="0"/>
      <w:jc w:val="left"/>
    </w:pPr>
    <w:rPr>
      <w:kern w:val="0"/>
      <w:sz w:val="18"/>
      <w:szCs w:val="18"/>
      <w:lang/>
    </w:rPr>
  </w:style>
  <w:style w:type="paragraph" w:customStyle="1" w:styleId="AODocTxtL5">
    <w:name w:val="AODocTxtL5"/>
    <w:basedOn w:val="AODocTxt"/>
    <w:pPr>
      <w:numPr>
        <w:numId w:val="0"/>
      </w:numPr>
      <w:tabs>
        <w:tab w:val="left" w:pos="4320"/>
      </w:tabs>
      <w:ind w:left="4320" w:hanging="360"/>
    </w:pPr>
  </w:style>
  <w:style w:type="paragraph" w:customStyle="1" w:styleId="AOAnxTitle">
    <w:name w:val="AOAnxTitle"/>
    <w:basedOn w:val="AOAttachments"/>
    <w:next w:val="AODocTxt"/>
    <w:pPr>
      <w:outlineLvl w:val="1"/>
    </w:pPr>
    <w:rPr>
      <w:b/>
    </w:rPr>
  </w:style>
  <w:style w:type="paragraph" w:styleId="60">
    <w:name w:val="toc 6"/>
    <w:basedOn w:val="a"/>
    <w:next w:val="a"/>
    <w:pPr>
      <w:ind w:left="1050"/>
      <w:jc w:val="left"/>
    </w:pPr>
    <w:rPr>
      <w:sz w:val="18"/>
      <w:szCs w:val="18"/>
    </w:rPr>
  </w:style>
  <w:style w:type="paragraph" w:customStyle="1" w:styleId="AOAltHead6">
    <w:name w:val="AOAltHead6"/>
    <w:basedOn w:val="AOHead6"/>
    <w:next w:val="AODocTxtL4"/>
    <w:pPr>
      <w:numPr>
        <w:ilvl w:val="0"/>
        <w:numId w:val="3"/>
      </w:numPr>
      <w:tabs>
        <w:tab w:val="clear" w:pos="3600"/>
      </w:tabs>
      <w:ind w:left="2880"/>
    </w:pPr>
  </w:style>
  <w:style w:type="paragraph" w:customStyle="1" w:styleId="Char2">
    <w:name w:val="Char"/>
    <w:basedOn w:val="a"/>
  </w:style>
  <w:style w:type="paragraph" w:styleId="22">
    <w:name w:val="Body Text 2"/>
    <w:basedOn w:val="a"/>
    <w:rPr>
      <w:sz w:val="28"/>
      <w:szCs w:val="20"/>
    </w:rPr>
  </w:style>
  <w:style w:type="paragraph" w:customStyle="1" w:styleId="AOBullet2">
    <w:name w:val="AOBullet2"/>
    <w:basedOn w:val="AOBullet"/>
    <w:pPr>
      <w:numPr>
        <w:ilvl w:val="2"/>
        <w:numId w:val="3"/>
      </w:numPr>
      <w:tabs>
        <w:tab w:val="clear" w:pos="720"/>
        <w:tab w:val="left" w:pos="1280"/>
      </w:tabs>
      <w:spacing w:before="120"/>
      <w:ind w:left="1280"/>
    </w:pPr>
  </w:style>
  <w:style w:type="paragraph" w:customStyle="1" w:styleId="AOAnxPartHead">
    <w:name w:val="AOAnxPartHead"/>
    <w:basedOn w:val="AOAnxHead"/>
    <w:next w:val="AOAnxPartTitle"/>
    <w:pPr>
      <w:pageBreakBefore w:val="0"/>
      <w:numPr>
        <w:numId w:val="4"/>
      </w:numPr>
      <w:tabs>
        <w:tab w:val="clear" w:pos="720"/>
        <w:tab w:val="left" w:pos="1440"/>
      </w:tabs>
      <w:ind w:left="1440" w:hanging="360"/>
    </w:pPr>
  </w:style>
  <w:style w:type="paragraph" w:styleId="11">
    <w:name w:val="toc 1"/>
    <w:basedOn w:val="a"/>
    <w:next w:val="a"/>
    <w:uiPriority w:val="39"/>
    <w:rsid w:val="00534D8D"/>
    <w:pPr>
      <w:spacing w:before="120" w:after="120"/>
      <w:jc w:val="left"/>
    </w:pPr>
    <w:rPr>
      <w:bCs/>
      <w:caps/>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f3">
    <w:name w:val="Title"/>
    <w:basedOn w:val="a"/>
    <w:qFormat/>
    <w:pPr>
      <w:spacing w:before="240" w:after="60"/>
      <w:ind w:firstLine="425"/>
      <w:jc w:val="center"/>
      <w:outlineLvl w:val="0"/>
    </w:pPr>
    <w:rPr>
      <w:rFonts w:ascii="Arial" w:hAnsi="Arial"/>
      <w:b/>
      <w:sz w:val="32"/>
      <w:szCs w:val="20"/>
    </w:rPr>
  </w:style>
  <w:style w:type="paragraph" w:customStyle="1" w:styleId="AOHead6">
    <w:name w:val="AOHead6"/>
    <w:basedOn w:val="AOHeadings"/>
    <w:next w:val="AODocTxtL5"/>
    <w:pPr>
      <w:tabs>
        <w:tab w:val="left" w:pos="3600"/>
      </w:tabs>
      <w:ind w:left="3600" w:hanging="720"/>
      <w:outlineLvl w:val="5"/>
    </w:pPr>
  </w:style>
  <w:style w:type="paragraph" w:customStyle="1" w:styleId="AOAttachments">
    <w:name w:val="AOAttachments"/>
    <w:basedOn w:val="AOBodyTxt"/>
    <w:next w:val="AODocTxt"/>
    <w:pPr>
      <w:jc w:val="center"/>
    </w:pPr>
    <w:rPr>
      <w:caps/>
    </w:rPr>
  </w:style>
  <w:style w:type="paragraph" w:customStyle="1" w:styleId="AOGenNum2">
    <w:name w:val="AOGenNum2"/>
    <w:basedOn w:val="AOBodyTxt"/>
    <w:next w:val="AOGenNum2Para"/>
    <w:pPr>
      <w:keepNext/>
      <w:numPr>
        <w:numId w:val="5"/>
      </w:numPr>
      <w:tabs>
        <w:tab w:val="left" w:pos="720"/>
      </w:tabs>
      <w:ind w:left="720" w:hanging="720"/>
    </w:pPr>
    <w:rPr>
      <w:b/>
    </w:rPr>
  </w:style>
  <w:style w:type="paragraph" w:styleId="af4">
    <w:name w:val="Normal (Web)"/>
    <w:basedOn w:val="a"/>
    <w:pPr>
      <w:widowControl/>
      <w:spacing w:before="100" w:beforeAutospacing="1" w:after="100" w:afterAutospacing="1"/>
      <w:jc w:val="left"/>
    </w:pPr>
    <w:rPr>
      <w:rFonts w:ascii="Arial Unicode MS" w:eastAsia="Arial Unicode MS" w:hAnsi="Arial Unicode MS" w:cs="Arial Unicode MS" w:hint="eastAsia"/>
      <w:color w:val="000000"/>
      <w:kern w:val="0"/>
    </w:rPr>
  </w:style>
  <w:style w:type="paragraph" w:customStyle="1" w:styleId="AODocTxtL3">
    <w:name w:val="AODocTxtL3"/>
    <w:basedOn w:val="AODocTxt"/>
    <w:pPr>
      <w:numPr>
        <w:numId w:val="0"/>
      </w:numPr>
      <w:tabs>
        <w:tab w:val="left" w:pos="2880"/>
      </w:tabs>
      <w:ind w:left="2880" w:hanging="360"/>
    </w:pPr>
  </w:style>
  <w:style w:type="paragraph" w:customStyle="1" w:styleId="AOGenNum2List">
    <w:name w:val="AOGenNum2List"/>
    <w:basedOn w:val="AOGenNum2"/>
    <w:pPr>
      <w:keepNext w:val="0"/>
      <w:numPr>
        <w:numId w:val="6"/>
      </w:numPr>
      <w:tabs>
        <w:tab w:val="clear" w:pos="720"/>
        <w:tab w:val="left" w:pos="1021"/>
      </w:tabs>
      <w:ind w:left="1021" w:hanging="601"/>
    </w:pPr>
    <w:rPr>
      <w:b w:val="0"/>
    </w:rPr>
  </w:style>
  <w:style w:type="paragraph" w:customStyle="1" w:styleId="AODocTxt">
    <w:name w:val="AODocTxt"/>
    <w:basedOn w:val="AOBodyTxt"/>
    <w:pPr>
      <w:numPr>
        <w:numId w:val="2"/>
      </w:numPr>
    </w:pPr>
  </w:style>
  <w:style w:type="paragraph" w:customStyle="1" w:styleId="p0">
    <w:name w:val="p0"/>
    <w:basedOn w:val="a"/>
    <w:pPr>
      <w:widowControl/>
    </w:pPr>
    <w:rPr>
      <w:kern w:val="0"/>
      <w:szCs w:val="21"/>
    </w:rPr>
  </w:style>
  <w:style w:type="paragraph" w:customStyle="1" w:styleId="CM6">
    <w:name w:val="CM6"/>
    <w:basedOn w:val="Default"/>
    <w:next w:val="Default"/>
    <w:pPr>
      <w:spacing w:line="468" w:lineRule="atLeast"/>
    </w:pPr>
    <w:rPr>
      <w:rFonts w:hAnsi="Calibri" w:cs="Times New Roman"/>
      <w:color w:val="auto"/>
    </w:rPr>
  </w:style>
  <w:style w:type="paragraph" w:customStyle="1" w:styleId="AOGenNum1Para">
    <w:name w:val="AOGenNum1Para"/>
    <w:basedOn w:val="AOGenNum1"/>
    <w:next w:val="AOGenNum1List"/>
    <w:pPr>
      <w:numPr>
        <w:ilvl w:val="0"/>
        <w:numId w:val="7"/>
      </w:numPr>
      <w:tabs>
        <w:tab w:val="clear" w:pos="720"/>
        <w:tab w:val="left" w:pos="1588"/>
      </w:tabs>
      <w:ind w:left="1588" w:hanging="737"/>
    </w:pPr>
    <w:rPr>
      <w:caps w:val="0"/>
    </w:rPr>
  </w:style>
  <w:style w:type="paragraph" w:customStyle="1" w:styleId="AODocTxtL1">
    <w:name w:val="AODocTxtL1"/>
    <w:basedOn w:val="AODocTxt"/>
    <w:pPr>
      <w:numPr>
        <w:numId w:val="0"/>
      </w:numPr>
      <w:tabs>
        <w:tab w:val="left" w:pos="780"/>
      </w:tabs>
      <w:ind w:firstLine="420"/>
    </w:pPr>
  </w:style>
  <w:style w:type="paragraph" w:customStyle="1" w:styleId="AONormal">
    <w:name w:val="AONormal"/>
    <w:pPr>
      <w:spacing w:line="260" w:lineRule="atLeast"/>
    </w:pPr>
    <w:rPr>
      <w:sz w:val="22"/>
      <w:szCs w:val="22"/>
      <w:lang w:val="en-GB" w:eastAsia="en-US"/>
    </w:rPr>
  </w:style>
  <w:style w:type="paragraph" w:customStyle="1" w:styleId="CM54">
    <w:name w:val="CM54"/>
    <w:basedOn w:val="a"/>
    <w:next w:val="a"/>
    <w:pPr>
      <w:autoSpaceDE w:val="0"/>
      <w:autoSpaceDN w:val="0"/>
      <w:adjustRightInd w:val="0"/>
      <w:spacing w:after="468"/>
      <w:jc w:val="left"/>
    </w:pPr>
    <w:rPr>
      <w:rFonts w:ascii="宋体" w:hAnsi="Calibri"/>
      <w:kern w:val="0"/>
    </w:rPr>
  </w:style>
  <w:style w:type="paragraph" w:customStyle="1" w:styleId="CM24">
    <w:name w:val="CM24"/>
    <w:basedOn w:val="Default"/>
    <w:next w:val="Default"/>
    <w:pPr>
      <w:spacing w:line="468" w:lineRule="atLeast"/>
    </w:pPr>
    <w:rPr>
      <w:rFonts w:hAnsi="Calibri" w:cs="Times New Roman"/>
      <w:color w:val="auto"/>
    </w:rPr>
  </w:style>
  <w:style w:type="paragraph" w:customStyle="1" w:styleId="AOGenNum1">
    <w:name w:val="AOGenNum1"/>
    <w:basedOn w:val="AOBodyTxt"/>
    <w:next w:val="AOGenNum1Para"/>
    <w:pPr>
      <w:keepNext/>
      <w:numPr>
        <w:ilvl w:val="1"/>
        <w:numId w:val="8"/>
      </w:numPr>
      <w:tabs>
        <w:tab w:val="left" w:pos="720"/>
      </w:tabs>
      <w:ind w:hanging="720"/>
    </w:pPr>
    <w:rPr>
      <w:b/>
      <w:caps/>
    </w:rPr>
  </w:style>
  <w:style w:type="paragraph" w:customStyle="1" w:styleId="CM8">
    <w:name w:val="CM8"/>
    <w:basedOn w:val="Default"/>
    <w:next w:val="Default"/>
    <w:pPr>
      <w:spacing w:line="468" w:lineRule="atLeast"/>
    </w:pPr>
    <w:rPr>
      <w:rFonts w:hAnsi="Calibri" w:cs="Times New Roman"/>
      <w:color w:val="auto"/>
    </w:rPr>
  </w:style>
  <w:style w:type="paragraph" w:customStyle="1" w:styleId="AOBullet3">
    <w:name w:val="AOBullet3"/>
    <w:basedOn w:val="AOBodyTxt"/>
    <w:pPr>
      <w:numPr>
        <w:numId w:val="9"/>
      </w:numPr>
      <w:tabs>
        <w:tab w:val="left" w:pos="720"/>
      </w:tabs>
      <w:spacing w:before="120"/>
    </w:pPr>
  </w:style>
  <w:style w:type="paragraph" w:customStyle="1" w:styleId="AODocTxtL2">
    <w:name w:val="AODocTxtL2"/>
    <w:basedOn w:val="AODocTxt"/>
    <w:pPr>
      <w:numPr>
        <w:numId w:val="0"/>
      </w:numPr>
      <w:tabs>
        <w:tab w:val="left" w:pos="2160"/>
      </w:tabs>
      <w:ind w:left="2160" w:hanging="360"/>
    </w:pPr>
  </w:style>
  <w:style w:type="paragraph" w:customStyle="1" w:styleId="AOBodyTxt">
    <w:name w:val="AOBodyTxt"/>
    <w:basedOn w:val="AONormal"/>
    <w:next w:val="AODocTxt"/>
    <w:pPr>
      <w:spacing w:before="240"/>
    </w:pPr>
  </w:style>
  <w:style w:type="paragraph" w:customStyle="1" w:styleId="AOHead5">
    <w:name w:val="AOHead5"/>
    <w:basedOn w:val="AOHeadings"/>
    <w:next w:val="AODocTxtL4"/>
    <w:pPr>
      <w:tabs>
        <w:tab w:val="left" w:pos="2880"/>
      </w:tabs>
      <w:ind w:left="2880" w:hanging="720"/>
      <w:outlineLvl w:val="4"/>
    </w:pPr>
  </w:style>
  <w:style w:type="paragraph" w:customStyle="1" w:styleId="AOAltHead5">
    <w:name w:val="AOAltHead5"/>
    <w:basedOn w:val="AOHead5"/>
    <w:next w:val="AODocTxtL3"/>
    <w:pPr>
      <w:numPr>
        <w:ilvl w:val="2"/>
        <w:numId w:val="10"/>
      </w:numPr>
      <w:tabs>
        <w:tab w:val="clear" w:pos="2880"/>
      </w:tabs>
      <w:ind w:left="2160"/>
    </w:pPr>
  </w:style>
  <w:style w:type="paragraph" w:styleId="af5">
    <w:name w:val="List Paragraph"/>
    <w:basedOn w:val="a"/>
    <w:qFormat/>
    <w:pPr>
      <w:ind w:firstLine="420"/>
    </w:pPr>
    <w:rPr>
      <w:rFonts w:ascii="Calibri" w:hAnsi="Calibri"/>
      <w:szCs w:val="22"/>
    </w:rPr>
  </w:style>
  <w:style w:type="paragraph" w:customStyle="1" w:styleId="AODocTxtL4">
    <w:name w:val="AODocTxtL4"/>
    <w:basedOn w:val="AODocTxt"/>
    <w:pPr>
      <w:numPr>
        <w:numId w:val="0"/>
      </w:numPr>
      <w:tabs>
        <w:tab w:val="left" w:pos="3600"/>
      </w:tabs>
      <w:ind w:left="3600" w:hanging="360"/>
    </w:pPr>
  </w:style>
  <w:style w:type="paragraph" w:customStyle="1" w:styleId="AOAnxHead">
    <w:name w:val="AOAnxHead"/>
    <w:basedOn w:val="AOAttachments"/>
    <w:next w:val="AOAnxTitle"/>
    <w:pPr>
      <w:pageBreakBefore/>
      <w:outlineLvl w:val="0"/>
    </w:pPr>
  </w:style>
  <w:style w:type="paragraph" w:customStyle="1" w:styleId="AOGenNum1List">
    <w:name w:val="AOGenNum1List"/>
    <w:basedOn w:val="AOGenNum1"/>
    <w:pPr>
      <w:keepNext w:val="0"/>
      <w:numPr>
        <w:ilvl w:val="0"/>
        <w:numId w:val="11"/>
      </w:numPr>
      <w:tabs>
        <w:tab w:val="clear" w:pos="720"/>
        <w:tab w:val="left" w:pos="851"/>
      </w:tabs>
      <w:ind w:left="851" w:hanging="431"/>
    </w:pPr>
    <w:rPr>
      <w:b w:val="0"/>
      <w:caps w:val="0"/>
    </w:rPr>
  </w:style>
  <w:style w:type="paragraph" w:customStyle="1" w:styleId="AOHead3">
    <w:name w:val="AOHead3"/>
    <w:basedOn w:val="AOHeadings"/>
    <w:next w:val="AODocTxtL2"/>
    <w:pPr>
      <w:tabs>
        <w:tab w:val="left" w:pos="1440"/>
      </w:tabs>
      <w:ind w:left="1440" w:hanging="720"/>
      <w:outlineLvl w:val="2"/>
    </w:pPr>
  </w:style>
  <w:style w:type="paragraph" w:customStyle="1" w:styleId="AOAnxPartTitle">
    <w:name w:val="AOAnxPartTitle"/>
    <w:basedOn w:val="AOAnxTitle"/>
    <w:next w:val="AODocTxt"/>
  </w:style>
  <w:style w:type="paragraph" w:customStyle="1" w:styleId="AOAltHead1">
    <w:name w:val="AOAltHead1"/>
    <w:basedOn w:val="AOHead1"/>
    <w:next w:val="AODocTxtL1"/>
    <w:pPr>
      <w:keepNext w:val="0"/>
      <w:numPr>
        <w:ilvl w:val="7"/>
        <w:numId w:val="2"/>
      </w:numPr>
      <w:ind w:left="720" w:hanging="720"/>
    </w:pPr>
    <w:rPr>
      <w:b w:val="0"/>
      <w:caps w:val="0"/>
    </w:rPr>
  </w:style>
  <w:style w:type="paragraph" w:customStyle="1" w:styleId="AOHead1">
    <w:name w:val="AOHead1"/>
    <w:basedOn w:val="AOHeadings"/>
    <w:next w:val="AODocTxtL1"/>
    <w:pPr>
      <w:keepNext/>
      <w:numPr>
        <w:ilvl w:val="0"/>
        <w:numId w:val="12"/>
      </w:numPr>
      <w:tabs>
        <w:tab w:val="left" w:pos="720"/>
      </w:tabs>
      <w:ind w:left="720" w:hanging="720"/>
      <w:outlineLvl w:val="0"/>
    </w:pPr>
    <w:rPr>
      <w:b/>
      <w:caps/>
      <w:kern w:val="28"/>
    </w:rPr>
  </w:style>
  <w:style w:type="paragraph" w:customStyle="1" w:styleId="CM12">
    <w:name w:val="CM12"/>
    <w:basedOn w:val="Default"/>
    <w:next w:val="Default"/>
    <w:pPr>
      <w:spacing w:line="468" w:lineRule="atLeast"/>
    </w:pPr>
    <w:rPr>
      <w:rFonts w:hAnsi="Calibri" w:cs="Times New Roman"/>
      <w:color w:val="auto"/>
    </w:rPr>
  </w:style>
  <w:style w:type="paragraph" w:customStyle="1" w:styleId="AOAltHead2">
    <w:name w:val="AOAltHead2"/>
    <w:basedOn w:val="AOHead2"/>
    <w:next w:val="AODocTxtL1"/>
    <w:pPr>
      <w:keepNext w:val="0"/>
    </w:pPr>
    <w:rPr>
      <w:b w:val="0"/>
    </w:rPr>
  </w:style>
  <w:style w:type="paragraph" w:customStyle="1" w:styleId="af6">
    <w:name w:val="字元 字元"/>
    <w:basedOn w:val="a"/>
    <w:pPr>
      <w:tabs>
        <w:tab w:val="left" w:pos="870"/>
      </w:tabs>
      <w:ind w:left="870" w:hanging="870"/>
    </w:pPr>
  </w:style>
  <w:style w:type="paragraph" w:customStyle="1" w:styleId="AOBullet">
    <w:name w:val="AOBullet"/>
    <w:basedOn w:val="AOBodyTxt"/>
    <w:pPr>
      <w:ind w:left="720" w:hanging="720"/>
    </w:pPr>
  </w:style>
  <w:style w:type="paragraph" w:customStyle="1" w:styleId="23">
    <w:name w:val="列表2"/>
    <w:basedOn w:val="a"/>
    <w:next w:val="af3"/>
    <w:pPr>
      <w:numPr>
        <w:numId w:val="13"/>
      </w:numPr>
      <w:tabs>
        <w:tab w:val="left" w:pos="907"/>
      </w:tabs>
    </w:pPr>
    <w:rPr>
      <w:szCs w:val="20"/>
    </w:rPr>
  </w:style>
  <w:style w:type="paragraph" w:customStyle="1" w:styleId="af7">
    <w:name w:val="正文正文"/>
    <w:basedOn w:val="a"/>
    <w:pPr>
      <w:spacing w:afterLines="25"/>
    </w:pPr>
  </w:style>
  <w:style w:type="paragraph" w:customStyle="1" w:styleId="AOListNumber">
    <w:name w:val="AOListNumber"/>
    <w:basedOn w:val="AOBodyTxt"/>
    <w:pPr>
      <w:numPr>
        <w:ilvl w:val="1"/>
        <w:numId w:val="3"/>
      </w:numPr>
      <w:tabs>
        <w:tab w:val="left" w:pos="720"/>
      </w:tabs>
    </w:pPr>
  </w:style>
  <w:style w:type="paragraph" w:customStyle="1" w:styleId="AOGenNum3List">
    <w:name w:val="AOGenNum3List"/>
    <w:basedOn w:val="AOGenNum3"/>
    <w:pPr>
      <w:numPr>
        <w:numId w:val="0"/>
      </w:numPr>
      <w:tabs>
        <w:tab w:val="clear" w:pos="720"/>
        <w:tab w:val="left" w:pos="840"/>
      </w:tabs>
      <w:ind w:left="840" w:hanging="420"/>
    </w:pPr>
  </w:style>
  <w:style w:type="paragraph" w:customStyle="1" w:styleId="AOGenNum3">
    <w:name w:val="AOGenNum3"/>
    <w:basedOn w:val="AOBodyTxt"/>
    <w:next w:val="AOGenNum3List"/>
    <w:pPr>
      <w:numPr>
        <w:ilvl w:val="1"/>
        <w:numId w:val="6"/>
      </w:numPr>
      <w:tabs>
        <w:tab w:val="left" w:pos="720"/>
      </w:tabs>
      <w:ind w:left="720" w:hanging="720"/>
    </w:pPr>
  </w:style>
  <w:style w:type="paragraph" w:customStyle="1" w:styleId="AODocTxtL8">
    <w:name w:val="AODocTxtL8"/>
    <w:basedOn w:val="AODocTxt"/>
    <w:pPr>
      <w:numPr>
        <w:numId w:val="8"/>
      </w:numPr>
      <w:tabs>
        <w:tab w:val="left" w:pos="6480"/>
      </w:tabs>
      <w:ind w:left="6480" w:hanging="360"/>
    </w:pPr>
  </w:style>
  <w:style w:type="paragraph" w:customStyle="1" w:styleId="AOAltHead3">
    <w:name w:val="AOAltHead3"/>
    <w:basedOn w:val="AOHead3"/>
    <w:next w:val="AODocTxtL1"/>
    <w:pPr>
      <w:numPr>
        <w:ilvl w:val="0"/>
        <w:numId w:val="10"/>
      </w:numPr>
      <w:tabs>
        <w:tab w:val="clear" w:pos="720"/>
      </w:tabs>
    </w:pPr>
  </w:style>
  <w:style w:type="paragraph" w:customStyle="1" w:styleId="AOAltHead4">
    <w:name w:val="AOAltHead4"/>
    <w:basedOn w:val="AOHead4"/>
    <w:next w:val="AODocTxtL2"/>
    <w:pPr>
      <w:numPr>
        <w:ilvl w:val="0"/>
        <w:numId w:val="10"/>
      </w:numPr>
      <w:tabs>
        <w:tab w:val="clear" w:pos="720"/>
      </w:tabs>
      <w:ind w:left="1440"/>
    </w:pPr>
  </w:style>
  <w:style w:type="paragraph" w:customStyle="1" w:styleId="AOBullet4">
    <w:name w:val="AOBullet4"/>
    <w:basedOn w:val="AOBodyTxt"/>
    <w:pPr>
      <w:numPr>
        <w:ilvl w:val="1"/>
        <w:numId w:val="9"/>
      </w:numPr>
      <w:tabs>
        <w:tab w:val="left" w:pos="720"/>
      </w:tabs>
      <w:spacing w:before="120"/>
    </w:pPr>
  </w:style>
  <w:style w:type="paragraph" w:customStyle="1" w:styleId="ParaChar">
    <w:name w:val="默认段落字体 Para Char"/>
    <w:basedOn w:val="a"/>
    <w:pPr>
      <w:tabs>
        <w:tab w:val="left" w:pos="870"/>
      </w:tabs>
      <w:ind w:left="870" w:hanging="870"/>
    </w:pPr>
  </w:style>
  <w:style w:type="paragraph" w:customStyle="1" w:styleId="CM25">
    <w:name w:val="CM25"/>
    <w:basedOn w:val="Default"/>
    <w:next w:val="Default"/>
    <w:pPr>
      <w:spacing w:line="468" w:lineRule="atLeast"/>
    </w:pPr>
    <w:rPr>
      <w:rFonts w:hAnsi="Calibri" w:cs="Times New Roman"/>
      <w:color w:val="auto"/>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8">
    <w:name w:val="Revision"/>
    <w:uiPriority w:val="99"/>
    <w:semiHidden/>
    <w:rPr>
      <w:kern w:val="2"/>
      <w:sz w:val="21"/>
      <w:szCs w:val="24"/>
    </w:rPr>
  </w:style>
  <w:style w:type="paragraph" w:styleId="af9">
    <w:name w:val="Document Map"/>
    <w:basedOn w:val="a"/>
    <w:link w:val="Char3"/>
    <w:uiPriority w:val="99"/>
    <w:semiHidden/>
    <w:unhideWhenUsed/>
    <w:rsid w:val="00DB7922"/>
    <w:rPr>
      <w:rFonts w:ascii="宋体"/>
      <w:sz w:val="18"/>
      <w:szCs w:val="18"/>
      <w:lang/>
    </w:rPr>
  </w:style>
  <w:style w:type="character" w:customStyle="1" w:styleId="Char3">
    <w:name w:val="文档结构图 Char"/>
    <w:link w:val="af9"/>
    <w:uiPriority w:val="99"/>
    <w:semiHidden/>
    <w:rsid w:val="00DB7922"/>
    <w:rPr>
      <w:rFonts w:ascii="宋体"/>
      <w:kern w:val="2"/>
      <w:sz w:val="18"/>
      <w:szCs w:val="18"/>
    </w:rPr>
  </w:style>
  <w:style w:type="table" w:styleId="afa">
    <w:name w:val="Table Grid"/>
    <w:basedOn w:val="a1"/>
    <w:uiPriority w:val="59"/>
    <w:rsid w:val="007C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C93E26"/>
    <w:rPr>
      <w:b/>
      <w:bCs/>
      <w:kern w:val="44"/>
      <w:sz w:val="28"/>
      <w:szCs w:val="44"/>
    </w:rPr>
  </w:style>
  <w:style w:type="character" w:customStyle="1" w:styleId="3Char">
    <w:name w:val="标题 3 Char"/>
    <w:link w:val="3"/>
    <w:rsid w:val="00C93E26"/>
    <w:rPr>
      <w:b/>
      <w:bCs/>
      <w:kern w:val="2"/>
      <w:sz w:val="24"/>
      <w:szCs w:val="32"/>
    </w:rPr>
  </w:style>
</w:styles>
</file>

<file path=word/webSettings.xml><?xml version="1.0" encoding="utf-8"?>
<w:webSettings xmlns:r="http://schemas.openxmlformats.org/officeDocument/2006/relationships" xmlns:w="http://schemas.openxmlformats.org/wordprocessingml/2006/main">
  <w:divs>
    <w:div w:id="1760130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5307;&#21215;&#35828;&#26126;&#20070;_159963_&#24658;&#29983;&#20013;&#22269;&#20225;&#19994;ETF_diges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25E4-64EB-4360-8036-83C7E39C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共同基金_招募说明书_159963_恒生中国企业ETF_digest.dot</Template>
  <TotalTime>0</TotalTime>
  <Pages>3</Pages>
  <Words>2769</Words>
  <Characters>15787</Characters>
  <Application>Microsoft Office Word</Application>
  <DocSecurity>4</DocSecurity>
  <PresentationFormat/>
  <Lines>131</Lines>
  <Paragraphs>37</Paragraphs>
  <Slides>0</Slides>
  <Notes>0</Notes>
  <HiddenSlides>0</HiddenSlides>
  <MMClips>0</MMClips>
  <ScaleCrop>false</ScaleCrop>
  <Company>Microsoft</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富国恒生中国企业交易型开放式指数证券投资基金招募说明书（更新）(digest)摘要</dc:title>
  <dc:subject>678549</dc:subject>
  <dc:creator>陶人杰</dc:creator>
  <cp:keywords/>
  <cp:lastModifiedBy>ZHONGM</cp:lastModifiedBy>
  <cp:revision>2</cp:revision>
  <cp:lastPrinted>2016-09-06T06:18:00Z</cp:lastPrinted>
  <dcterms:created xsi:type="dcterms:W3CDTF">2020-08-10T16:01:00Z</dcterms:created>
  <dcterms:modified xsi:type="dcterms:W3CDTF">2020-08-10T16:01:00Z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