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A0" w:rsidRPr="00895944" w:rsidRDefault="00AB19A0" w:rsidP="00FF6669">
      <w:pPr>
        <w:spacing w:line="360" w:lineRule="auto"/>
        <w:jc w:val="center"/>
        <w:rPr>
          <w:rFonts w:ascii="宋体" w:hAnsi="宋体"/>
          <w:b/>
          <w:szCs w:val="21"/>
        </w:rPr>
      </w:pPr>
      <w:r w:rsidRPr="00895944">
        <w:rPr>
          <w:rFonts w:ascii="宋体" w:hAnsi="宋体" w:hint="eastAsia"/>
          <w:b/>
          <w:szCs w:val="21"/>
        </w:rPr>
        <w:t>上投摩根基金管理有限公司</w:t>
      </w:r>
    </w:p>
    <w:p w:rsidR="00153C1A" w:rsidRPr="00895944" w:rsidRDefault="00153C1A" w:rsidP="00FF6669">
      <w:pPr>
        <w:spacing w:line="360" w:lineRule="auto"/>
        <w:jc w:val="center"/>
        <w:rPr>
          <w:rFonts w:ascii="宋体" w:hAnsi="宋体"/>
          <w:b/>
          <w:szCs w:val="21"/>
        </w:rPr>
      </w:pPr>
      <w:r w:rsidRPr="00895944">
        <w:rPr>
          <w:rFonts w:ascii="宋体" w:hAnsi="宋体" w:hint="eastAsia"/>
          <w:b/>
          <w:szCs w:val="21"/>
        </w:rPr>
        <w:t>关于调整</w:t>
      </w:r>
      <w:r w:rsidR="00AB19A0" w:rsidRPr="00895944">
        <w:rPr>
          <w:rFonts w:ascii="宋体" w:hAnsi="宋体" w:hint="eastAsia"/>
          <w:b/>
          <w:szCs w:val="21"/>
        </w:rPr>
        <w:t>公司旗下</w:t>
      </w:r>
      <w:r w:rsidR="00895944" w:rsidRPr="00895944">
        <w:rPr>
          <w:rFonts w:ascii="宋体" w:hAnsi="宋体" w:hint="eastAsia"/>
          <w:b/>
          <w:szCs w:val="21"/>
        </w:rPr>
        <w:t>十三</w:t>
      </w:r>
      <w:r w:rsidR="00AB19A0" w:rsidRPr="00895944">
        <w:rPr>
          <w:rFonts w:ascii="宋体" w:hAnsi="宋体" w:hint="eastAsia"/>
          <w:b/>
          <w:szCs w:val="21"/>
        </w:rPr>
        <w:t>只基金的</w:t>
      </w:r>
      <w:r w:rsidRPr="00895944">
        <w:rPr>
          <w:rFonts w:ascii="宋体" w:hAnsi="宋体" w:hint="eastAsia"/>
          <w:b/>
          <w:szCs w:val="21"/>
        </w:rPr>
        <w:t>基金份额净值计算小数点后保留位数的公告</w:t>
      </w:r>
    </w:p>
    <w:p w:rsidR="00153C1A" w:rsidRPr="00895944" w:rsidRDefault="00153C1A" w:rsidP="00FF6669">
      <w:pPr>
        <w:spacing w:line="360" w:lineRule="auto"/>
        <w:jc w:val="center"/>
        <w:rPr>
          <w:rFonts w:ascii="宋体" w:hAnsi="宋体"/>
          <w:bCs/>
          <w:szCs w:val="21"/>
        </w:rPr>
      </w:pPr>
    </w:p>
    <w:p w:rsidR="00895944" w:rsidRPr="00895944" w:rsidRDefault="00153C1A" w:rsidP="00FF6669">
      <w:pPr>
        <w:spacing w:line="360" w:lineRule="auto"/>
        <w:ind w:firstLineChars="236" w:firstLine="496"/>
        <w:rPr>
          <w:rFonts w:ascii="宋体" w:hAnsi="宋体"/>
          <w:bCs/>
          <w:szCs w:val="21"/>
        </w:rPr>
      </w:pPr>
      <w:r w:rsidRPr="00895944">
        <w:rPr>
          <w:rFonts w:ascii="宋体" w:hAnsi="宋体" w:hint="eastAsia"/>
          <w:bCs/>
          <w:szCs w:val="21"/>
        </w:rPr>
        <w:t>为更好地保障基金持有人利益，根据《中国人民共和国证券投资基金法》、《公开募集证券投资基金运作管理办法》、《公开募集证券投资基金信息披露管理办法》等法律法规及</w:t>
      </w:r>
      <w:r w:rsidR="00AB19A0" w:rsidRPr="00895944">
        <w:rPr>
          <w:rFonts w:ascii="宋体" w:hAnsi="宋体" w:hint="eastAsia"/>
          <w:bCs/>
          <w:szCs w:val="21"/>
        </w:rPr>
        <w:t>上投摩根基金</w:t>
      </w:r>
      <w:r w:rsidR="00AB19A0" w:rsidRPr="00895944">
        <w:rPr>
          <w:rFonts w:ascii="宋体" w:hAnsi="宋体"/>
          <w:bCs/>
          <w:szCs w:val="21"/>
        </w:rPr>
        <w:t>管理有限公司</w:t>
      </w:r>
      <w:r w:rsidR="00AB19A0" w:rsidRPr="00895944">
        <w:rPr>
          <w:rFonts w:ascii="宋体" w:hAnsi="宋体" w:hint="eastAsia"/>
          <w:bCs/>
          <w:szCs w:val="21"/>
        </w:rPr>
        <w:t>（以下简称“本公司”或“本基金管理人”）旗下</w:t>
      </w:r>
      <w:r w:rsidR="00895944" w:rsidRPr="00895944">
        <w:rPr>
          <w:rFonts w:ascii="宋体" w:hAnsi="宋体" w:hint="eastAsia"/>
          <w:bCs/>
          <w:szCs w:val="21"/>
        </w:rPr>
        <w:t>十三</w:t>
      </w:r>
      <w:r w:rsidR="00AB19A0" w:rsidRPr="00895944">
        <w:rPr>
          <w:rFonts w:ascii="宋体" w:hAnsi="宋体" w:hint="eastAsia"/>
          <w:bCs/>
          <w:szCs w:val="21"/>
        </w:rPr>
        <w:t>只基金（具体基金请见下文的列表）的基金合同</w:t>
      </w:r>
      <w:r w:rsidRPr="00895944">
        <w:rPr>
          <w:rFonts w:ascii="宋体" w:hAnsi="宋体" w:hint="eastAsia"/>
          <w:bCs/>
          <w:szCs w:val="21"/>
        </w:rPr>
        <w:t>的规定，经与基金托管人</w:t>
      </w:r>
      <w:r w:rsidR="00AB19A0" w:rsidRPr="00895944">
        <w:rPr>
          <w:rFonts w:ascii="宋体" w:hAnsi="宋体" w:hint="eastAsia"/>
          <w:bCs/>
          <w:szCs w:val="21"/>
        </w:rPr>
        <w:t>中国银行股份有限公司</w:t>
      </w:r>
      <w:r w:rsidRPr="00895944">
        <w:rPr>
          <w:rFonts w:ascii="宋体" w:hAnsi="宋体" w:hint="eastAsia"/>
          <w:bCs/>
          <w:szCs w:val="21"/>
        </w:rPr>
        <w:t>协商一致，</w:t>
      </w:r>
      <w:r w:rsidR="00042202" w:rsidRPr="00895944">
        <w:rPr>
          <w:rFonts w:ascii="宋体" w:hAnsi="宋体" w:hint="eastAsia"/>
          <w:bCs/>
          <w:szCs w:val="21"/>
        </w:rPr>
        <w:t>本公司</w:t>
      </w:r>
      <w:r w:rsidRPr="00895944">
        <w:rPr>
          <w:rFonts w:ascii="宋体" w:hAnsi="宋体" w:hint="eastAsia"/>
          <w:bCs/>
          <w:szCs w:val="21"/>
        </w:rPr>
        <w:t>决定调整</w:t>
      </w:r>
      <w:r w:rsidR="00895944">
        <w:rPr>
          <w:rFonts w:ascii="宋体" w:hAnsi="宋体" w:hint="eastAsia"/>
          <w:bCs/>
          <w:szCs w:val="21"/>
        </w:rPr>
        <w:t>该十三</w:t>
      </w:r>
      <w:r w:rsidR="00AB19A0" w:rsidRPr="00895944">
        <w:rPr>
          <w:rFonts w:ascii="宋体" w:hAnsi="宋体" w:hint="eastAsia"/>
          <w:bCs/>
          <w:szCs w:val="21"/>
        </w:rPr>
        <w:t>只基金</w:t>
      </w:r>
      <w:r w:rsidR="00895944" w:rsidRPr="00895944">
        <w:rPr>
          <w:rFonts w:ascii="宋体" w:hAnsi="宋体" w:hint="eastAsia"/>
          <w:bCs/>
          <w:szCs w:val="21"/>
        </w:rPr>
        <w:t>的基金份额净值计算小数点后保留位数，并对相关</w:t>
      </w:r>
      <w:r w:rsidRPr="00895944">
        <w:rPr>
          <w:rFonts w:ascii="宋体" w:hAnsi="宋体" w:hint="eastAsia"/>
          <w:bCs/>
          <w:szCs w:val="21"/>
        </w:rPr>
        <w:t>基金的基金合同和托管协议中涉及基金份额净值计算小数点后保留位数的相关条款进行修改。</w:t>
      </w:r>
    </w:p>
    <w:tbl>
      <w:tblPr>
        <w:tblpPr w:leftFromText="180" w:rightFromText="180" w:vertAnchor="text" w:horzAnchor="margin" w:tblpY="428"/>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7557"/>
      </w:tblGrid>
      <w:tr w:rsidR="00895944" w:rsidRPr="00895944" w:rsidTr="00456D7D">
        <w:trPr>
          <w:trHeight w:val="1595"/>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hint="eastAsia"/>
                <w:color w:val="000000"/>
                <w:kern w:val="0"/>
                <w:szCs w:val="21"/>
              </w:rPr>
              <w:t>编号</w:t>
            </w:r>
          </w:p>
        </w:tc>
        <w:tc>
          <w:tcPr>
            <w:tcW w:w="7557" w:type="dxa"/>
            <w:shd w:val="clear" w:color="auto" w:fill="auto"/>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hint="eastAsia"/>
                <w:color w:val="000000"/>
                <w:kern w:val="0"/>
                <w:szCs w:val="21"/>
              </w:rPr>
              <w:t>基金全称</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1</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上投摩根纯债丰利债券型证券投资基金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2</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上投摩根优信增利债券型证券投资基金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3</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上投摩根分红添利债券型证券投资基金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4</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上投摩根红利回报混合型证券投资基金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5</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上投摩根策略精选灵活配置混合型证券投资基金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6</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上投摩根文体休闲灵活配置混合型证券投资基金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7</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上投摩根科技前沿灵活配置混合型证券投资基金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8</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上投摩根整合驱动灵活配置混合型证券投资基金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9</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上投摩根成长动力混合型证券投资基金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10</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上投摩根健康品质生活混合型证券投资基金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11</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上投摩根安全战略股票型证券投资基金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12</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上投摩根核心成长股票型证券投资基金</w:t>
            </w:r>
          </w:p>
        </w:tc>
      </w:tr>
      <w:tr w:rsidR="00895944" w:rsidRPr="00895944" w:rsidTr="00456D7D">
        <w:trPr>
          <w:trHeight w:val="531"/>
        </w:trPr>
        <w:tc>
          <w:tcPr>
            <w:tcW w:w="930" w:type="dxa"/>
            <w:shd w:val="clear" w:color="auto" w:fill="auto"/>
            <w:noWrap/>
            <w:vAlign w:val="center"/>
            <w:hideMark/>
          </w:tcPr>
          <w:p w:rsidR="00895944" w:rsidRPr="00895944" w:rsidRDefault="00895944" w:rsidP="00456D7D">
            <w:pPr>
              <w:widowControl/>
              <w:jc w:val="center"/>
              <w:rPr>
                <w:rFonts w:ascii="宋体" w:hAnsi="宋体" w:cs="宋体"/>
                <w:color w:val="000000"/>
                <w:kern w:val="0"/>
                <w:szCs w:val="21"/>
              </w:rPr>
            </w:pPr>
            <w:r w:rsidRPr="00895944">
              <w:rPr>
                <w:rFonts w:ascii="宋体" w:hAnsi="宋体" w:cs="宋体"/>
                <w:color w:val="000000"/>
                <w:kern w:val="0"/>
                <w:szCs w:val="21"/>
              </w:rPr>
              <w:t>13</w:t>
            </w:r>
          </w:p>
        </w:tc>
        <w:tc>
          <w:tcPr>
            <w:tcW w:w="7557" w:type="dxa"/>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上投摩根全球天然资源混合型证券投资基金</w:t>
            </w:r>
          </w:p>
        </w:tc>
      </w:tr>
    </w:tbl>
    <w:p w:rsidR="00895944" w:rsidRPr="00895944" w:rsidRDefault="00895944" w:rsidP="00FF6669">
      <w:pPr>
        <w:spacing w:line="360" w:lineRule="auto"/>
        <w:ind w:firstLineChars="236" w:firstLine="496"/>
        <w:rPr>
          <w:rFonts w:ascii="宋体" w:hAnsi="宋体"/>
          <w:bCs/>
          <w:szCs w:val="21"/>
        </w:rPr>
      </w:pPr>
    </w:p>
    <w:p w:rsidR="00895944" w:rsidRDefault="00895944" w:rsidP="00FF6669">
      <w:pPr>
        <w:spacing w:line="360" w:lineRule="auto"/>
        <w:ind w:firstLineChars="236" w:firstLine="498"/>
        <w:rPr>
          <w:rFonts w:ascii="宋体" w:hAnsi="宋体"/>
          <w:b/>
          <w:bCs/>
          <w:szCs w:val="21"/>
        </w:rPr>
      </w:pPr>
    </w:p>
    <w:p w:rsidR="00682489" w:rsidRPr="00895944" w:rsidRDefault="00682489" w:rsidP="00FF6669">
      <w:pPr>
        <w:spacing w:line="360" w:lineRule="auto"/>
        <w:ind w:firstLineChars="236" w:firstLine="498"/>
        <w:rPr>
          <w:rFonts w:ascii="宋体" w:hAnsi="宋体"/>
          <w:b/>
          <w:bCs/>
          <w:szCs w:val="21"/>
        </w:rPr>
      </w:pPr>
      <w:r w:rsidRPr="00895944">
        <w:rPr>
          <w:rFonts w:ascii="宋体" w:hAnsi="宋体" w:hint="eastAsia"/>
          <w:b/>
          <w:bCs/>
          <w:szCs w:val="21"/>
        </w:rPr>
        <w:t>本次修改的主要情况：</w:t>
      </w:r>
    </w:p>
    <w:p w:rsidR="00153C1A" w:rsidRPr="00895944" w:rsidRDefault="00895944" w:rsidP="00FF6669">
      <w:pPr>
        <w:spacing w:line="360" w:lineRule="auto"/>
        <w:ind w:firstLineChars="236" w:firstLine="496"/>
        <w:rPr>
          <w:rFonts w:ascii="宋体" w:hAnsi="宋体"/>
          <w:bCs/>
          <w:szCs w:val="21"/>
        </w:rPr>
      </w:pPr>
      <w:r w:rsidRPr="00895944">
        <w:rPr>
          <w:rFonts w:ascii="宋体" w:hAnsi="宋体" w:hint="eastAsia"/>
          <w:bCs/>
          <w:szCs w:val="21"/>
        </w:rPr>
        <w:t>将相关</w:t>
      </w:r>
      <w:r w:rsidR="00153C1A" w:rsidRPr="00895944">
        <w:rPr>
          <w:rFonts w:ascii="宋体" w:hAnsi="宋体" w:hint="eastAsia"/>
          <w:bCs/>
          <w:szCs w:val="21"/>
        </w:rPr>
        <w:t>基金的基金份额净值的计算小数点后保留位数由小数点后</w:t>
      </w:r>
      <w:r w:rsidR="00153C1A" w:rsidRPr="00895944">
        <w:rPr>
          <w:rFonts w:ascii="宋体" w:hAnsi="宋体"/>
          <w:bCs/>
          <w:szCs w:val="21"/>
        </w:rPr>
        <w:t>3位变更为小数点后4位，小数点后第5位四舍五入。</w:t>
      </w:r>
    </w:p>
    <w:p w:rsidR="00153C1A" w:rsidRPr="00895944" w:rsidRDefault="00895944" w:rsidP="00FF6669">
      <w:pPr>
        <w:spacing w:line="360" w:lineRule="auto"/>
        <w:ind w:firstLineChars="236" w:firstLine="496"/>
        <w:rPr>
          <w:rFonts w:ascii="宋体" w:hAnsi="宋体"/>
          <w:bCs/>
          <w:szCs w:val="21"/>
        </w:rPr>
      </w:pPr>
      <w:r w:rsidRPr="00895944">
        <w:rPr>
          <w:rFonts w:ascii="宋体" w:hAnsi="宋体" w:hint="eastAsia"/>
          <w:bCs/>
          <w:szCs w:val="21"/>
        </w:rPr>
        <w:t>对相关</w:t>
      </w:r>
      <w:r w:rsidR="00153C1A" w:rsidRPr="00895944">
        <w:rPr>
          <w:rFonts w:ascii="宋体" w:hAnsi="宋体" w:hint="eastAsia"/>
          <w:bCs/>
          <w:szCs w:val="21"/>
        </w:rPr>
        <w:t>基金的基金合同和托管协议中涉及基金份额净值计算小数点后保留位数的相关条款进行修改。具体修改内容详见</w:t>
      </w:r>
      <w:r w:rsidR="00756608" w:rsidRPr="00895944">
        <w:rPr>
          <w:rFonts w:ascii="宋体" w:hAnsi="宋体" w:hint="eastAsia"/>
          <w:bCs/>
          <w:szCs w:val="21"/>
        </w:rPr>
        <w:t>本公告</w:t>
      </w:r>
      <w:r w:rsidR="00153C1A" w:rsidRPr="00895944">
        <w:rPr>
          <w:rFonts w:ascii="宋体" w:hAnsi="宋体" w:hint="eastAsia"/>
          <w:bCs/>
          <w:szCs w:val="21"/>
        </w:rPr>
        <w:t>附表</w:t>
      </w:r>
      <w:r w:rsidR="00756608" w:rsidRPr="00895944">
        <w:rPr>
          <w:rFonts w:ascii="宋体" w:hAnsi="宋体" w:hint="eastAsia"/>
          <w:bCs/>
          <w:szCs w:val="21"/>
        </w:rPr>
        <w:t>：</w:t>
      </w:r>
      <w:r w:rsidR="00756608" w:rsidRPr="00895944">
        <w:rPr>
          <w:rFonts w:ascii="宋体" w:hAnsi="宋体" w:hint="eastAsia"/>
          <w:szCs w:val="21"/>
        </w:rPr>
        <w:t>基金合同和托管协议修改明细</w:t>
      </w:r>
      <w:r w:rsidR="002A7FAA" w:rsidRPr="00895944">
        <w:rPr>
          <w:rFonts w:ascii="宋体" w:hAnsi="宋体" w:hint="eastAsia"/>
          <w:szCs w:val="21"/>
        </w:rPr>
        <w:t>，以及登载于本公司网站(</w:t>
      </w:r>
      <w:hyperlink r:id="rId6" w:history="1">
        <w:r w:rsidR="002A7FAA" w:rsidRPr="00895944">
          <w:rPr>
            <w:rStyle w:val="a5"/>
            <w:rFonts w:ascii="宋体" w:hAnsi="宋体" w:hint="eastAsia"/>
            <w:szCs w:val="21"/>
          </w:rPr>
          <w:t>www.cifm.com</w:t>
        </w:r>
      </w:hyperlink>
      <w:r w:rsidR="002A7FAA" w:rsidRPr="00895944">
        <w:rPr>
          <w:rFonts w:ascii="宋体" w:hAnsi="宋体" w:hint="eastAsia"/>
          <w:szCs w:val="21"/>
        </w:rPr>
        <w:t>)</w:t>
      </w:r>
      <w:r w:rsidRPr="00895944">
        <w:rPr>
          <w:rFonts w:ascii="宋体" w:hAnsi="宋体" w:hint="eastAsia"/>
          <w:szCs w:val="21"/>
        </w:rPr>
        <w:t>、</w:t>
      </w:r>
      <w:r w:rsidRPr="00895944">
        <w:rPr>
          <w:rFonts w:ascii="宋体" w:hAnsi="宋体" w:hint="eastAsia"/>
          <w:color w:val="000000" w:themeColor="text1"/>
          <w:szCs w:val="21"/>
        </w:rPr>
        <w:t>中国证监会基金电子</w:t>
      </w:r>
      <w:r w:rsidRPr="00895944">
        <w:rPr>
          <w:rFonts w:ascii="宋体" w:hAnsi="宋体"/>
          <w:color w:val="000000" w:themeColor="text1"/>
          <w:szCs w:val="21"/>
        </w:rPr>
        <w:t>披露网站</w:t>
      </w:r>
      <w:r w:rsidRPr="00895944">
        <w:rPr>
          <w:rFonts w:ascii="宋体" w:hAnsi="宋体" w:hint="eastAsia"/>
          <w:color w:val="000000" w:themeColor="text1"/>
          <w:szCs w:val="21"/>
        </w:rPr>
        <w:t>（</w:t>
      </w:r>
      <w:hyperlink r:id="rId7" w:history="1">
        <w:r w:rsidRPr="00895944">
          <w:rPr>
            <w:rStyle w:val="a5"/>
            <w:rFonts w:ascii="宋体" w:hAnsi="宋体" w:hint="eastAsia"/>
            <w:szCs w:val="21"/>
          </w:rPr>
          <w:t>http://eid.csrc.gov.cn/fund</w:t>
        </w:r>
      </w:hyperlink>
      <w:r w:rsidRPr="00895944">
        <w:rPr>
          <w:rFonts w:ascii="宋体" w:hAnsi="宋体" w:hint="eastAsia"/>
          <w:color w:val="000000" w:themeColor="text1"/>
          <w:szCs w:val="21"/>
        </w:rPr>
        <w:t>）及</w:t>
      </w:r>
      <w:r w:rsidR="002A7FAA" w:rsidRPr="00895944">
        <w:rPr>
          <w:rFonts w:ascii="宋体" w:hAnsi="宋体" w:hint="eastAsia"/>
          <w:szCs w:val="21"/>
        </w:rPr>
        <w:t>中国证监会指定</w:t>
      </w:r>
      <w:r w:rsidRPr="00895944">
        <w:rPr>
          <w:rFonts w:ascii="宋体" w:hAnsi="宋体" w:hint="eastAsia"/>
          <w:szCs w:val="21"/>
        </w:rPr>
        <w:t>的其他</w:t>
      </w:r>
      <w:r w:rsidR="002A7FAA" w:rsidRPr="00895944">
        <w:rPr>
          <w:rFonts w:ascii="宋体" w:hAnsi="宋体" w:hint="eastAsia"/>
          <w:szCs w:val="21"/>
        </w:rPr>
        <w:t>媒介的</w:t>
      </w:r>
      <w:r w:rsidRPr="00895944">
        <w:rPr>
          <w:rFonts w:ascii="宋体" w:hAnsi="宋体" w:hint="eastAsia"/>
          <w:szCs w:val="21"/>
        </w:rPr>
        <w:t>更新后的基金合同</w:t>
      </w:r>
      <w:r w:rsidR="002201FE">
        <w:rPr>
          <w:rFonts w:ascii="宋体" w:hAnsi="宋体" w:hint="eastAsia"/>
          <w:szCs w:val="21"/>
        </w:rPr>
        <w:t>及</w:t>
      </w:r>
      <w:r w:rsidR="002A7FAA" w:rsidRPr="00895944">
        <w:rPr>
          <w:rFonts w:ascii="宋体" w:hAnsi="宋体" w:hint="eastAsia"/>
          <w:szCs w:val="21"/>
        </w:rPr>
        <w:t>托管协议</w:t>
      </w:r>
      <w:r w:rsidR="00153C1A" w:rsidRPr="00895944">
        <w:rPr>
          <w:rFonts w:ascii="宋体" w:hAnsi="宋体" w:hint="eastAsia"/>
          <w:bCs/>
          <w:szCs w:val="21"/>
        </w:rPr>
        <w:t>。</w:t>
      </w:r>
    </w:p>
    <w:p w:rsidR="00682489" w:rsidRPr="00895944" w:rsidRDefault="00682489" w:rsidP="00FF6669">
      <w:pPr>
        <w:spacing w:line="360" w:lineRule="auto"/>
        <w:ind w:firstLineChars="236" w:firstLine="496"/>
        <w:rPr>
          <w:rFonts w:ascii="宋体" w:hAnsi="宋体"/>
          <w:bCs/>
          <w:szCs w:val="21"/>
        </w:rPr>
      </w:pPr>
    </w:p>
    <w:p w:rsidR="00682489" w:rsidRPr="00895944" w:rsidRDefault="00682489" w:rsidP="00FF6669">
      <w:pPr>
        <w:spacing w:line="360" w:lineRule="auto"/>
        <w:ind w:firstLineChars="236" w:firstLine="498"/>
        <w:rPr>
          <w:rFonts w:ascii="宋体" w:hAnsi="宋体"/>
          <w:b/>
          <w:bCs/>
          <w:szCs w:val="21"/>
        </w:rPr>
      </w:pPr>
      <w:r w:rsidRPr="00895944">
        <w:rPr>
          <w:rFonts w:ascii="宋体" w:hAnsi="宋体" w:hint="eastAsia"/>
          <w:b/>
          <w:bCs/>
          <w:szCs w:val="21"/>
        </w:rPr>
        <w:t>重要提示：</w:t>
      </w:r>
    </w:p>
    <w:p w:rsidR="00682489" w:rsidRPr="00895944" w:rsidRDefault="00682489" w:rsidP="00FF6669">
      <w:pPr>
        <w:spacing w:line="360" w:lineRule="auto"/>
        <w:ind w:firstLineChars="236" w:firstLine="496"/>
        <w:rPr>
          <w:rFonts w:ascii="宋体" w:hAnsi="宋体"/>
          <w:szCs w:val="21"/>
        </w:rPr>
      </w:pPr>
      <w:r w:rsidRPr="00895944">
        <w:rPr>
          <w:rFonts w:ascii="宋体" w:hAnsi="宋体" w:hint="eastAsia"/>
          <w:szCs w:val="21"/>
        </w:rPr>
        <w:t>本次修订自</w:t>
      </w:r>
      <w:r w:rsidRPr="00895944">
        <w:rPr>
          <w:rFonts w:ascii="宋体" w:hAnsi="宋体"/>
          <w:szCs w:val="21"/>
        </w:rPr>
        <w:t>2020</w:t>
      </w:r>
      <w:r w:rsidRPr="00895944">
        <w:rPr>
          <w:rFonts w:ascii="宋体" w:hAnsi="宋体" w:hint="eastAsia"/>
          <w:szCs w:val="21"/>
        </w:rPr>
        <w:t>年</w:t>
      </w:r>
      <w:r w:rsidR="00895944" w:rsidRPr="00895944">
        <w:rPr>
          <w:rFonts w:ascii="宋体" w:hAnsi="宋体" w:hint="eastAsia"/>
          <w:szCs w:val="21"/>
        </w:rPr>
        <w:t>8</w:t>
      </w:r>
      <w:r w:rsidRPr="00895944">
        <w:rPr>
          <w:rFonts w:ascii="宋体" w:hAnsi="宋体" w:hint="eastAsia"/>
          <w:szCs w:val="21"/>
        </w:rPr>
        <w:t>月</w:t>
      </w:r>
      <w:r w:rsidR="00895944" w:rsidRPr="00895944">
        <w:rPr>
          <w:rFonts w:ascii="宋体" w:hAnsi="宋体" w:hint="eastAsia"/>
          <w:szCs w:val="21"/>
        </w:rPr>
        <w:t>10</w:t>
      </w:r>
      <w:r w:rsidRPr="00895944">
        <w:rPr>
          <w:rFonts w:ascii="宋体" w:hAnsi="宋体" w:hint="eastAsia"/>
          <w:szCs w:val="21"/>
        </w:rPr>
        <w:t>日起生效。</w:t>
      </w:r>
      <w:bookmarkStart w:id="0" w:name="_GoBack"/>
      <w:bookmarkEnd w:id="0"/>
    </w:p>
    <w:p w:rsidR="00153C1A" w:rsidRPr="00895944" w:rsidRDefault="00042202" w:rsidP="00FF6669">
      <w:pPr>
        <w:spacing w:line="360" w:lineRule="auto"/>
        <w:ind w:firstLineChars="236" w:firstLine="496"/>
        <w:rPr>
          <w:rFonts w:ascii="宋体" w:hAnsi="宋体"/>
          <w:bCs/>
          <w:szCs w:val="21"/>
        </w:rPr>
      </w:pPr>
      <w:r w:rsidRPr="00895944">
        <w:rPr>
          <w:rFonts w:ascii="宋体" w:hAnsi="宋体" w:hint="eastAsia"/>
          <w:bCs/>
          <w:szCs w:val="21"/>
        </w:rPr>
        <w:t>根据</w:t>
      </w:r>
      <w:r w:rsidR="00412ACA" w:rsidRPr="00895944">
        <w:rPr>
          <w:rFonts w:ascii="宋体" w:hAnsi="宋体" w:hint="eastAsia"/>
          <w:bCs/>
          <w:szCs w:val="21"/>
        </w:rPr>
        <w:t>法律</w:t>
      </w:r>
      <w:r w:rsidRPr="00895944">
        <w:rPr>
          <w:rFonts w:ascii="宋体" w:hAnsi="宋体" w:hint="eastAsia"/>
          <w:bCs/>
          <w:szCs w:val="21"/>
        </w:rPr>
        <w:t>法规及</w:t>
      </w:r>
      <w:r w:rsidR="00895944" w:rsidRPr="00895944">
        <w:rPr>
          <w:rFonts w:ascii="宋体" w:hAnsi="宋体" w:hint="eastAsia"/>
          <w:bCs/>
          <w:szCs w:val="21"/>
        </w:rPr>
        <w:t>相关</w:t>
      </w:r>
      <w:r w:rsidRPr="00895944">
        <w:rPr>
          <w:rFonts w:ascii="宋体" w:hAnsi="宋体" w:hint="eastAsia"/>
          <w:bCs/>
          <w:szCs w:val="21"/>
        </w:rPr>
        <w:t>基金</w:t>
      </w:r>
      <w:r w:rsidR="00895944" w:rsidRPr="00895944">
        <w:rPr>
          <w:rFonts w:ascii="宋体" w:hAnsi="宋体" w:hint="eastAsia"/>
          <w:bCs/>
          <w:szCs w:val="21"/>
        </w:rPr>
        <w:t>的</w:t>
      </w:r>
      <w:r w:rsidRPr="00895944">
        <w:rPr>
          <w:rFonts w:ascii="宋体" w:hAnsi="宋体" w:hint="eastAsia"/>
          <w:bCs/>
          <w:szCs w:val="21"/>
        </w:rPr>
        <w:t>基金合同的规定，</w:t>
      </w:r>
      <w:r w:rsidR="00153C1A" w:rsidRPr="00895944">
        <w:rPr>
          <w:rFonts w:ascii="宋体" w:hAnsi="宋体" w:hint="eastAsia"/>
          <w:bCs/>
          <w:szCs w:val="21"/>
        </w:rPr>
        <w:t>上述修改不涉及基金份额持有人权利义务关系的变化，对原有基金份额持有人利益无实质性不利影响，不需要通过召开基金份额持有人大会决定。</w:t>
      </w:r>
    </w:p>
    <w:p w:rsidR="00153C1A" w:rsidRPr="00895944" w:rsidRDefault="00153C1A" w:rsidP="00FF6669">
      <w:pPr>
        <w:spacing w:line="360" w:lineRule="auto"/>
        <w:ind w:firstLineChars="200" w:firstLine="420"/>
        <w:rPr>
          <w:rFonts w:ascii="宋体" w:hAnsi="宋体"/>
          <w:szCs w:val="21"/>
        </w:rPr>
      </w:pPr>
      <w:r w:rsidRPr="00895944">
        <w:rPr>
          <w:rFonts w:ascii="宋体" w:hAnsi="宋体" w:hint="eastAsia"/>
          <w:szCs w:val="21"/>
        </w:rPr>
        <w:t>投资者可拨打客户服务电话(400-889-4888)或登录本公司网站(www.cifm.com)咨询相关信息。</w:t>
      </w:r>
    </w:p>
    <w:p w:rsidR="00153C1A" w:rsidRPr="00895944" w:rsidRDefault="00153C1A" w:rsidP="00FF6669">
      <w:pPr>
        <w:spacing w:line="360" w:lineRule="auto"/>
        <w:ind w:firstLineChars="200" w:firstLine="420"/>
        <w:rPr>
          <w:rFonts w:ascii="宋体" w:hAnsi="宋体"/>
          <w:szCs w:val="21"/>
        </w:rPr>
      </w:pPr>
    </w:p>
    <w:p w:rsidR="00153C1A" w:rsidRPr="00895944" w:rsidRDefault="00153C1A" w:rsidP="00FF6669">
      <w:pPr>
        <w:spacing w:line="360" w:lineRule="auto"/>
        <w:ind w:firstLineChars="200" w:firstLine="422"/>
        <w:rPr>
          <w:rFonts w:ascii="宋体" w:hAnsi="宋体"/>
          <w:b/>
          <w:szCs w:val="21"/>
        </w:rPr>
      </w:pPr>
      <w:r w:rsidRPr="00895944">
        <w:rPr>
          <w:rFonts w:ascii="宋体" w:hAnsi="宋体" w:hint="eastAsia"/>
          <w:b/>
          <w:szCs w:val="21"/>
        </w:rPr>
        <w:t>风险提示：</w:t>
      </w:r>
    </w:p>
    <w:p w:rsidR="00153C1A" w:rsidRPr="00895944" w:rsidRDefault="00153C1A" w:rsidP="00FF6669">
      <w:pPr>
        <w:spacing w:line="360" w:lineRule="auto"/>
        <w:ind w:firstLineChars="200" w:firstLine="420"/>
        <w:rPr>
          <w:rFonts w:ascii="宋体" w:hAnsi="宋体"/>
          <w:szCs w:val="21"/>
        </w:rPr>
      </w:pPr>
      <w:r w:rsidRPr="00895944">
        <w:rPr>
          <w:rFonts w:ascii="宋体" w:hAnsi="宋体" w:hint="eastAsia"/>
          <w:szCs w:val="21"/>
        </w:rPr>
        <w:t>本基金管理人承诺以诚实信用、勤勉尽责的原则管理和运用基金财产,但不保证基金一定盈利,也不保证最低收益。基金的过往业绩并不代表其将来表现,基金管理人所管理的其他基金的业绩并不构成对</w:t>
      </w:r>
      <w:r w:rsidR="00895944" w:rsidRPr="00895944">
        <w:rPr>
          <w:rFonts w:ascii="宋体" w:hAnsi="宋体" w:hint="eastAsia"/>
          <w:szCs w:val="21"/>
        </w:rPr>
        <w:t>相关</w:t>
      </w:r>
      <w:r w:rsidRPr="00895944">
        <w:rPr>
          <w:rFonts w:ascii="宋体" w:hAnsi="宋体" w:hint="eastAsia"/>
          <w:szCs w:val="21"/>
        </w:rPr>
        <w:t>基金业绩表现的保证。投资有风险,敬请投资者认真阅读基金的相关法律文件,并选择适合自身风险承受能力的投资品种进行投资。</w:t>
      </w:r>
    </w:p>
    <w:p w:rsidR="00153C1A" w:rsidRPr="00895944" w:rsidRDefault="00153C1A" w:rsidP="00FF6669">
      <w:pPr>
        <w:spacing w:line="360" w:lineRule="auto"/>
        <w:ind w:firstLineChars="236" w:firstLine="496"/>
        <w:rPr>
          <w:rFonts w:ascii="宋体" w:hAnsi="宋体"/>
          <w:bCs/>
          <w:szCs w:val="21"/>
        </w:rPr>
      </w:pPr>
      <w:r w:rsidRPr="00895944">
        <w:rPr>
          <w:rFonts w:ascii="宋体" w:hAnsi="宋体" w:hint="eastAsia"/>
          <w:szCs w:val="21"/>
        </w:rPr>
        <w:t>特此公告</w:t>
      </w:r>
    </w:p>
    <w:p w:rsidR="00153C1A" w:rsidRPr="00895944" w:rsidRDefault="00153C1A" w:rsidP="00FF6669">
      <w:pPr>
        <w:spacing w:line="360" w:lineRule="auto"/>
        <w:ind w:firstLine="555"/>
        <w:rPr>
          <w:rFonts w:ascii="宋体" w:hAnsi="宋体"/>
          <w:szCs w:val="21"/>
        </w:rPr>
      </w:pPr>
    </w:p>
    <w:p w:rsidR="00153C1A" w:rsidRPr="00895944" w:rsidRDefault="00153C1A" w:rsidP="002A7FAA">
      <w:pPr>
        <w:spacing w:line="360" w:lineRule="auto"/>
        <w:ind w:right="240" w:firstLine="555"/>
        <w:jc w:val="right"/>
        <w:rPr>
          <w:rFonts w:ascii="宋体" w:hAnsi="宋体"/>
          <w:szCs w:val="21"/>
        </w:rPr>
      </w:pPr>
      <w:r w:rsidRPr="00895944">
        <w:rPr>
          <w:rFonts w:ascii="宋体" w:hAnsi="宋体" w:hint="eastAsia"/>
          <w:szCs w:val="21"/>
        </w:rPr>
        <w:t>上投摩根基金管理有限公司</w:t>
      </w:r>
    </w:p>
    <w:p w:rsidR="00153C1A" w:rsidRPr="00895944" w:rsidRDefault="002A7FAA" w:rsidP="002A7FAA">
      <w:pPr>
        <w:spacing w:line="360" w:lineRule="auto"/>
        <w:ind w:right="240" w:firstLine="555"/>
        <w:jc w:val="right"/>
        <w:rPr>
          <w:rFonts w:ascii="宋体" w:hAnsi="宋体"/>
          <w:szCs w:val="21"/>
        </w:rPr>
      </w:pPr>
      <w:r w:rsidRPr="00895944">
        <w:rPr>
          <w:rFonts w:ascii="宋体" w:hAnsi="宋体" w:hint="eastAsia"/>
          <w:szCs w:val="21"/>
        </w:rPr>
        <w:t>2020</w:t>
      </w:r>
      <w:r w:rsidR="00153C1A" w:rsidRPr="00895944">
        <w:rPr>
          <w:rFonts w:ascii="宋体" w:hAnsi="宋体" w:hint="eastAsia"/>
          <w:szCs w:val="21"/>
        </w:rPr>
        <w:t>年</w:t>
      </w:r>
      <w:r w:rsidR="00895944" w:rsidRPr="00895944">
        <w:rPr>
          <w:rFonts w:ascii="宋体" w:hAnsi="宋体" w:hint="eastAsia"/>
          <w:szCs w:val="21"/>
        </w:rPr>
        <w:t>8</w:t>
      </w:r>
      <w:r w:rsidR="00153C1A" w:rsidRPr="00895944">
        <w:rPr>
          <w:rFonts w:ascii="宋体" w:hAnsi="宋体" w:hint="eastAsia"/>
          <w:szCs w:val="21"/>
        </w:rPr>
        <w:t>月</w:t>
      </w:r>
      <w:r w:rsidR="00895944" w:rsidRPr="00895944">
        <w:rPr>
          <w:rFonts w:ascii="宋体" w:hAnsi="宋体" w:hint="eastAsia"/>
          <w:szCs w:val="21"/>
        </w:rPr>
        <w:t>7</w:t>
      </w:r>
      <w:r w:rsidR="00153C1A" w:rsidRPr="00895944">
        <w:rPr>
          <w:rFonts w:ascii="宋体" w:hAnsi="宋体" w:hint="eastAsia"/>
          <w:szCs w:val="21"/>
        </w:rPr>
        <w:t>日</w:t>
      </w:r>
    </w:p>
    <w:p w:rsidR="00153C1A" w:rsidRPr="00895944" w:rsidRDefault="00153C1A" w:rsidP="00FF6669">
      <w:pPr>
        <w:widowControl/>
        <w:spacing w:line="360" w:lineRule="auto"/>
        <w:rPr>
          <w:rFonts w:ascii="宋体" w:hAnsi="宋体"/>
          <w:szCs w:val="21"/>
        </w:rPr>
      </w:pPr>
      <w:r w:rsidRPr="00895944">
        <w:rPr>
          <w:rFonts w:ascii="宋体" w:hAnsi="宋体"/>
          <w:szCs w:val="21"/>
        </w:rPr>
        <w:br w:type="page"/>
      </w:r>
      <w:r w:rsidRPr="00895944">
        <w:rPr>
          <w:rFonts w:ascii="宋体" w:hAnsi="宋体" w:hint="eastAsia"/>
          <w:szCs w:val="21"/>
        </w:rPr>
        <w:lastRenderedPageBreak/>
        <w:t>附</w:t>
      </w:r>
      <w:r w:rsidRPr="00895944">
        <w:rPr>
          <w:rFonts w:ascii="宋体" w:hAnsi="宋体"/>
          <w:szCs w:val="21"/>
        </w:rPr>
        <w:t>表：</w:t>
      </w:r>
      <w:r w:rsidRPr="00895944">
        <w:rPr>
          <w:rFonts w:ascii="宋体" w:hAnsi="宋体" w:hint="eastAsia"/>
          <w:szCs w:val="21"/>
        </w:rPr>
        <w:t>基金合同和托管协议修改明细</w:t>
      </w: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1</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上投摩根纯债丰利债券型证券投资基金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本基金两类基金份额净值的计算，均保留到小数点后</w:t>
            </w:r>
            <w:r w:rsidRPr="00895944">
              <w:rPr>
                <w:rFonts w:ascii="宋体" w:hAnsi="宋体" w:cs="宋体"/>
                <w:color w:val="000000"/>
                <w:kern w:val="0"/>
                <w:szCs w:val="21"/>
              </w:rPr>
              <w:t>3</w:t>
            </w:r>
            <w:r w:rsidRPr="00895944">
              <w:rPr>
                <w:rFonts w:ascii="宋体" w:hAnsi="宋体" w:cs="宋体" w:hint="eastAsia"/>
                <w:color w:val="000000"/>
                <w:kern w:val="0"/>
                <w:szCs w:val="21"/>
              </w:rPr>
              <w:t>位，小数点后第</w:t>
            </w:r>
            <w:r w:rsidRPr="00895944">
              <w:rPr>
                <w:rFonts w:ascii="宋体" w:hAnsi="宋体" w:cs="宋体"/>
                <w:color w:val="000000"/>
                <w:kern w:val="0"/>
                <w:szCs w:val="21"/>
              </w:rPr>
              <w:t>4</w:t>
            </w:r>
            <w:r w:rsidRPr="00895944">
              <w:rPr>
                <w:rFonts w:ascii="宋体" w:hAnsi="宋体" w:cs="宋体" w:hint="eastAsia"/>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本基金两类基金份额净值的计算，均保留到小数点后4位，小数点后第5位四舍五入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两类基金份额净值均精确到0.001元，小数点后第四位四舍五入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两类基金份额净值均精确到0.0001元，小数点后第五位四舍五入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当某一类基金份额净值小数点后</w:t>
            </w:r>
            <w:r w:rsidRPr="00895944">
              <w:rPr>
                <w:rFonts w:ascii="宋体" w:hAnsi="宋体" w:cs="宋体"/>
                <w:color w:val="000000"/>
                <w:kern w:val="0"/>
                <w:szCs w:val="21"/>
              </w:rPr>
              <w:t>3</w:t>
            </w:r>
            <w:r w:rsidRPr="00895944">
              <w:rPr>
                <w:rFonts w:ascii="宋体" w:hAnsi="宋体" w:cs="宋体" w:hint="eastAsia"/>
                <w:color w:val="000000"/>
                <w:kern w:val="0"/>
                <w:szCs w:val="21"/>
              </w:rPr>
              <w:t>位以内(含第</w:t>
            </w:r>
            <w:r w:rsidRPr="00895944">
              <w:rPr>
                <w:rFonts w:ascii="宋体" w:hAnsi="宋体" w:cs="宋体"/>
                <w:color w:val="000000"/>
                <w:kern w:val="0"/>
                <w:szCs w:val="21"/>
              </w:rPr>
              <w:t>3</w:t>
            </w:r>
            <w:r w:rsidRPr="00895944">
              <w:rPr>
                <w:rFonts w:ascii="宋体" w:hAnsi="宋体" w:cs="宋体" w:hint="eastAsia"/>
                <w:color w:val="000000"/>
                <w:kern w:val="0"/>
                <w:szCs w:val="21"/>
              </w:rPr>
              <w:t>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当某一类基金份额净值小数点后4位以内(含第4位)发生估值错误时，视为基金份额净值错误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2</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上投摩根优信增利债券型证券投资基金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本基金两类基金份额净值的计算，均保留到小数点后</w:t>
            </w:r>
            <w:r w:rsidRPr="00895944">
              <w:rPr>
                <w:rFonts w:ascii="宋体" w:hAnsi="宋体" w:cs="宋体"/>
                <w:color w:val="000000"/>
                <w:kern w:val="0"/>
                <w:szCs w:val="21"/>
              </w:rPr>
              <w:t>3</w:t>
            </w:r>
            <w:r w:rsidRPr="00895944">
              <w:rPr>
                <w:rFonts w:ascii="宋体" w:hAnsi="宋体" w:cs="宋体" w:hint="eastAsia"/>
                <w:color w:val="000000"/>
                <w:kern w:val="0"/>
                <w:szCs w:val="21"/>
              </w:rPr>
              <w:t>位，小数点后第</w:t>
            </w:r>
            <w:r w:rsidRPr="00895944">
              <w:rPr>
                <w:rFonts w:ascii="宋体" w:hAnsi="宋体" w:cs="宋体"/>
                <w:color w:val="000000"/>
                <w:kern w:val="0"/>
                <w:szCs w:val="21"/>
              </w:rPr>
              <w:t>4</w:t>
            </w:r>
            <w:r w:rsidRPr="00895944">
              <w:rPr>
                <w:rFonts w:ascii="宋体" w:hAnsi="宋体" w:cs="宋体" w:hint="eastAsia"/>
                <w:color w:val="000000"/>
                <w:kern w:val="0"/>
                <w:szCs w:val="21"/>
              </w:rPr>
              <w:t>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本基金两类基金份额净值的计算，均保留到小数点后4位，小数点后第5位四舍五入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两类基金份额净值均精确到0.001元，小数点后第四位四舍五入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两类基金份额净值均精确到0.0001元，小数点后第五位四舍五入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当某一类基金份额净值小数点后</w:t>
            </w:r>
            <w:r w:rsidRPr="00895944">
              <w:rPr>
                <w:rFonts w:ascii="宋体" w:hAnsi="宋体" w:cs="宋体"/>
                <w:color w:val="000000"/>
                <w:kern w:val="0"/>
                <w:szCs w:val="21"/>
              </w:rPr>
              <w:t>3</w:t>
            </w:r>
            <w:r w:rsidRPr="00895944">
              <w:rPr>
                <w:rFonts w:ascii="宋体" w:hAnsi="宋体" w:cs="宋体" w:hint="eastAsia"/>
                <w:color w:val="000000"/>
                <w:kern w:val="0"/>
                <w:szCs w:val="21"/>
              </w:rPr>
              <w:t>位以内(含第</w:t>
            </w:r>
            <w:r w:rsidRPr="00895944">
              <w:rPr>
                <w:rFonts w:ascii="宋体" w:hAnsi="宋体" w:cs="宋体"/>
                <w:color w:val="000000"/>
                <w:kern w:val="0"/>
                <w:szCs w:val="21"/>
              </w:rPr>
              <w:t>3</w:t>
            </w:r>
            <w:r w:rsidRPr="00895944">
              <w:rPr>
                <w:rFonts w:ascii="宋体" w:hAnsi="宋体" w:cs="宋体" w:hint="eastAsia"/>
                <w:color w:val="000000"/>
                <w:kern w:val="0"/>
                <w:szCs w:val="21"/>
              </w:rPr>
              <w:t>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当某一类基金份额净值小数点后4位以内(含第4位)发生估值错误时，视为基金份额净值错误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两类基金份额净值的计算精确到0.0001元，小数点后第五位四舍五入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3</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上投摩根分红添利债券型证券投资基金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十七、基金资产的估值</w:t>
            </w:r>
            <w:r w:rsidRPr="00895944">
              <w:rPr>
                <w:rFonts w:ascii="宋体" w:hAnsi="宋体" w:cs="宋体"/>
                <w:color w:val="000000"/>
                <w:kern w:val="0"/>
                <w:szCs w:val="21"/>
              </w:rPr>
              <w:br/>
            </w:r>
            <w:r w:rsidRPr="00895944">
              <w:rPr>
                <w:rFonts w:ascii="宋体" w:hAnsi="宋体" w:cs="宋体" w:hint="eastAsia"/>
                <w:color w:val="000000"/>
                <w:kern w:val="0"/>
                <w:szCs w:val="21"/>
              </w:rPr>
              <w:t>（七）基金份额净值的确认</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 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 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十七、基金资产的估值</w:t>
            </w:r>
            <w:r w:rsidRPr="00895944">
              <w:rPr>
                <w:rFonts w:ascii="宋体" w:hAnsi="宋体" w:cs="宋体"/>
                <w:color w:val="000000"/>
                <w:kern w:val="0"/>
                <w:szCs w:val="21"/>
              </w:rPr>
              <w:br/>
            </w:r>
            <w:r w:rsidRPr="00895944">
              <w:rPr>
                <w:rFonts w:ascii="宋体" w:hAnsi="宋体" w:cs="宋体" w:hint="eastAsia"/>
                <w:color w:val="000000"/>
                <w:kern w:val="0"/>
                <w:szCs w:val="21"/>
              </w:rPr>
              <w:t>（八）估值错误的处理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当基金财产的估值导致基金份额净值小数点后三位（含第三位）内发生差错时，视为基金份额净值估值错误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当基金财产的估值导致基金份额净值小数点后四位（含第四位）内发生差错时，视为基金份额净值估值错误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当基金资产的估值导致基金份额净值小数点后三位内（含第3位）发生差错时，视为基金份额净值估值错误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当基金资产的估值导致基金份额净值小数点后四位内（含第4位）发生差错时，视为基金份额净值估值错误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4</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上投摩根红利回报混合型证券投资基金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5</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上投摩根策略精选灵活配置混合型证券投资基金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当基金资产的估值导致基金份额净值小数点后三位内（含第三位）发生差错时，视为基金份额净值估值错误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当基金资产的估值导致基金份额净值小数点后四位内（含第四位）发生差错时，视为基金份额净值估值错误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6</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上投摩根文体休闲灵活配置混合型证券投资基金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当基金资产的估值导致基金份额净值小数点后三位内（含第三位）发生差错时，视为基金份额净值估值错误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当基金资产的估值导致基金份额净值小数点后四位内（含第四位）发生差错时，视为基金份额净值估值错误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7</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上投摩根科技</w:t>
            </w:r>
            <w:r w:rsidRPr="00895944">
              <w:rPr>
                <w:rFonts w:ascii="宋体" w:hAnsi="宋体" w:cs="宋体"/>
                <w:color w:val="000000"/>
                <w:kern w:val="0"/>
                <w:szCs w:val="21"/>
              </w:rPr>
              <w:t>前沿</w:t>
            </w:r>
            <w:r w:rsidRPr="00895944">
              <w:rPr>
                <w:rFonts w:ascii="宋体" w:hAnsi="宋体" w:cs="宋体" w:hint="eastAsia"/>
                <w:color w:val="000000"/>
                <w:kern w:val="0"/>
                <w:szCs w:val="21"/>
              </w:rPr>
              <w:t>灵活配置混合型证券投资基金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当基金资产的估值导致基金份额净值小数点后三位内（含第三位）发生差错时，视为基金份额净值估值错误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当基金资产的估值导致基金份额净值小数点后四位内（含第四位）发生差错时，视为基金份额净值估值错误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8</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上投摩根整合驱动灵活配置混合型证券投资基金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当基金资产的估值导致基金份额净值小数点后三位内（含第三位）发生差错时，视为基金份额净值估值错误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当基金资产的估值导致基金份额净值小数点后四位内（含第四位）发生差错时，视为基金份额净值估值错误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9</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上投摩根成长动力混合型证券投资基金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p>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10</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上投摩根健康品质生活混合型证券投资基金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十七、基金资产的估值</w:t>
            </w:r>
            <w:r w:rsidRPr="00895944">
              <w:rPr>
                <w:rFonts w:ascii="宋体" w:hAnsi="宋体" w:cs="宋体"/>
                <w:color w:val="000000"/>
                <w:kern w:val="0"/>
                <w:szCs w:val="21"/>
              </w:rPr>
              <w:br/>
            </w:r>
            <w:r w:rsidRPr="00895944">
              <w:rPr>
                <w:rFonts w:ascii="宋体" w:hAnsi="宋体" w:cs="宋体" w:hint="eastAsia"/>
                <w:color w:val="000000"/>
                <w:kern w:val="0"/>
                <w:szCs w:val="21"/>
              </w:rPr>
              <w:t>（七）基金份额净值的确认</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 元，小数点后第4位四舍五入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 元，小数点后第5位四舍五入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十七、基金资产的估值</w:t>
            </w:r>
            <w:r w:rsidRPr="00895944">
              <w:rPr>
                <w:rFonts w:ascii="宋体" w:hAnsi="宋体" w:cs="宋体"/>
                <w:color w:val="000000"/>
                <w:kern w:val="0"/>
                <w:szCs w:val="21"/>
              </w:rPr>
              <w:br/>
            </w:r>
            <w:r w:rsidRPr="00895944">
              <w:rPr>
                <w:rFonts w:ascii="宋体" w:hAnsi="宋体" w:cs="宋体" w:hint="eastAsia"/>
                <w:color w:val="000000"/>
                <w:kern w:val="0"/>
                <w:szCs w:val="21"/>
              </w:rPr>
              <w:t>（八）估值错误的处理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当基金财产的估值导致基金份额净值小数点后三位（含第三位）内发生差错时，视为基金份额净值估值错误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当基金财产的估值导致基金份额净值小数点后四位（含第四位）内发生差错时，视为基金份额净值估值错误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当基金资产的估值导致基金份额净值小数点后三位（含第三位）内发生差错时，视为基金份额净值估值错误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当基金资产的估值导致基金份额净值小数点后四位（含第四位）内发生差错时，视为基金份额净值估值错误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11</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上投摩根安全战略股票型证券投资基金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当基金资产的估值导致基金份额净值小数点后三位内（含第三位）发生差错时，视为基金份额净值估值错误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当基金资产的估值导致基金份额净值小数点后四位内（含第四位）发生差错时，视为基金份额净值估值错误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firstLine="555"/>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12</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上投摩根核心成长股票型证券投资基金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第六部分 基金份额的申购与赎回</w:t>
            </w:r>
            <w:r w:rsidRPr="00895944">
              <w:rPr>
                <w:rFonts w:ascii="宋体" w:hAnsi="宋体" w:cs="宋体"/>
                <w:color w:val="000000"/>
                <w:kern w:val="0"/>
                <w:szCs w:val="21"/>
              </w:rPr>
              <w:br/>
              <w:t>六</w:t>
            </w:r>
            <w:r w:rsidRPr="00895944">
              <w:rPr>
                <w:rFonts w:ascii="宋体" w:hAnsi="宋体" w:cs="宋体" w:hint="eastAsia"/>
                <w:color w:val="000000"/>
                <w:kern w:val="0"/>
                <w:szCs w:val="21"/>
              </w:rPr>
              <w:t>、</w:t>
            </w:r>
            <w:r w:rsidRPr="00895944">
              <w:rPr>
                <w:rFonts w:ascii="宋体" w:hAnsi="宋体" w:cs="宋体"/>
                <w:color w:val="000000"/>
                <w:kern w:val="0"/>
                <w:szCs w:val="21"/>
              </w:rPr>
              <w:t>申购和赎回的价格、费用及其用途</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本基金份额净值的计算，保留到小数点后3位，小数点后第4位四舍五入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本基金份额净值的计算，保留到小数点后4位，小数点后第5位四舍五入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四</w:t>
            </w:r>
            <w:r w:rsidRPr="00895944">
              <w:rPr>
                <w:rFonts w:ascii="宋体" w:hAnsi="宋体" w:cs="宋体" w:hint="eastAsia"/>
                <w:color w:val="000000"/>
                <w:kern w:val="0"/>
                <w:szCs w:val="21"/>
              </w:rPr>
              <w:t>、</w:t>
            </w:r>
            <w:r w:rsidRPr="00895944">
              <w:rPr>
                <w:rFonts w:ascii="宋体" w:hAnsi="宋体" w:cs="宋体"/>
                <w:color w:val="000000"/>
                <w:kern w:val="0"/>
                <w:szCs w:val="21"/>
              </w:rPr>
              <w:t>估值程序</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基金份额净值是按照每个工作日闭市后，基金资产净值除以当日基金份额的余额数量计算，精确到0.0001元，小数点后第五位四舍五入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第十四部分 基金资产估值</w:t>
            </w:r>
            <w:r w:rsidRPr="00895944">
              <w:rPr>
                <w:rFonts w:ascii="宋体" w:hAnsi="宋体" w:cs="宋体"/>
                <w:color w:val="000000"/>
                <w:kern w:val="0"/>
                <w:szCs w:val="21"/>
              </w:rPr>
              <w:br/>
              <w:t>五</w:t>
            </w:r>
            <w:r w:rsidRPr="00895944">
              <w:rPr>
                <w:rFonts w:ascii="宋体" w:hAnsi="宋体" w:cs="宋体" w:hint="eastAsia"/>
                <w:color w:val="000000"/>
                <w:kern w:val="0"/>
                <w:szCs w:val="21"/>
              </w:rPr>
              <w:t>、</w:t>
            </w:r>
            <w:r w:rsidRPr="00895944">
              <w:rPr>
                <w:rFonts w:ascii="宋体" w:hAnsi="宋体" w:cs="宋体"/>
                <w:color w:val="000000"/>
                <w:kern w:val="0"/>
                <w:szCs w:val="21"/>
              </w:rPr>
              <w:t>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当基金份额净值小数点后3位以内(含第3位)发生估值错误时，视为基金份额净值错误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当基金份额净值小数点后4位以内(含第4位)发生估值错误时，视为基金份额净值错误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八、基金资产净值计算和会计核算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（一）基金资产净值的计算和复核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当基金资产的估值导致基金份额净值小数点后三位内（含第三位）发生差错时，视为基金份额净值估值错误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当基金资产的估值导致基金份额净值小数点后四位内（含第四位）发生差错时，视为基金份额净值估值错误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spacing w:line="360" w:lineRule="auto"/>
        <w:ind w:right="240" w:firstLine="555"/>
        <w:jc w:val="left"/>
        <w:rPr>
          <w:rFonts w:ascii="宋体" w:hAnsi="宋体"/>
          <w:szCs w:val="21"/>
        </w:rPr>
      </w:pPr>
    </w:p>
    <w:p w:rsidR="00895944" w:rsidRPr="00895944" w:rsidRDefault="00895944" w:rsidP="00895944">
      <w:pPr>
        <w:widowControl/>
        <w:jc w:val="left"/>
        <w:rPr>
          <w:rFonts w:ascii="宋体" w:hAnsi="宋体"/>
          <w:szCs w:val="21"/>
        </w:rPr>
      </w:pPr>
      <w:r w:rsidRPr="00895944">
        <w:rPr>
          <w:rFonts w:ascii="宋体" w:hAnsi="宋体"/>
          <w:szCs w:val="21"/>
        </w:rPr>
        <w:br w:type="page"/>
      </w:r>
    </w:p>
    <w:p w:rsidR="00895944" w:rsidRPr="00895944" w:rsidRDefault="00895944" w:rsidP="00895944">
      <w:pPr>
        <w:spacing w:line="360" w:lineRule="auto"/>
        <w:ind w:right="240"/>
        <w:jc w:val="left"/>
        <w:rPr>
          <w:rFonts w:ascii="宋体" w:hAnsi="宋体"/>
          <w:szCs w:val="21"/>
        </w:rPr>
      </w:pPr>
    </w:p>
    <w:tbl>
      <w:tblPr>
        <w:tblW w:w="9918" w:type="dxa"/>
        <w:tblInd w:w="-743" w:type="dxa"/>
        <w:tblLook w:val="04A0"/>
      </w:tblPr>
      <w:tblGrid>
        <w:gridCol w:w="704"/>
        <w:gridCol w:w="2977"/>
        <w:gridCol w:w="3260"/>
        <w:gridCol w:w="2977"/>
      </w:tblGrid>
      <w:tr w:rsidR="00895944" w:rsidRPr="00895944" w:rsidTr="00456D7D">
        <w:trPr>
          <w:trHeight w:val="61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color w:val="000000"/>
                <w:kern w:val="0"/>
                <w:szCs w:val="21"/>
              </w:rPr>
              <w:t>13</w:t>
            </w:r>
          </w:p>
        </w:tc>
        <w:tc>
          <w:tcPr>
            <w:tcW w:w="9214" w:type="dxa"/>
            <w:gridSpan w:val="3"/>
            <w:tcBorders>
              <w:top w:val="single" w:sz="4" w:space="0" w:color="auto"/>
              <w:left w:val="nil"/>
              <w:bottom w:val="single" w:sz="4" w:space="0" w:color="auto"/>
              <w:right w:val="single" w:sz="4" w:space="0" w:color="auto"/>
            </w:tcBorders>
            <w:shd w:val="clear" w:color="auto" w:fill="auto"/>
            <w:noWrap/>
            <w:vAlign w:val="center"/>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上投摩根全球天然资源混合型证券投资基金</w:t>
            </w:r>
          </w:p>
        </w:tc>
      </w:tr>
      <w:tr w:rsidR="00895944" w:rsidRPr="00895944" w:rsidTr="00456D7D">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法律文件</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章节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修改后</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基金合同</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十七、基金资产的估值</w:t>
            </w:r>
            <w:r w:rsidRPr="00895944">
              <w:rPr>
                <w:rFonts w:ascii="宋体" w:hAnsi="宋体" w:cs="宋体"/>
                <w:color w:val="000000"/>
                <w:kern w:val="0"/>
                <w:szCs w:val="21"/>
              </w:rPr>
              <w:br/>
            </w:r>
            <w:r w:rsidRPr="00895944">
              <w:rPr>
                <w:rFonts w:ascii="宋体" w:hAnsi="宋体" w:cs="宋体" w:hint="eastAsia"/>
                <w:color w:val="000000"/>
                <w:kern w:val="0"/>
                <w:szCs w:val="21"/>
              </w:rPr>
              <w:t>（七）基金份额净值的确认</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 人民币，小数点后第四位四舍五入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 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十七、基金资产的估值</w:t>
            </w:r>
            <w:r w:rsidRPr="00895944">
              <w:rPr>
                <w:rFonts w:ascii="宋体" w:hAnsi="宋体" w:cs="宋体"/>
                <w:color w:val="000000"/>
                <w:kern w:val="0"/>
                <w:szCs w:val="21"/>
              </w:rPr>
              <w:br/>
            </w:r>
            <w:r w:rsidRPr="00895944">
              <w:rPr>
                <w:rFonts w:ascii="宋体" w:hAnsi="宋体" w:cs="宋体" w:hint="eastAsia"/>
                <w:color w:val="000000"/>
                <w:kern w:val="0"/>
                <w:szCs w:val="21"/>
              </w:rPr>
              <w:t>（八）估值错误的处理</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当基金资产的估值导致基金份额净值小数点后四位内发生差错时，视为基金份额净值估值错误</w:t>
            </w:r>
          </w:p>
        </w:tc>
      </w:tr>
      <w:tr w:rsidR="00895944" w:rsidRPr="00895944" w:rsidTr="00456D7D">
        <w:trPr>
          <w:trHeight w:val="1248"/>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托管协议</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九、基金资产净值计算和会计核算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（二）基金资产净值的计算和复核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基金份额净值的计算，精确到0.001元，小数点后第四位四舍五入</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基金份额净值的计算，精确到0.0001元，小数点后第五位四舍五入</w:t>
            </w:r>
          </w:p>
        </w:tc>
      </w:tr>
      <w:tr w:rsidR="00895944" w:rsidRPr="00895944" w:rsidTr="00456D7D">
        <w:trPr>
          <w:trHeight w:val="1248"/>
        </w:trPr>
        <w:tc>
          <w:tcPr>
            <w:tcW w:w="704" w:type="dxa"/>
            <w:vMerge/>
            <w:tcBorders>
              <w:top w:val="nil"/>
              <w:left w:val="single" w:sz="4" w:space="0" w:color="auto"/>
              <w:bottom w:val="single" w:sz="4" w:space="0" w:color="auto"/>
              <w:right w:val="single" w:sz="4" w:space="0" w:color="auto"/>
            </w:tcBorders>
            <w:vAlign w:val="center"/>
            <w:hideMark/>
          </w:tcPr>
          <w:p w:rsidR="00895944" w:rsidRPr="00895944" w:rsidRDefault="00895944" w:rsidP="00456D7D">
            <w:pPr>
              <w:widowControl/>
              <w:rPr>
                <w:rFonts w:ascii="宋体" w:hAnsi="宋体" w:cs="宋体"/>
                <w:color w:val="000000"/>
                <w:kern w:val="0"/>
                <w:szCs w:val="21"/>
              </w:rPr>
            </w:pP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九、基金资产净值计算和会计核算</w:t>
            </w:r>
            <w:r w:rsidRPr="00895944">
              <w:rPr>
                <w:rFonts w:ascii="宋体" w:hAnsi="宋体" w:cs="宋体"/>
                <w:color w:val="000000"/>
                <w:kern w:val="0"/>
                <w:szCs w:val="21"/>
              </w:rPr>
              <w:br/>
            </w:r>
            <w:r w:rsidRPr="00895944">
              <w:rPr>
                <w:rFonts w:ascii="宋体" w:hAnsi="宋体" w:cs="宋体" w:hint="eastAsia"/>
                <w:color w:val="000000"/>
                <w:kern w:val="0"/>
                <w:szCs w:val="21"/>
              </w:rPr>
              <w:t>（二）基金资产净值的计算和复核</w:t>
            </w:r>
          </w:p>
        </w:tc>
        <w:tc>
          <w:tcPr>
            <w:tcW w:w="3260"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当基金资产的估值导致基金份额净值小数点后三位内发生差错时，视为基金份额净值估值错误</w:t>
            </w:r>
          </w:p>
        </w:tc>
        <w:tc>
          <w:tcPr>
            <w:tcW w:w="2977" w:type="dxa"/>
            <w:tcBorders>
              <w:top w:val="nil"/>
              <w:left w:val="nil"/>
              <w:bottom w:val="single" w:sz="4" w:space="0" w:color="auto"/>
              <w:right w:val="single" w:sz="4" w:space="0" w:color="auto"/>
            </w:tcBorders>
            <w:shd w:val="clear" w:color="auto" w:fill="auto"/>
            <w:vAlign w:val="center"/>
            <w:hideMark/>
          </w:tcPr>
          <w:p w:rsidR="00895944" w:rsidRPr="00895944" w:rsidRDefault="00895944" w:rsidP="00456D7D">
            <w:pPr>
              <w:widowControl/>
              <w:rPr>
                <w:rFonts w:ascii="宋体" w:hAnsi="宋体" w:cs="宋体"/>
                <w:color w:val="000000"/>
                <w:kern w:val="0"/>
                <w:szCs w:val="21"/>
              </w:rPr>
            </w:pPr>
            <w:r w:rsidRPr="00895944">
              <w:rPr>
                <w:rFonts w:ascii="宋体" w:hAnsi="宋体" w:cs="宋体" w:hint="eastAsia"/>
                <w:color w:val="000000"/>
                <w:kern w:val="0"/>
                <w:szCs w:val="21"/>
              </w:rPr>
              <w:t>当基金资产的估值导致基金份额净值小数点后四位内发生差错时，视为基金份额净值估值错误</w:t>
            </w:r>
          </w:p>
        </w:tc>
      </w:tr>
    </w:tbl>
    <w:p w:rsidR="00895944" w:rsidRPr="00895944" w:rsidRDefault="00895944" w:rsidP="00895944">
      <w:pPr>
        <w:spacing w:line="360" w:lineRule="auto"/>
        <w:ind w:right="240" w:firstLine="555"/>
        <w:jc w:val="left"/>
        <w:rPr>
          <w:rFonts w:ascii="宋体" w:hAnsi="宋体"/>
          <w:szCs w:val="21"/>
        </w:rPr>
      </w:pPr>
    </w:p>
    <w:p w:rsidR="00D417BA" w:rsidRPr="00895944" w:rsidRDefault="00D709CE" w:rsidP="00FF6669">
      <w:pPr>
        <w:spacing w:line="360" w:lineRule="auto"/>
        <w:rPr>
          <w:rFonts w:ascii="宋体" w:hAnsi="宋体"/>
          <w:szCs w:val="21"/>
        </w:rPr>
      </w:pPr>
    </w:p>
    <w:sectPr w:rsidR="00D417BA" w:rsidRPr="00895944" w:rsidSect="00AF6B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12" w:rsidRDefault="00A77512" w:rsidP="00153C1A">
      <w:r>
        <w:separator/>
      </w:r>
    </w:p>
  </w:endnote>
  <w:endnote w:type="continuationSeparator" w:id="0">
    <w:p w:rsidR="00A77512" w:rsidRDefault="00A77512" w:rsidP="00153C1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12" w:rsidRDefault="00A77512" w:rsidP="00153C1A">
      <w:r>
        <w:separator/>
      </w:r>
    </w:p>
  </w:footnote>
  <w:footnote w:type="continuationSeparator" w:id="0">
    <w:p w:rsidR="00A77512" w:rsidRDefault="00A77512" w:rsidP="00153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E15"/>
    <w:rsid w:val="00042202"/>
    <w:rsid w:val="00153C1A"/>
    <w:rsid w:val="002201FE"/>
    <w:rsid w:val="002770E8"/>
    <w:rsid w:val="002A7FAA"/>
    <w:rsid w:val="00300E15"/>
    <w:rsid w:val="00316F85"/>
    <w:rsid w:val="00412ACA"/>
    <w:rsid w:val="006462CC"/>
    <w:rsid w:val="00682489"/>
    <w:rsid w:val="00756608"/>
    <w:rsid w:val="00895944"/>
    <w:rsid w:val="00A77512"/>
    <w:rsid w:val="00AB19A0"/>
    <w:rsid w:val="00AF6BFF"/>
    <w:rsid w:val="00D709CE"/>
    <w:rsid w:val="00F12A1A"/>
    <w:rsid w:val="00FF6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3C1A"/>
    <w:rPr>
      <w:sz w:val="18"/>
      <w:szCs w:val="18"/>
    </w:rPr>
  </w:style>
  <w:style w:type="paragraph" w:styleId="a4">
    <w:name w:val="footer"/>
    <w:basedOn w:val="a"/>
    <w:link w:val="Char0"/>
    <w:uiPriority w:val="99"/>
    <w:unhideWhenUsed/>
    <w:rsid w:val="00153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3C1A"/>
    <w:rPr>
      <w:sz w:val="18"/>
      <w:szCs w:val="18"/>
    </w:rPr>
  </w:style>
  <w:style w:type="character" w:styleId="a5">
    <w:name w:val="Hyperlink"/>
    <w:basedOn w:val="a0"/>
    <w:uiPriority w:val="99"/>
    <w:unhideWhenUsed/>
    <w:rsid w:val="002A7F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id.csrc.gov.cn/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f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7686</Characters>
  <Application>Microsoft Office Word</Application>
  <DocSecurity>4</DocSecurity>
  <Lines>64</Lines>
  <Paragraphs>18</Paragraphs>
  <ScaleCrop>false</ScaleCrop>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Patrick.Jin</dc:creator>
  <cp:keywords/>
  <dc:description/>
  <cp:lastModifiedBy>ZHONGM</cp:lastModifiedBy>
  <cp:revision>2</cp:revision>
  <dcterms:created xsi:type="dcterms:W3CDTF">2020-08-06T16:01:00Z</dcterms:created>
  <dcterms:modified xsi:type="dcterms:W3CDTF">2020-08-06T16:01:00Z</dcterms:modified>
</cp:coreProperties>
</file>