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01" w:rsidRDefault="005514F4">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中金基金管理有限公司关于旗下基金投资关联方承销期内</w:t>
      </w:r>
    </w:p>
    <w:p w:rsidR="004E5101" w:rsidRDefault="005514F4">
      <w:pPr>
        <w:spacing w:line="360" w:lineRule="auto"/>
        <w:jc w:val="center"/>
        <w:rPr>
          <w:rFonts w:ascii="Times New Roman" w:eastAsia="楷体_GB2312" w:hAnsi="Times New Roman" w:cs="Times New Roman"/>
          <w:b/>
          <w:sz w:val="28"/>
          <w:szCs w:val="24"/>
        </w:rPr>
      </w:pPr>
      <w:r>
        <w:rPr>
          <w:rFonts w:ascii="Times New Roman" w:eastAsia="楷体_GB2312" w:hAnsi="Times New Roman" w:cs="Times New Roman"/>
          <w:b/>
          <w:sz w:val="28"/>
          <w:szCs w:val="24"/>
        </w:rPr>
        <w:t>承销证券的公告</w:t>
      </w:r>
    </w:p>
    <w:p w:rsidR="004E5101" w:rsidRDefault="005514F4" w:rsidP="002557E4">
      <w:pPr>
        <w:spacing w:beforeLines="100" w:afterLines="100"/>
        <w:ind w:firstLineChars="200" w:firstLine="480"/>
        <w:rPr>
          <w:rFonts w:ascii="Times New Roman" w:eastAsia="楷体_GB2312" w:hAnsi="Times New Roman" w:cs="Times New Roman"/>
          <w:sz w:val="24"/>
          <w:szCs w:val="24"/>
          <w:highlight w:val="yellow"/>
        </w:rPr>
      </w:pPr>
      <w:r>
        <w:rPr>
          <w:rFonts w:ascii="Times New Roman" w:eastAsia="楷体_GB2312" w:hAnsi="Times New Roman" w:cs="Times New Roman"/>
          <w:sz w:val="24"/>
          <w:szCs w:val="24"/>
        </w:rPr>
        <w:t>根据《中华人民共和国证券投资基金法》《公开募集证券投资基金运作管理办法》</w:t>
      </w:r>
      <w:r>
        <w:rPr>
          <w:rFonts w:ascii="Times New Roman" w:eastAsia="楷体_GB2312" w:hAnsi="Times New Roman" w:cs="Times New Roman" w:hint="eastAsia"/>
          <w:sz w:val="24"/>
          <w:szCs w:val="24"/>
        </w:rPr>
        <w:t>《公开募集证券投资基金信息披露管理办法》及相关基金</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招募说明书等有关规定，经履行适当审批程序</w:t>
      </w:r>
      <w:r>
        <w:rPr>
          <w:rFonts w:ascii="Times New Roman" w:eastAsia="楷体_GB2312" w:hAnsi="Times New Roman" w:cs="Times New Roman" w:hint="eastAsia"/>
          <w:sz w:val="24"/>
          <w:szCs w:val="24"/>
        </w:rPr>
        <w:t>，中金</w:t>
      </w:r>
      <w:r>
        <w:rPr>
          <w:rFonts w:ascii="Times New Roman" w:eastAsia="楷体_GB2312" w:hAnsi="Times New Roman" w:cs="Times New Roman"/>
          <w:sz w:val="24"/>
          <w:szCs w:val="24"/>
        </w:rPr>
        <w:t>基金管理有限公司</w:t>
      </w:r>
      <w:r>
        <w:rPr>
          <w:rFonts w:ascii="Times New Roman" w:eastAsia="楷体_GB2312" w:hAnsi="Times New Roman" w:cs="Times New Roman" w:hint="eastAsia"/>
          <w:sz w:val="24"/>
          <w:szCs w:val="24"/>
        </w:rPr>
        <w:t>（“本公司”）旗下部分基金</w:t>
      </w:r>
      <w:r>
        <w:rPr>
          <w:rFonts w:ascii="Times New Roman" w:eastAsia="楷体_GB2312" w:hAnsi="Times New Roman" w:cs="Times New Roman"/>
          <w:sz w:val="24"/>
          <w:szCs w:val="24"/>
        </w:rPr>
        <w:t>参与了</w:t>
      </w:r>
      <w:r>
        <w:rPr>
          <w:rFonts w:ascii="Times New Roman" w:eastAsia="楷体_GB2312" w:hAnsi="Times New Roman" w:cs="Times New Roman" w:hint="eastAsia"/>
          <w:sz w:val="24"/>
          <w:szCs w:val="24"/>
        </w:rPr>
        <w:t>康希诺生物股份公司</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康希诺</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）首次公开发行股票并在科创板上市（</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本次发行</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）的网下申购，本公司股东中国国际金融股份有限公司为本次发行的联席主承销商。本次发行价格为</w:t>
      </w:r>
      <w:r>
        <w:rPr>
          <w:rFonts w:ascii="Times New Roman" w:eastAsia="楷体_GB2312" w:hAnsi="Times New Roman" w:cs="Times New Roman" w:hint="eastAsia"/>
          <w:sz w:val="24"/>
          <w:szCs w:val="24"/>
        </w:rPr>
        <w:t>209.71</w:t>
      </w:r>
      <w:r>
        <w:rPr>
          <w:rFonts w:ascii="Times New Roman" w:eastAsia="楷体_GB2312" w:hAnsi="Times New Roman" w:cs="Times New Roman" w:hint="eastAsia"/>
          <w:sz w:val="24"/>
          <w:szCs w:val="24"/>
        </w:rPr>
        <w:t>元</w:t>
      </w:r>
      <w:r>
        <w:rPr>
          <w:rFonts w:ascii="Times New Roman" w:eastAsia="楷体_GB2312" w:hAnsi="Times New Roman" w:cs="Times New Roman" w:hint="eastAsia"/>
          <w:sz w:val="24"/>
          <w:szCs w:val="24"/>
        </w:rPr>
        <w:t>/</w:t>
      </w:r>
      <w:bookmarkStart w:id="0" w:name="_GoBack"/>
      <w:bookmarkEnd w:id="0"/>
      <w:r>
        <w:rPr>
          <w:rFonts w:ascii="Times New Roman" w:eastAsia="楷体_GB2312" w:hAnsi="Times New Roman" w:cs="Times New Roman" w:hint="eastAsia"/>
          <w:sz w:val="24"/>
          <w:szCs w:val="24"/>
        </w:rPr>
        <w:t>股</w:t>
      </w:r>
      <w:r>
        <w:rPr>
          <w:rFonts w:ascii="Times New Roman" w:eastAsia="楷体_GB2312" w:hAnsi="Times New Roman" w:cs="Times New Roman"/>
          <w:sz w:val="24"/>
          <w:szCs w:val="24"/>
        </w:rPr>
        <w:t>，由发行人和联席主承销商</w:t>
      </w:r>
      <w:r>
        <w:rPr>
          <w:rFonts w:ascii="Times New Roman" w:eastAsia="楷体_GB2312" w:hAnsi="Times New Roman" w:cs="Times New Roman" w:hint="eastAsia"/>
          <w:sz w:val="24"/>
          <w:szCs w:val="24"/>
        </w:rPr>
        <w:t>根据初步询价结果，综合考虑发行人基本面、市场情况、同行业可比上市公司估值水平、募集资金需求及承销风险等因素</w:t>
      </w:r>
      <w:r>
        <w:rPr>
          <w:rFonts w:ascii="Times New Roman" w:eastAsia="楷体_GB2312" w:hAnsi="Times New Roman" w:cs="Times New Roman"/>
          <w:sz w:val="24"/>
          <w:szCs w:val="24"/>
        </w:rPr>
        <w:t>后协商确定。</w:t>
      </w:r>
    </w:p>
    <w:p w:rsidR="004E5101" w:rsidRDefault="005514F4" w:rsidP="002557E4">
      <w:pPr>
        <w:spacing w:afterLines="100"/>
        <w:ind w:firstLineChars="200" w:firstLine="480"/>
        <w:rPr>
          <w:rFonts w:ascii="Times New Roman" w:eastAsia="楷体_GB2312" w:hAnsi="Times New Roman" w:cs="Times New Roman"/>
          <w:sz w:val="24"/>
          <w:szCs w:val="24"/>
        </w:rPr>
      </w:pPr>
      <w:r>
        <w:rPr>
          <w:rFonts w:ascii="Times New Roman" w:eastAsia="楷体_GB2312" w:hAnsi="Times New Roman" w:cs="Times New Roman"/>
          <w:sz w:val="24"/>
          <w:szCs w:val="24"/>
        </w:rPr>
        <w:t>根据法律法规</w:t>
      </w:r>
      <w:r>
        <w:rPr>
          <w:rFonts w:ascii="Times New Roman" w:eastAsia="楷体_GB2312" w:hAnsi="Times New Roman" w:cs="Times New Roman" w:hint="eastAsia"/>
          <w:sz w:val="24"/>
          <w:szCs w:val="24"/>
        </w:rPr>
        <w:t>、</w:t>
      </w:r>
      <w:r>
        <w:rPr>
          <w:rFonts w:ascii="Times New Roman" w:eastAsia="楷体_GB2312" w:hAnsi="Times New Roman" w:cs="Times New Roman"/>
          <w:sz w:val="24"/>
          <w:szCs w:val="24"/>
        </w:rPr>
        <w:t>基金合同</w:t>
      </w:r>
      <w:r>
        <w:rPr>
          <w:rFonts w:ascii="Times New Roman" w:eastAsia="楷体_GB2312" w:hAnsi="Times New Roman" w:cs="Times New Roman" w:hint="eastAsia"/>
          <w:sz w:val="24"/>
          <w:szCs w:val="24"/>
        </w:rPr>
        <w:t>及康希诺于</w:t>
      </w:r>
      <w:r>
        <w:rPr>
          <w:rFonts w:ascii="Times New Roman" w:eastAsia="楷体_GB2312" w:hAnsi="Times New Roman" w:cs="Times New Roman" w:hint="eastAsia"/>
          <w:sz w:val="24"/>
          <w:szCs w:val="24"/>
        </w:rPr>
        <w:t>2020</w:t>
      </w:r>
      <w:r>
        <w:rPr>
          <w:rFonts w:ascii="Times New Roman" w:eastAsia="楷体_GB2312" w:hAnsi="Times New Roman" w:cs="Times New Roman" w:hint="eastAsia"/>
          <w:sz w:val="24"/>
          <w:szCs w:val="24"/>
        </w:rPr>
        <w:t>年</w:t>
      </w:r>
      <w:r>
        <w:rPr>
          <w:rFonts w:ascii="Times New Roman" w:eastAsia="楷体_GB2312" w:hAnsi="Times New Roman" w:cs="Times New Roman"/>
          <w:sz w:val="24"/>
          <w:szCs w:val="24"/>
        </w:rPr>
        <w:t>8</w:t>
      </w:r>
      <w:r>
        <w:rPr>
          <w:rFonts w:ascii="Times New Roman" w:eastAsia="楷体_GB2312" w:hAnsi="Times New Roman" w:cs="Times New Roman" w:hint="eastAsia"/>
          <w:sz w:val="24"/>
          <w:szCs w:val="24"/>
        </w:rPr>
        <w:t>月</w:t>
      </w:r>
      <w:r>
        <w:rPr>
          <w:rFonts w:ascii="Times New Roman" w:eastAsia="楷体_GB2312" w:hAnsi="Times New Roman" w:cs="Times New Roman"/>
          <w:sz w:val="24"/>
          <w:szCs w:val="24"/>
        </w:rPr>
        <w:t>4</w:t>
      </w:r>
      <w:r>
        <w:rPr>
          <w:rFonts w:ascii="Times New Roman" w:eastAsia="楷体_GB2312" w:hAnsi="Times New Roman" w:cs="Times New Roman" w:hint="eastAsia"/>
          <w:sz w:val="24"/>
          <w:szCs w:val="24"/>
        </w:rPr>
        <w:t>日</w:t>
      </w:r>
      <w:r>
        <w:rPr>
          <w:rFonts w:ascii="Times New Roman" w:eastAsia="楷体_GB2312" w:hAnsi="Times New Roman" w:cs="Times New Roman"/>
          <w:sz w:val="24"/>
          <w:szCs w:val="24"/>
        </w:rPr>
        <w:t>发布的《</w:t>
      </w:r>
      <w:r>
        <w:rPr>
          <w:rFonts w:ascii="Times New Roman" w:eastAsia="楷体_GB2312" w:hAnsi="Times New Roman" w:cs="Times New Roman" w:hint="eastAsia"/>
          <w:sz w:val="24"/>
          <w:szCs w:val="24"/>
        </w:rPr>
        <w:t>康希诺生物股份公司首次公开发行股票并在科创板上市网下初步配售结果及网上中签结果公告</w:t>
      </w:r>
      <w:r>
        <w:rPr>
          <w:rFonts w:ascii="Times New Roman" w:eastAsia="楷体_GB2312" w:hAnsi="Times New Roman" w:cs="Times New Roman"/>
          <w:sz w:val="24"/>
          <w:szCs w:val="24"/>
        </w:rPr>
        <w:t>》，现将</w:t>
      </w:r>
      <w:r>
        <w:rPr>
          <w:rFonts w:ascii="Times New Roman" w:eastAsia="楷体_GB2312" w:hAnsi="Times New Roman" w:cs="Times New Roman" w:hint="eastAsia"/>
          <w:sz w:val="24"/>
          <w:szCs w:val="24"/>
        </w:rPr>
        <w:t>本公司旗下基金</w:t>
      </w:r>
      <w:r>
        <w:rPr>
          <w:rFonts w:ascii="Times New Roman" w:eastAsia="楷体_GB2312" w:hAnsi="Times New Roman" w:cs="Times New Roman"/>
          <w:sz w:val="24"/>
          <w:szCs w:val="24"/>
        </w:rPr>
        <w:t>获配信息公告如下：</w:t>
      </w:r>
    </w:p>
    <w:tbl>
      <w:tblPr>
        <w:tblStyle w:val="a9"/>
        <w:tblW w:w="0" w:type="auto"/>
        <w:jc w:val="center"/>
        <w:tblLook w:val="04A0"/>
      </w:tblPr>
      <w:tblGrid>
        <w:gridCol w:w="5123"/>
        <w:gridCol w:w="948"/>
        <w:gridCol w:w="1319"/>
        <w:gridCol w:w="1132"/>
      </w:tblGrid>
      <w:tr w:rsidR="004E5101">
        <w:trPr>
          <w:jc w:val="center"/>
        </w:trPr>
        <w:tc>
          <w:tcPr>
            <w:tcW w:w="5123" w:type="dxa"/>
            <w:shd w:val="clear" w:color="auto" w:fill="D9D9D9" w:themeFill="background1" w:themeFillShade="D9"/>
            <w:vAlign w:val="center"/>
          </w:tcPr>
          <w:p w:rsidR="004E5101" w:rsidRDefault="005514F4">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基金名称</w:t>
            </w:r>
          </w:p>
        </w:tc>
        <w:tc>
          <w:tcPr>
            <w:tcW w:w="948" w:type="dxa"/>
            <w:shd w:val="clear" w:color="auto" w:fill="D9D9D9" w:themeFill="background1" w:themeFillShade="D9"/>
            <w:vAlign w:val="center"/>
          </w:tcPr>
          <w:p w:rsidR="004E5101" w:rsidRDefault="005514F4">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获配数量（股）</w:t>
            </w:r>
          </w:p>
        </w:tc>
        <w:tc>
          <w:tcPr>
            <w:tcW w:w="1319" w:type="dxa"/>
            <w:shd w:val="clear" w:color="auto" w:fill="D9D9D9" w:themeFill="background1" w:themeFillShade="D9"/>
            <w:vAlign w:val="center"/>
          </w:tcPr>
          <w:p w:rsidR="004E5101" w:rsidRDefault="005514F4">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获配金额（元，不含佣金）</w:t>
            </w:r>
          </w:p>
        </w:tc>
        <w:tc>
          <w:tcPr>
            <w:tcW w:w="1132" w:type="dxa"/>
            <w:shd w:val="clear" w:color="auto" w:fill="D9D9D9" w:themeFill="background1" w:themeFillShade="D9"/>
          </w:tcPr>
          <w:p w:rsidR="004E5101" w:rsidRDefault="005514F4">
            <w:pPr>
              <w:jc w:val="center"/>
              <w:rPr>
                <w:rFonts w:ascii="Times New Roman" w:eastAsia="楷体_GB2312" w:hAnsi="Times New Roman" w:cs="Times New Roman"/>
                <w:b/>
                <w:sz w:val="24"/>
                <w:szCs w:val="24"/>
              </w:rPr>
            </w:pPr>
            <w:r>
              <w:rPr>
                <w:rFonts w:ascii="Times New Roman" w:eastAsia="楷体_GB2312" w:hAnsi="Times New Roman" w:cs="Times New Roman"/>
                <w:b/>
                <w:sz w:val="24"/>
                <w:szCs w:val="24"/>
              </w:rPr>
              <w:t>相应新股配售经纪佣金（元）</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w:t>
            </w:r>
            <w:r>
              <w:rPr>
                <w:rFonts w:ascii="Times New Roman" w:eastAsia="楷体_GB2312" w:hAnsi="Times New Roman" w:cs="Times New Roman" w:hint="eastAsia"/>
                <w:sz w:val="24"/>
                <w:szCs w:val="24"/>
              </w:rPr>
              <w:t>MSCI</w:t>
            </w:r>
            <w:r>
              <w:rPr>
                <w:rFonts w:ascii="Times New Roman" w:eastAsia="楷体_GB2312" w:hAnsi="Times New Roman" w:cs="Times New Roman" w:hint="eastAsia"/>
                <w:sz w:val="24"/>
                <w:szCs w:val="24"/>
              </w:rPr>
              <w:t>中国</w:t>
            </w:r>
            <w:r>
              <w:rPr>
                <w:rFonts w:ascii="Times New Roman" w:eastAsia="楷体_GB2312" w:hAnsi="Times New Roman" w:cs="Times New Roman" w:hint="eastAsia"/>
                <w:sz w:val="24"/>
                <w:szCs w:val="24"/>
              </w:rPr>
              <w:t>A</w:t>
            </w:r>
            <w:r>
              <w:rPr>
                <w:rFonts w:ascii="Times New Roman" w:eastAsia="楷体_GB2312" w:hAnsi="Times New Roman" w:cs="Times New Roman" w:hint="eastAsia"/>
                <w:sz w:val="24"/>
                <w:szCs w:val="24"/>
              </w:rPr>
              <w:t>股国际质量指数发起式证券投资基金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653</w:t>
            </w:r>
          </w:p>
        </w:tc>
        <w:tc>
          <w:tcPr>
            <w:tcW w:w="1319" w:type="dxa"/>
            <w:vAlign w:val="center"/>
          </w:tcPr>
          <w:p w:rsidR="004E5101" w:rsidRDefault="005514F4">
            <w:pPr>
              <w:jc w:val="center"/>
              <w:rPr>
                <w:rFonts w:ascii="Times New Roman" w:eastAsia="楷体" w:hAnsi="Times New Roman" w:cs="Times New Roman"/>
                <w:color w:val="000000"/>
              </w:rPr>
            </w:pPr>
            <w:r>
              <w:rPr>
                <w:rFonts w:ascii="Times New Roman" w:eastAsia="楷体" w:hAnsi="Times New Roman" w:cs="Times New Roman" w:hint="eastAsia"/>
                <w:color w:val="000000"/>
              </w:rPr>
              <w:t>136,940.63</w:t>
            </w:r>
          </w:p>
        </w:tc>
        <w:tc>
          <w:tcPr>
            <w:tcW w:w="1132" w:type="dxa"/>
            <w:vAlign w:val="center"/>
          </w:tcPr>
          <w:p w:rsidR="004E5101" w:rsidRDefault="005514F4">
            <w:pPr>
              <w:jc w:val="center"/>
              <w:rPr>
                <w:rFonts w:ascii="Times New Roman" w:eastAsia="楷体" w:hAnsi="Times New Roman" w:cs="Times New Roman"/>
                <w:color w:val="000000"/>
              </w:rPr>
            </w:pPr>
            <w:r>
              <w:rPr>
                <w:rFonts w:ascii="Times New Roman" w:eastAsia="楷体" w:hAnsi="Times New Roman" w:cs="Times New Roman" w:hint="eastAsia"/>
                <w:color w:val="000000"/>
              </w:rPr>
              <w:t>684.70</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中金丰硕混合型证券投资基金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746</w:t>
            </w:r>
          </w:p>
        </w:tc>
        <w:tc>
          <w:tcPr>
            <w:tcW w:w="1319"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156,443.66</w:t>
            </w:r>
          </w:p>
        </w:tc>
        <w:tc>
          <w:tcPr>
            <w:tcW w:w="1132"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782.22</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中金沪深</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指数增强型发起式证券投资基金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1,306</w:t>
            </w:r>
          </w:p>
        </w:tc>
        <w:tc>
          <w:tcPr>
            <w:tcW w:w="1319"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273,881.26</w:t>
            </w:r>
          </w:p>
        </w:tc>
        <w:tc>
          <w:tcPr>
            <w:tcW w:w="1132"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1,369.41</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中金金序量化蓝筹混合型证券投资基金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839</w:t>
            </w:r>
          </w:p>
        </w:tc>
        <w:tc>
          <w:tcPr>
            <w:tcW w:w="1319"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175,946.69</w:t>
            </w:r>
          </w:p>
        </w:tc>
        <w:tc>
          <w:tcPr>
            <w:tcW w:w="1132"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879.73</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中金金泽量化精选混合型发起式证券投资基金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2,053</w:t>
            </w:r>
          </w:p>
        </w:tc>
        <w:tc>
          <w:tcPr>
            <w:tcW w:w="1319"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430,534.63</w:t>
            </w:r>
          </w:p>
        </w:tc>
        <w:tc>
          <w:tcPr>
            <w:tcW w:w="1132"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2,152.67</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中金科创主题</w:t>
            </w:r>
            <w:r>
              <w:rPr>
                <w:rFonts w:ascii="Times New Roman" w:eastAsia="楷体_GB2312" w:hAnsi="Times New Roman" w:cs="Times New Roman" w:hint="eastAsia"/>
                <w:sz w:val="24"/>
                <w:szCs w:val="24"/>
              </w:rPr>
              <w:t>3</w:t>
            </w:r>
            <w:r>
              <w:rPr>
                <w:rFonts w:ascii="Times New Roman" w:eastAsia="楷体_GB2312" w:hAnsi="Times New Roman" w:cs="Times New Roman" w:hint="eastAsia"/>
                <w:sz w:val="24"/>
                <w:szCs w:val="24"/>
              </w:rPr>
              <w:t>年封闭运作灵活配置混合型证券投资基金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6,439</w:t>
            </w:r>
          </w:p>
        </w:tc>
        <w:tc>
          <w:tcPr>
            <w:tcW w:w="1319"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1,350,322.69</w:t>
            </w:r>
          </w:p>
        </w:tc>
        <w:tc>
          <w:tcPr>
            <w:tcW w:w="1132"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6,751.61</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中金量化多策略灵活配置混合型证券投资基金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746</w:t>
            </w:r>
          </w:p>
        </w:tc>
        <w:tc>
          <w:tcPr>
            <w:tcW w:w="1319"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156,443.66</w:t>
            </w:r>
          </w:p>
        </w:tc>
        <w:tc>
          <w:tcPr>
            <w:tcW w:w="1132"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782.22</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中金瑞和灵活配置混合型证券投资基金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2,053</w:t>
            </w:r>
          </w:p>
        </w:tc>
        <w:tc>
          <w:tcPr>
            <w:tcW w:w="1319"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430,534.63</w:t>
            </w:r>
          </w:p>
        </w:tc>
        <w:tc>
          <w:tcPr>
            <w:tcW w:w="1132"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2,152.67</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中金瑞祥灵活配置混合型证券投资基金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839</w:t>
            </w:r>
          </w:p>
        </w:tc>
        <w:tc>
          <w:tcPr>
            <w:tcW w:w="1319"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175,946.69</w:t>
            </w:r>
          </w:p>
        </w:tc>
        <w:tc>
          <w:tcPr>
            <w:tcW w:w="1132" w:type="dxa"/>
            <w:vAlign w:val="center"/>
          </w:tcPr>
          <w:p w:rsidR="004E5101" w:rsidRDefault="005514F4">
            <w:pPr>
              <w:jc w:val="center"/>
              <w:rPr>
                <w:rFonts w:ascii="Times New Roman" w:eastAsia="楷体" w:hAnsi="Times New Roman" w:cs="Times New Roman"/>
                <w:color w:val="000000"/>
                <w:szCs w:val="21"/>
              </w:rPr>
            </w:pPr>
            <w:r>
              <w:rPr>
                <w:rFonts w:ascii="Times New Roman" w:eastAsia="楷体" w:hAnsi="Times New Roman" w:cs="Times New Roman" w:hint="eastAsia"/>
                <w:color w:val="000000"/>
              </w:rPr>
              <w:t>879.73</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w:t>
            </w:r>
            <w:r>
              <w:rPr>
                <w:rFonts w:ascii="Times New Roman" w:eastAsia="楷体_GB2312" w:hAnsi="Times New Roman" w:cs="Times New Roman" w:hint="eastAsia"/>
                <w:sz w:val="24"/>
                <w:szCs w:val="24"/>
              </w:rPr>
              <w:t>500</w:t>
            </w:r>
            <w:r>
              <w:rPr>
                <w:rFonts w:ascii="Times New Roman" w:eastAsia="楷体_GB2312" w:hAnsi="Times New Roman" w:cs="Times New Roman" w:hint="eastAsia"/>
                <w:sz w:val="24"/>
                <w:szCs w:val="24"/>
              </w:rPr>
              <w:t>指数增强型发起式证券投资基金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1,026</w:t>
            </w:r>
          </w:p>
        </w:tc>
        <w:tc>
          <w:tcPr>
            <w:tcW w:w="1319" w:type="dxa"/>
            <w:vAlign w:val="center"/>
          </w:tcPr>
          <w:p w:rsidR="004E5101" w:rsidRDefault="005514F4">
            <w:pPr>
              <w:jc w:val="center"/>
              <w:rPr>
                <w:rFonts w:ascii="Times New Roman" w:eastAsia="楷体" w:hAnsi="Times New Roman" w:cs="Times New Roman"/>
                <w:color w:val="000000"/>
              </w:rPr>
            </w:pPr>
            <w:r>
              <w:rPr>
                <w:rFonts w:ascii="Times New Roman" w:eastAsia="楷体" w:hAnsi="Times New Roman" w:cs="Times New Roman" w:hint="eastAsia"/>
                <w:color w:val="000000"/>
              </w:rPr>
              <w:t>215,162.46</w:t>
            </w:r>
          </w:p>
        </w:tc>
        <w:tc>
          <w:tcPr>
            <w:tcW w:w="1132" w:type="dxa"/>
            <w:vAlign w:val="center"/>
          </w:tcPr>
          <w:p w:rsidR="004E5101" w:rsidRDefault="005514F4">
            <w:pPr>
              <w:jc w:val="center"/>
              <w:rPr>
                <w:rFonts w:ascii="Times New Roman" w:eastAsia="楷体" w:hAnsi="Times New Roman" w:cs="Times New Roman"/>
                <w:color w:val="000000"/>
              </w:rPr>
            </w:pPr>
            <w:r>
              <w:rPr>
                <w:rFonts w:ascii="Times New Roman" w:eastAsia="楷体" w:hAnsi="Times New Roman" w:cs="Times New Roman" w:hint="eastAsia"/>
                <w:color w:val="000000"/>
              </w:rPr>
              <w:t xml:space="preserve">1,075.81 </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中金中证沪港深优选消费</w:t>
            </w:r>
            <w:r>
              <w:rPr>
                <w:rFonts w:ascii="Times New Roman" w:eastAsia="楷体_GB2312" w:hAnsi="Times New Roman" w:cs="Times New Roman" w:hint="eastAsia"/>
                <w:sz w:val="24"/>
                <w:szCs w:val="24"/>
              </w:rPr>
              <w:t>50</w:t>
            </w:r>
            <w:r>
              <w:rPr>
                <w:rFonts w:ascii="Times New Roman" w:eastAsia="楷体_GB2312" w:hAnsi="Times New Roman" w:cs="Times New Roman" w:hint="eastAsia"/>
                <w:sz w:val="24"/>
                <w:szCs w:val="24"/>
              </w:rPr>
              <w:t>指数证券投资基金</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746</w:t>
            </w:r>
          </w:p>
        </w:tc>
        <w:tc>
          <w:tcPr>
            <w:tcW w:w="1319" w:type="dxa"/>
            <w:vAlign w:val="center"/>
          </w:tcPr>
          <w:p w:rsidR="004E5101" w:rsidRDefault="005514F4">
            <w:pPr>
              <w:jc w:val="center"/>
              <w:rPr>
                <w:rFonts w:ascii="Times New Roman" w:eastAsia="楷体" w:hAnsi="Times New Roman" w:cs="Times New Roman"/>
                <w:color w:val="000000"/>
              </w:rPr>
            </w:pPr>
            <w:r>
              <w:rPr>
                <w:rFonts w:ascii="Times New Roman" w:eastAsia="楷体" w:hAnsi="Times New Roman" w:cs="Times New Roman" w:hint="eastAsia"/>
                <w:color w:val="000000"/>
              </w:rPr>
              <w:t>156,443.66</w:t>
            </w:r>
          </w:p>
        </w:tc>
        <w:tc>
          <w:tcPr>
            <w:tcW w:w="1132" w:type="dxa"/>
            <w:vAlign w:val="center"/>
          </w:tcPr>
          <w:p w:rsidR="004E5101" w:rsidRDefault="005514F4">
            <w:pPr>
              <w:jc w:val="center"/>
              <w:rPr>
                <w:rFonts w:ascii="Times New Roman" w:eastAsia="楷体" w:hAnsi="Times New Roman" w:cs="Times New Roman"/>
                <w:color w:val="000000"/>
              </w:rPr>
            </w:pPr>
            <w:r>
              <w:rPr>
                <w:rFonts w:ascii="Times New Roman" w:eastAsia="楷体" w:hAnsi="Times New Roman" w:cs="Times New Roman" w:hint="eastAsia"/>
                <w:color w:val="000000"/>
              </w:rPr>
              <w:t xml:space="preserve">782.22 </w:t>
            </w:r>
          </w:p>
        </w:tc>
      </w:tr>
      <w:tr w:rsidR="004E5101">
        <w:trPr>
          <w:jc w:val="center"/>
        </w:trPr>
        <w:tc>
          <w:tcPr>
            <w:tcW w:w="5123" w:type="dxa"/>
            <w:vAlign w:val="center"/>
          </w:tcPr>
          <w:p w:rsidR="004E5101" w:rsidRDefault="005514F4">
            <w:pPr>
              <w:jc w:val="center"/>
              <w:rPr>
                <w:rFonts w:ascii="Times New Roman" w:eastAsia="楷体_GB2312" w:hAnsi="Times New Roman" w:cs="Times New Roman"/>
                <w:sz w:val="24"/>
                <w:szCs w:val="24"/>
              </w:rPr>
            </w:pPr>
            <w:r>
              <w:rPr>
                <w:rFonts w:ascii="Times New Roman" w:eastAsia="楷体_GB2312" w:hAnsi="Times New Roman" w:cs="Times New Roman" w:hint="eastAsia"/>
                <w:sz w:val="24"/>
                <w:szCs w:val="24"/>
              </w:rPr>
              <w:t>中金中证优选</w:t>
            </w:r>
            <w:r>
              <w:rPr>
                <w:rFonts w:ascii="Times New Roman" w:eastAsia="楷体_GB2312" w:hAnsi="Times New Roman" w:cs="Times New Roman" w:hint="eastAsia"/>
                <w:sz w:val="24"/>
                <w:szCs w:val="24"/>
              </w:rPr>
              <w:t>300</w:t>
            </w:r>
            <w:r>
              <w:rPr>
                <w:rFonts w:ascii="Times New Roman" w:eastAsia="楷体_GB2312" w:hAnsi="Times New Roman" w:cs="Times New Roman" w:hint="eastAsia"/>
                <w:sz w:val="24"/>
                <w:szCs w:val="24"/>
              </w:rPr>
              <w:t>指数证券投资基金</w:t>
            </w:r>
            <w:r>
              <w:rPr>
                <w:rFonts w:ascii="Times New Roman" w:eastAsia="楷体_GB2312" w:hAnsi="Times New Roman" w:cs="Times New Roman"/>
                <w:sz w:val="24"/>
                <w:szCs w:val="24"/>
              </w:rPr>
              <w:t>（</w:t>
            </w:r>
            <w:r>
              <w:rPr>
                <w:rFonts w:ascii="Times New Roman" w:eastAsia="楷体_GB2312" w:hAnsi="Times New Roman" w:cs="Times New Roman" w:hint="eastAsia"/>
                <w:sz w:val="24"/>
                <w:szCs w:val="24"/>
              </w:rPr>
              <w:t>LOF</w:t>
            </w:r>
            <w:r>
              <w:rPr>
                <w:rFonts w:ascii="Times New Roman" w:eastAsia="楷体_GB2312" w:hAnsi="Times New Roman" w:cs="Times New Roman"/>
                <w:sz w:val="24"/>
                <w:szCs w:val="24"/>
              </w:rPr>
              <w:t>）</w:t>
            </w:r>
          </w:p>
        </w:tc>
        <w:tc>
          <w:tcPr>
            <w:tcW w:w="948" w:type="dxa"/>
            <w:vAlign w:val="center"/>
          </w:tcPr>
          <w:p w:rsidR="004E5101" w:rsidRDefault="005514F4">
            <w:pPr>
              <w:jc w:val="center"/>
              <w:rPr>
                <w:rFonts w:ascii="Times New Roman" w:hAnsi="Times New Roman" w:cs="Times New Roman"/>
              </w:rPr>
            </w:pPr>
            <w:r>
              <w:rPr>
                <w:rFonts w:ascii="Times New Roman" w:hAnsi="Times New Roman" w:cs="Times New Roman" w:hint="eastAsia"/>
              </w:rPr>
              <w:t>839</w:t>
            </w:r>
          </w:p>
        </w:tc>
        <w:tc>
          <w:tcPr>
            <w:tcW w:w="1319" w:type="dxa"/>
            <w:vAlign w:val="center"/>
          </w:tcPr>
          <w:p w:rsidR="004E5101" w:rsidRDefault="005514F4">
            <w:pPr>
              <w:jc w:val="center"/>
              <w:rPr>
                <w:rFonts w:ascii="Times New Roman" w:eastAsia="楷体" w:hAnsi="Times New Roman" w:cs="Times New Roman"/>
                <w:color w:val="000000"/>
              </w:rPr>
            </w:pPr>
            <w:r>
              <w:rPr>
                <w:rFonts w:ascii="Times New Roman" w:eastAsia="楷体" w:hAnsi="Times New Roman" w:cs="Times New Roman" w:hint="eastAsia"/>
                <w:color w:val="000000"/>
              </w:rPr>
              <w:t>175,946.69</w:t>
            </w:r>
          </w:p>
        </w:tc>
        <w:tc>
          <w:tcPr>
            <w:tcW w:w="1132" w:type="dxa"/>
            <w:vAlign w:val="center"/>
          </w:tcPr>
          <w:p w:rsidR="004E5101" w:rsidRDefault="005514F4">
            <w:pPr>
              <w:jc w:val="center"/>
              <w:rPr>
                <w:rFonts w:ascii="Times New Roman" w:eastAsia="楷体" w:hAnsi="Times New Roman" w:cs="Times New Roman"/>
                <w:color w:val="000000"/>
              </w:rPr>
            </w:pPr>
            <w:r>
              <w:rPr>
                <w:rFonts w:ascii="Times New Roman" w:eastAsia="楷体" w:hAnsi="Times New Roman" w:cs="Times New Roman" w:hint="eastAsia"/>
                <w:color w:val="000000"/>
              </w:rPr>
              <w:t>879.73</w:t>
            </w:r>
          </w:p>
        </w:tc>
      </w:tr>
    </w:tbl>
    <w:p w:rsidR="004E5101" w:rsidRDefault="005514F4">
      <w:pPr>
        <w:autoSpaceDE w:val="0"/>
        <w:autoSpaceDN w:val="0"/>
        <w:adjustRightInd w:val="0"/>
        <w:spacing w:before="120" w:line="276" w:lineRule="auto"/>
        <w:ind w:firstLine="420"/>
        <w:jc w:val="left"/>
        <w:rPr>
          <w:rFonts w:ascii="Times New Roman" w:eastAsia="楷体_GB2312" w:hAnsi="Times New Roman" w:cs="Times New Roman"/>
          <w:kern w:val="0"/>
          <w:sz w:val="24"/>
          <w:szCs w:val="24"/>
        </w:rPr>
      </w:pPr>
      <w:r>
        <w:rPr>
          <w:rFonts w:ascii="Times New Roman" w:eastAsia="楷体_GB2312" w:hAnsi="Times New Roman" w:cs="Times New Roman"/>
          <w:kern w:val="0"/>
          <w:szCs w:val="24"/>
        </w:rPr>
        <w:t>注：上述基金新股配售经纪佣金费率为其获配金额的</w:t>
      </w:r>
      <w:r>
        <w:rPr>
          <w:rFonts w:ascii="Times New Roman" w:eastAsia="楷体_GB2312" w:hAnsi="Times New Roman" w:cs="Times New Roman"/>
          <w:kern w:val="0"/>
          <w:szCs w:val="24"/>
        </w:rPr>
        <w:t>0.5%</w:t>
      </w:r>
      <w:r>
        <w:rPr>
          <w:rFonts w:ascii="Times New Roman" w:eastAsia="楷体_GB2312" w:hAnsi="Times New Roman" w:cs="Times New Roman"/>
          <w:kern w:val="0"/>
          <w:szCs w:val="24"/>
        </w:rPr>
        <w:t>。</w:t>
      </w:r>
    </w:p>
    <w:p w:rsidR="004E5101" w:rsidRDefault="005514F4" w:rsidP="002557E4">
      <w:pPr>
        <w:autoSpaceDE w:val="0"/>
        <w:autoSpaceDN w:val="0"/>
        <w:adjustRightInd w:val="0"/>
        <w:spacing w:beforeLines="50" w:line="360" w:lineRule="auto"/>
        <w:ind w:firstLineChars="200" w:firstLine="480"/>
        <w:jc w:val="lef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特此公告</w:t>
      </w:r>
    </w:p>
    <w:p w:rsidR="004E5101" w:rsidRDefault="005514F4">
      <w:pPr>
        <w:autoSpaceDE w:val="0"/>
        <w:autoSpaceDN w:val="0"/>
        <w:adjustRightInd w:val="0"/>
        <w:spacing w:line="360" w:lineRule="auto"/>
        <w:jc w:val="right"/>
        <w:rPr>
          <w:rFonts w:ascii="Times New Roman" w:eastAsia="楷体_GB2312" w:hAnsi="Times New Roman" w:cs="Times New Roman"/>
          <w:kern w:val="0"/>
          <w:sz w:val="24"/>
          <w:szCs w:val="24"/>
        </w:rPr>
      </w:pPr>
      <w:r>
        <w:rPr>
          <w:rFonts w:ascii="Times New Roman" w:eastAsia="楷体_GB2312" w:hAnsi="Times New Roman" w:cs="Times New Roman"/>
          <w:kern w:val="0"/>
          <w:sz w:val="24"/>
          <w:szCs w:val="24"/>
        </w:rPr>
        <w:t>中金基金管理有限公司</w:t>
      </w:r>
    </w:p>
    <w:p w:rsidR="004E5101" w:rsidRDefault="005514F4">
      <w:pPr>
        <w:spacing w:line="360" w:lineRule="auto"/>
        <w:jc w:val="right"/>
        <w:rPr>
          <w:rFonts w:ascii="Times New Roman" w:eastAsia="楷体_GB2312" w:hAnsi="Times New Roman" w:cs="Times New Roman"/>
          <w:sz w:val="24"/>
          <w:szCs w:val="24"/>
        </w:rPr>
      </w:pPr>
      <w:r>
        <w:rPr>
          <w:rFonts w:ascii="Times New Roman" w:eastAsia="楷体_GB2312" w:hAnsi="Times New Roman" w:cs="Times New Roman" w:hint="eastAsia"/>
          <w:kern w:val="0"/>
          <w:sz w:val="24"/>
          <w:szCs w:val="24"/>
        </w:rPr>
        <w:t>2020</w:t>
      </w:r>
      <w:r>
        <w:rPr>
          <w:rFonts w:ascii="Times New Roman" w:eastAsia="楷体_GB2312" w:hAnsi="Times New Roman" w:cs="Times New Roman"/>
          <w:kern w:val="0"/>
          <w:sz w:val="24"/>
          <w:szCs w:val="24"/>
        </w:rPr>
        <w:t>年</w:t>
      </w:r>
      <w:r>
        <w:rPr>
          <w:rFonts w:ascii="Times New Roman" w:eastAsia="楷体_GB2312" w:hAnsi="Times New Roman" w:cs="Times New Roman"/>
          <w:kern w:val="0"/>
          <w:sz w:val="24"/>
          <w:szCs w:val="24"/>
        </w:rPr>
        <w:t>8</w:t>
      </w:r>
      <w:r>
        <w:rPr>
          <w:rFonts w:ascii="Times New Roman" w:eastAsia="楷体_GB2312" w:hAnsi="Times New Roman" w:cs="Times New Roman"/>
          <w:kern w:val="0"/>
          <w:sz w:val="24"/>
          <w:szCs w:val="24"/>
        </w:rPr>
        <w:t>月</w:t>
      </w:r>
      <w:r>
        <w:rPr>
          <w:rFonts w:ascii="Times New Roman" w:eastAsia="楷体_GB2312" w:hAnsi="Times New Roman" w:cs="Times New Roman"/>
          <w:kern w:val="0"/>
          <w:sz w:val="24"/>
          <w:szCs w:val="24"/>
        </w:rPr>
        <w:t>5</w:t>
      </w:r>
      <w:r>
        <w:rPr>
          <w:rFonts w:ascii="Times New Roman" w:eastAsia="楷体_GB2312" w:hAnsi="Times New Roman" w:cs="Times New Roman"/>
          <w:kern w:val="0"/>
          <w:sz w:val="24"/>
          <w:szCs w:val="24"/>
        </w:rPr>
        <w:t>日</w:t>
      </w:r>
    </w:p>
    <w:sectPr w:rsidR="004E5101" w:rsidSect="00DA27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7E4" w:rsidRDefault="002557E4" w:rsidP="002557E4">
      <w:r>
        <w:separator/>
      </w:r>
    </w:p>
  </w:endnote>
  <w:endnote w:type="continuationSeparator" w:id="0">
    <w:p w:rsidR="002557E4" w:rsidRDefault="002557E4" w:rsidP="00255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altName w:val="微软雅黑"/>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7E4" w:rsidRDefault="002557E4" w:rsidP="002557E4">
      <w:r>
        <w:separator/>
      </w:r>
    </w:p>
  </w:footnote>
  <w:footnote w:type="continuationSeparator" w:id="0">
    <w:p w:rsidR="002557E4" w:rsidRDefault="002557E4" w:rsidP="002557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95ABD3B7"/>
    <w:rsid w:val="DFB755DE"/>
    <w:rsid w:val="F6DEEEA1"/>
    <w:rsid w:val="FFFEE57B"/>
    <w:rsid w:val="00002C5D"/>
    <w:rsid w:val="000476E7"/>
    <w:rsid w:val="00052929"/>
    <w:rsid w:val="00097A2E"/>
    <w:rsid w:val="00156FEE"/>
    <w:rsid w:val="00163C7B"/>
    <w:rsid w:val="001643C7"/>
    <w:rsid w:val="00164CA7"/>
    <w:rsid w:val="001729E7"/>
    <w:rsid w:val="00172A27"/>
    <w:rsid w:val="001E01E1"/>
    <w:rsid w:val="00211571"/>
    <w:rsid w:val="002557E4"/>
    <w:rsid w:val="002E4436"/>
    <w:rsid w:val="002E57C9"/>
    <w:rsid w:val="00336A2F"/>
    <w:rsid w:val="00351B6D"/>
    <w:rsid w:val="0037307F"/>
    <w:rsid w:val="003730B8"/>
    <w:rsid w:val="00383D43"/>
    <w:rsid w:val="00387283"/>
    <w:rsid w:val="003B0326"/>
    <w:rsid w:val="003C49CF"/>
    <w:rsid w:val="003D07E5"/>
    <w:rsid w:val="003E2578"/>
    <w:rsid w:val="003E25DA"/>
    <w:rsid w:val="004343C7"/>
    <w:rsid w:val="00454743"/>
    <w:rsid w:val="00495039"/>
    <w:rsid w:val="004B4629"/>
    <w:rsid w:val="004E5101"/>
    <w:rsid w:val="0052668A"/>
    <w:rsid w:val="005514F4"/>
    <w:rsid w:val="00580073"/>
    <w:rsid w:val="006A36E9"/>
    <w:rsid w:val="006F0B07"/>
    <w:rsid w:val="00722DD4"/>
    <w:rsid w:val="007D083F"/>
    <w:rsid w:val="007F1F31"/>
    <w:rsid w:val="008320EA"/>
    <w:rsid w:val="00851B64"/>
    <w:rsid w:val="0097486C"/>
    <w:rsid w:val="009D070A"/>
    <w:rsid w:val="009F73EF"/>
    <w:rsid w:val="00A331EB"/>
    <w:rsid w:val="00A6528A"/>
    <w:rsid w:val="00A87330"/>
    <w:rsid w:val="00AC6C51"/>
    <w:rsid w:val="00B50C25"/>
    <w:rsid w:val="00B91A14"/>
    <w:rsid w:val="00B96288"/>
    <w:rsid w:val="00BB5965"/>
    <w:rsid w:val="00BB6854"/>
    <w:rsid w:val="00C10FD9"/>
    <w:rsid w:val="00C47181"/>
    <w:rsid w:val="00CA4101"/>
    <w:rsid w:val="00CB753C"/>
    <w:rsid w:val="00CD0251"/>
    <w:rsid w:val="00D26D4A"/>
    <w:rsid w:val="00D61AF3"/>
    <w:rsid w:val="00DA2730"/>
    <w:rsid w:val="00DC3E7B"/>
    <w:rsid w:val="00EF1EDA"/>
    <w:rsid w:val="00F72146"/>
    <w:rsid w:val="00F9044B"/>
    <w:rsid w:val="00FF635E"/>
    <w:rsid w:val="0B7F0D7B"/>
    <w:rsid w:val="2FFFF582"/>
    <w:rsid w:val="5FE7FB47"/>
    <w:rsid w:val="67F934C8"/>
    <w:rsid w:val="7FC002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73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DA2730"/>
    <w:rPr>
      <w:b/>
      <w:bCs/>
    </w:rPr>
  </w:style>
  <w:style w:type="paragraph" w:styleId="a4">
    <w:name w:val="annotation text"/>
    <w:basedOn w:val="a"/>
    <w:link w:val="Char0"/>
    <w:uiPriority w:val="99"/>
    <w:unhideWhenUsed/>
    <w:qFormat/>
    <w:rsid w:val="00DA2730"/>
    <w:pPr>
      <w:jc w:val="left"/>
    </w:pPr>
  </w:style>
  <w:style w:type="paragraph" w:styleId="a5">
    <w:name w:val="Balloon Text"/>
    <w:basedOn w:val="a"/>
    <w:link w:val="Char1"/>
    <w:uiPriority w:val="99"/>
    <w:unhideWhenUsed/>
    <w:qFormat/>
    <w:rsid w:val="00DA2730"/>
    <w:rPr>
      <w:sz w:val="18"/>
      <w:szCs w:val="18"/>
    </w:rPr>
  </w:style>
  <w:style w:type="paragraph" w:styleId="a6">
    <w:name w:val="footer"/>
    <w:basedOn w:val="a"/>
    <w:link w:val="Char2"/>
    <w:uiPriority w:val="99"/>
    <w:unhideWhenUsed/>
    <w:qFormat/>
    <w:rsid w:val="00DA2730"/>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A2730"/>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qFormat/>
    <w:rsid w:val="00DA2730"/>
    <w:rPr>
      <w:sz w:val="21"/>
      <w:szCs w:val="21"/>
    </w:rPr>
  </w:style>
  <w:style w:type="table" w:styleId="a9">
    <w:name w:val="Table Grid"/>
    <w:basedOn w:val="a1"/>
    <w:uiPriority w:val="59"/>
    <w:qFormat/>
    <w:rsid w:val="00DA2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qFormat/>
    <w:rsid w:val="00DA2730"/>
    <w:rPr>
      <w:sz w:val="18"/>
      <w:szCs w:val="18"/>
    </w:rPr>
  </w:style>
  <w:style w:type="character" w:customStyle="1" w:styleId="Char3">
    <w:name w:val="页眉 Char"/>
    <w:basedOn w:val="a0"/>
    <w:link w:val="a7"/>
    <w:uiPriority w:val="99"/>
    <w:qFormat/>
    <w:rsid w:val="00DA2730"/>
    <w:rPr>
      <w:sz w:val="18"/>
      <w:szCs w:val="18"/>
    </w:rPr>
  </w:style>
  <w:style w:type="character" w:customStyle="1" w:styleId="Char2">
    <w:name w:val="页脚 Char"/>
    <w:basedOn w:val="a0"/>
    <w:link w:val="a6"/>
    <w:uiPriority w:val="99"/>
    <w:qFormat/>
    <w:rsid w:val="00DA2730"/>
    <w:rPr>
      <w:sz w:val="18"/>
      <w:szCs w:val="18"/>
    </w:rPr>
  </w:style>
  <w:style w:type="character" w:customStyle="1" w:styleId="Char0">
    <w:name w:val="批注文字 Char"/>
    <w:basedOn w:val="a0"/>
    <w:link w:val="a4"/>
    <w:uiPriority w:val="99"/>
    <w:semiHidden/>
    <w:qFormat/>
    <w:rsid w:val="00DA2730"/>
  </w:style>
  <w:style w:type="character" w:customStyle="1" w:styleId="Char">
    <w:name w:val="批注主题 Char"/>
    <w:basedOn w:val="Char0"/>
    <w:link w:val="a3"/>
    <w:uiPriority w:val="99"/>
    <w:semiHidden/>
    <w:qFormat/>
    <w:rsid w:val="00DA2730"/>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892</Characters>
  <Application>Microsoft Office Word</Application>
  <DocSecurity>4</DocSecurity>
  <Lines>7</Lines>
  <Paragraphs>2</Paragraphs>
  <ScaleCrop>false</ScaleCrop>
  <Company>HP Inc.</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SXF</dc:creator>
  <cp:lastModifiedBy>ZHONGM</cp:lastModifiedBy>
  <cp:revision>2</cp:revision>
  <cp:lastPrinted>2020-01-10T17:55:00Z</cp:lastPrinted>
  <dcterms:created xsi:type="dcterms:W3CDTF">2020-08-04T16:01:00Z</dcterms:created>
  <dcterms:modified xsi:type="dcterms:W3CDTF">2020-08-04T16:01:00Z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