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6FC" w:rsidRDefault="0015357F">
      <w:pPr>
        <w:spacing w:line="360" w:lineRule="auto"/>
        <w:ind w:left="2530" w:hangingChars="900" w:hanging="2530"/>
        <w:jc w:val="center"/>
        <w:rPr>
          <w:rFonts w:ascii="宋体" w:eastAsia="宋体" w:hAnsi="宋体" w:cs="Times New Roman"/>
          <w:b/>
          <w:sz w:val="28"/>
          <w:szCs w:val="28"/>
        </w:rPr>
      </w:pPr>
      <w:r>
        <w:rPr>
          <w:rFonts w:ascii="宋体" w:eastAsia="宋体" w:hAnsi="宋体" w:cs="Times New Roman"/>
          <w:b/>
          <w:sz w:val="28"/>
          <w:szCs w:val="28"/>
        </w:rPr>
        <w:t>华商基金管理有限公司关于旗下部分基金参加</w:t>
      </w:r>
    </w:p>
    <w:p w:rsidR="00EF46FC" w:rsidRDefault="0015357F">
      <w:pPr>
        <w:spacing w:line="360" w:lineRule="auto"/>
        <w:ind w:left="2530" w:hangingChars="900" w:hanging="2530"/>
        <w:jc w:val="center"/>
        <w:rPr>
          <w:rFonts w:ascii="宋体" w:eastAsia="宋体" w:hAnsi="宋体" w:cs="Times New Roman"/>
          <w:b/>
          <w:sz w:val="28"/>
          <w:szCs w:val="28"/>
        </w:rPr>
      </w:pPr>
      <w:r>
        <w:rPr>
          <w:rFonts w:ascii="宋体" w:eastAsia="宋体" w:hAnsi="宋体" w:cs="Times New Roman"/>
          <w:b/>
          <w:sz w:val="28"/>
          <w:szCs w:val="28"/>
        </w:rPr>
        <w:t>华龙证券</w:t>
      </w:r>
      <w:r>
        <w:rPr>
          <w:rFonts w:ascii="宋体" w:eastAsia="宋体" w:hAnsi="宋体" w:cs="Times New Roman" w:hint="eastAsia"/>
          <w:b/>
          <w:sz w:val="28"/>
          <w:szCs w:val="28"/>
        </w:rPr>
        <w:t>股份有限公司</w:t>
      </w:r>
      <w:r>
        <w:rPr>
          <w:rFonts w:ascii="宋体" w:eastAsia="宋体" w:hAnsi="宋体" w:cs="Times New Roman"/>
          <w:b/>
          <w:sz w:val="28"/>
          <w:szCs w:val="28"/>
        </w:rPr>
        <w:t>费率优惠活动的公告</w:t>
      </w:r>
    </w:p>
    <w:p w:rsidR="00EF46FC" w:rsidRDefault="00EF46FC">
      <w:pPr>
        <w:spacing w:line="360" w:lineRule="auto"/>
        <w:ind w:left="2160" w:hangingChars="900" w:hanging="2160"/>
        <w:jc w:val="center"/>
        <w:rPr>
          <w:rFonts w:ascii="Times New Roman" w:eastAsia="宋体" w:hAnsi="Times New Roman" w:cs="Times New Roman"/>
          <w:sz w:val="24"/>
          <w:szCs w:val="24"/>
        </w:rPr>
      </w:pPr>
    </w:p>
    <w:p w:rsidR="00EF46FC" w:rsidRDefault="0015357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为满足广大投资者的理财需求</w:t>
      </w:r>
      <w:r>
        <w:rPr>
          <w:rFonts w:ascii="Times New Roman" w:eastAsia="宋体" w:hAnsi="Times New Roman" w:cs="Times New Roman" w:hint="eastAsia"/>
          <w:sz w:val="24"/>
          <w:szCs w:val="24"/>
        </w:rPr>
        <w:t>，</w:t>
      </w:r>
      <w:r>
        <w:rPr>
          <w:rFonts w:ascii="Times New Roman" w:eastAsia="宋体" w:hAnsi="Times New Roman" w:cs="Times New Roman"/>
          <w:sz w:val="24"/>
          <w:szCs w:val="24"/>
        </w:rPr>
        <w:t>更好地为投资者提供服务</w:t>
      </w:r>
      <w:r>
        <w:rPr>
          <w:rFonts w:ascii="Times New Roman" w:eastAsia="宋体" w:hAnsi="Times New Roman" w:cs="Times New Roman" w:hint="eastAsia"/>
          <w:sz w:val="24"/>
          <w:szCs w:val="24"/>
        </w:rPr>
        <w:t>，</w:t>
      </w:r>
      <w:r>
        <w:rPr>
          <w:rFonts w:ascii="Times New Roman" w:eastAsia="宋体" w:hAnsi="Times New Roman" w:cs="Times New Roman"/>
          <w:sz w:val="24"/>
          <w:szCs w:val="24"/>
        </w:rPr>
        <w:t>经华商基金管理有限公司（以下简称</w:t>
      </w:r>
      <w:r>
        <w:rPr>
          <w:rFonts w:ascii="Times New Roman" w:eastAsia="宋体" w:hAnsi="Times New Roman" w:cs="Times New Roman"/>
          <w:sz w:val="24"/>
          <w:szCs w:val="24"/>
        </w:rPr>
        <w:t>“</w:t>
      </w:r>
      <w:r>
        <w:rPr>
          <w:rFonts w:ascii="Times New Roman" w:eastAsia="宋体" w:hAnsi="Times New Roman" w:cs="Times New Roman"/>
          <w:sz w:val="24"/>
          <w:szCs w:val="24"/>
        </w:rPr>
        <w:t>本公司</w:t>
      </w:r>
      <w:r>
        <w:rPr>
          <w:rFonts w:ascii="Times New Roman" w:eastAsia="宋体" w:hAnsi="Times New Roman" w:cs="Times New Roman"/>
          <w:sz w:val="24"/>
          <w:szCs w:val="24"/>
        </w:rPr>
        <w:t>”</w:t>
      </w:r>
      <w:r>
        <w:rPr>
          <w:rFonts w:ascii="Times New Roman" w:eastAsia="宋体" w:hAnsi="Times New Roman" w:cs="Times New Roman"/>
          <w:sz w:val="24"/>
          <w:szCs w:val="24"/>
        </w:rPr>
        <w:t>）与</w:t>
      </w:r>
      <w:r>
        <w:rPr>
          <w:rFonts w:ascii="Times New Roman" w:eastAsia="宋体" w:hAnsi="Times New Roman" w:cs="Times New Roman" w:hint="eastAsia"/>
          <w:sz w:val="24"/>
          <w:szCs w:val="24"/>
        </w:rPr>
        <w:t>华龙证券股份有限公司（以下简称“华龙证券”）</w:t>
      </w:r>
      <w:r>
        <w:rPr>
          <w:rFonts w:ascii="Times New Roman" w:eastAsia="宋体" w:hAnsi="Times New Roman" w:cs="Times New Roman"/>
          <w:sz w:val="24"/>
          <w:szCs w:val="24"/>
        </w:rPr>
        <w:t>协商一致，决定自</w:t>
      </w:r>
      <w:r>
        <w:rPr>
          <w:rFonts w:ascii="Times New Roman" w:eastAsia="宋体" w:hAnsi="Times New Roman" w:cs="Times New Roman" w:hint="eastAsia"/>
          <w:sz w:val="24"/>
          <w:szCs w:val="24"/>
        </w:rPr>
        <w:t>2020</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日起，</w:t>
      </w:r>
      <w:r>
        <w:rPr>
          <w:rFonts w:ascii="Times New Roman" w:eastAsia="宋体" w:hAnsi="Times New Roman" w:cs="Times New Roman"/>
          <w:sz w:val="24"/>
          <w:szCs w:val="24"/>
        </w:rPr>
        <w:t>本公司旗下部分基金将参加华龙证券</w:t>
      </w:r>
      <w:r>
        <w:rPr>
          <w:rFonts w:ascii="Times New Roman" w:eastAsia="宋体" w:hAnsi="Times New Roman" w:cs="Times New Roman" w:hint="eastAsia"/>
          <w:sz w:val="24"/>
          <w:szCs w:val="24"/>
        </w:rPr>
        <w:t>申购费率（含定期定额投资）的</w:t>
      </w:r>
      <w:r>
        <w:rPr>
          <w:rFonts w:ascii="Times New Roman" w:eastAsia="宋体" w:hAnsi="Times New Roman" w:cs="Times New Roman"/>
          <w:sz w:val="24"/>
          <w:szCs w:val="24"/>
        </w:rPr>
        <w:t>优惠活动。</w:t>
      </w:r>
    </w:p>
    <w:p w:rsidR="00EF46FC" w:rsidRDefault="00EF46FC">
      <w:pPr>
        <w:spacing w:line="360" w:lineRule="auto"/>
        <w:ind w:firstLineChars="200" w:firstLine="480"/>
        <w:rPr>
          <w:rFonts w:ascii="Times New Roman" w:eastAsia="宋体" w:hAnsi="Times New Roman" w:cs="Times New Roman"/>
          <w:sz w:val="24"/>
          <w:szCs w:val="24"/>
        </w:rPr>
      </w:pPr>
    </w:p>
    <w:p w:rsidR="00EF46FC" w:rsidRDefault="0015357F" w:rsidP="00EF46FC">
      <w:pPr>
        <w:pStyle w:val="ad"/>
        <w:numPr>
          <w:ilvl w:val="0"/>
          <w:numId w:val="1"/>
        </w:numPr>
        <w:adjustRightInd w:val="0"/>
        <w:snapToGrid w:val="0"/>
        <w:spacing w:line="360" w:lineRule="auto"/>
        <w:ind w:left="0" w:firstLineChars="0" w:firstLine="0"/>
        <w:jc w:val="left"/>
        <w:rPr>
          <w:rFonts w:ascii="Times New Roman" w:eastAsia="宋体" w:hAnsi="Times New Roman" w:cs="Times New Roman"/>
          <w:sz w:val="24"/>
          <w:szCs w:val="24"/>
        </w:rPr>
      </w:pPr>
      <w:r>
        <w:rPr>
          <w:rFonts w:ascii="Times New Roman" w:eastAsia="宋体" w:hAnsi="Times New Roman" w:cs="Times New Roman"/>
          <w:b/>
          <w:sz w:val="24"/>
          <w:szCs w:val="24"/>
        </w:rPr>
        <w:t>适用基金范围</w:t>
      </w:r>
      <w:r>
        <w:rPr>
          <w:rFonts w:ascii="Times New Roman" w:eastAsia="宋体" w:hAnsi="Times New Roman" w:cs="Times New Roman" w:hint="eastAsia"/>
          <w:b/>
          <w:sz w:val="24"/>
          <w:szCs w:val="24"/>
        </w:rPr>
        <w:t>及活动内容</w:t>
      </w:r>
    </w:p>
    <w:p w:rsidR="00E11BAE" w:rsidRDefault="0015357F" w:rsidP="00E11BAE">
      <w:pPr>
        <w:spacing w:line="360" w:lineRule="auto"/>
        <w:ind w:firstLineChars="200" w:firstLine="480"/>
        <w:rPr>
          <w:rFonts w:ascii="Times New Roman" w:eastAsia="宋体" w:hAnsi="Times New Roman" w:cs="Times New Roman"/>
          <w:sz w:val="24"/>
          <w:szCs w:val="24"/>
        </w:rPr>
      </w:pPr>
      <w:r w:rsidRPr="00E11BAE">
        <w:rPr>
          <w:rFonts w:asciiTheme="minorEastAsia" w:hAnsiTheme="minorEastAsia" w:cs="Times New Roman" w:hint="eastAsia"/>
          <w:sz w:val="24"/>
          <w:szCs w:val="24"/>
        </w:rPr>
        <w:t>1.1</w:t>
      </w:r>
      <w:r>
        <w:rPr>
          <w:rFonts w:ascii="Times New Roman" w:eastAsia="宋体" w:hAnsi="Times New Roman" w:cs="Times New Roman"/>
          <w:sz w:val="24"/>
          <w:szCs w:val="24"/>
        </w:rPr>
        <w:t>优惠活动期间</w:t>
      </w:r>
      <w:r>
        <w:rPr>
          <w:rFonts w:ascii="Times New Roman" w:eastAsia="宋体" w:hAnsi="Times New Roman" w:cs="Times New Roman" w:hint="eastAsia"/>
          <w:sz w:val="24"/>
          <w:szCs w:val="24"/>
        </w:rPr>
        <w:t>，凡投资者通过华龙证券申购本公司旗下下述开放式基金，其</w:t>
      </w:r>
      <w:r>
        <w:rPr>
          <w:rFonts w:ascii="Times New Roman" w:eastAsia="宋体" w:hAnsi="Times New Roman" w:cs="Times New Roman"/>
          <w:sz w:val="24"/>
          <w:szCs w:val="24"/>
        </w:rPr>
        <w:t>申购费率</w:t>
      </w:r>
      <w:r>
        <w:rPr>
          <w:rFonts w:ascii="Times New Roman" w:eastAsia="宋体" w:hAnsi="Times New Roman" w:cs="Times New Roman" w:hint="eastAsia"/>
          <w:sz w:val="24"/>
          <w:szCs w:val="24"/>
        </w:rPr>
        <w:t>（含定期定额投资）可享有</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折优惠。适用于固定费用的，则执行其规定的固定费用，不再享有费率折扣。各基金费率请详见其法律文件及本公司发布的最新业务公告。</w:t>
      </w:r>
    </w:p>
    <w:p w:rsidR="00EF46FC" w:rsidRDefault="00EF46FC" w:rsidP="00E11BAE">
      <w:pPr>
        <w:spacing w:line="360" w:lineRule="auto"/>
        <w:ind w:firstLineChars="200" w:firstLine="420"/>
      </w:pPr>
    </w:p>
    <w:tbl>
      <w:tblPr>
        <w:tblW w:w="8946" w:type="dxa"/>
        <w:tblInd w:w="93" w:type="dxa"/>
        <w:tblLook w:val="04A0"/>
      </w:tblPr>
      <w:tblGrid>
        <w:gridCol w:w="856"/>
        <w:gridCol w:w="1853"/>
        <w:gridCol w:w="6237"/>
      </w:tblGrid>
      <w:tr w:rsidR="00EF46FC">
        <w:trPr>
          <w:trHeight w:val="390"/>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6FC" w:rsidRDefault="0015357F">
            <w:pPr>
              <w:widowControl/>
              <w:jc w:val="center"/>
              <w:rPr>
                <w:rFonts w:ascii="宋体" w:eastAsia="宋体" w:hAnsi="宋体" w:cs="宋体"/>
                <w:b/>
                <w:color w:val="000000"/>
                <w:kern w:val="0"/>
                <w:sz w:val="22"/>
              </w:rPr>
            </w:pPr>
            <w:r>
              <w:rPr>
                <w:rFonts w:ascii="宋体" w:eastAsia="宋体" w:hAnsi="宋体" w:cs="宋体" w:hint="eastAsia"/>
                <w:b/>
                <w:color w:val="000000"/>
                <w:kern w:val="0"/>
                <w:sz w:val="22"/>
              </w:rPr>
              <w:t>序号</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EF46FC" w:rsidRDefault="0015357F">
            <w:pPr>
              <w:widowControl/>
              <w:jc w:val="center"/>
              <w:rPr>
                <w:rFonts w:ascii="宋体" w:eastAsia="宋体" w:hAnsi="宋体" w:cs="宋体"/>
                <w:b/>
                <w:color w:val="000000"/>
                <w:kern w:val="0"/>
                <w:sz w:val="22"/>
              </w:rPr>
            </w:pPr>
            <w:r>
              <w:rPr>
                <w:rFonts w:ascii="宋体" w:eastAsia="宋体" w:hAnsi="宋体" w:cs="宋体" w:hint="eastAsia"/>
                <w:b/>
                <w:color w:val="000000"/>
                <w:kern w:val="0"/>
                <w:sz w:val="22"/>
              </w:rPr>
              <w:t>基金代码</w:t>
            </w:r>
          </w:p>
        </w:tc>
        <w:tc>
          <w:tcPr>
            <w:tcW w:w="6237" w:type="dxa"/>
            <w:tcBorders>
              <w:top w:val="single" w:sz="4" w:space="0" w:color="auto"/>
              <w:left w:val="nil"/>
              <w:bottom w:val="single" w:sz="4" w:space="0" w:color="auto"/>
              <w:right w:val="single" w:sz="4" w:space="0" w:color="auto"/>
            </w:tcBorders>
            <w:shd w:val="clear" w:color="auto" w:fill="auto"/>
            <w:noWrap/>
            <w:vAlign w:val="center"/>
          </w:tcPr>
          <w:p w:rsidR="00EF46FC" w:rsidRDefault="0015357F">
            <w:pPr>
              <w:widowControl/>
              <w:jc w:val="center"/>
              <w:rPr>
                <w:rFonts w:ascii="宋体" w:eastAsia="宋体" w:hAnsi="宋体" w:cs="宋体"/>
                <w:b/>
                <w:color w:val="000000"/>
                <w:kern w:val="0"/>
                <w:sz w:val="22"/>
              </w:rPr>
            </w:pPr>
            <w:r>
              <w:rPr>
                <w:rFonts w:ascii="宋体" w:eastAsia="宋体" w:hAnsi="宋体" w:cs="宋体" w:hint="eastAsia"/>
                <w:b/>
                <w:color w:val="000000"/>
                <w:kern w:val="0"/>
                <w:sz w:val="22"/>
              </w:rPr>
              <w:t>基金名称</w:t>
            </w:r>
          </w:p>
        </w:tc>
      </w:tr>
      <w:tr w:rsidR="00EF46FC">
        <w:trPr>
          <w:trHeight w:val="266"/>
        </w:trPr>
        <w:tc>
          <w:tcPr>
            <w:tcW w:w="856" w:type="dxa"/>
            <w:tcBorders>
              <w:top w:val="nil"/>
              <w:left w:val="single" w:sz="4" w:space="0" w:color="auto"/>
              <w:bottom w:val="single" w:sz="4" w:space="0" w:color="auto"/>
              <w:right w:val="single" w:sz="4" w:space="0" w:color="auto"/>
            </w:tcBorders>
            <w:shd w:val="clear" w:color="auto" w:fill="auto"/>
            <w:noWrap/>
            <w:vAlign w:val="center"/>
          </w:tcPr>
          <w:p w:rsidR="00EF46FC" w:rsidRDefault="00EF46FC">
            <w:pPr>
              <w:pStyle w:val="ad"/>
              <w:widowControl/>
              <w:numPr>
                <w:ilvl w:val="0"/>
                <w:numId w:val="2"/>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EF46FC" w:rsidRDefault="001535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630002</w:t>
            </w:r>
          </w:p>
        </w:tc>
        <w:tc>
          <w:tcPr>
            <w:tcW w:w="6237" w:type="dxa"/>
            <w:tcBorders>
              <w:top w:val="single" w:sz="4" w:space="0" w:color="auto"/>
              <w:left w:val="nil"/>
              <w:bottom w:val="single" w:sz="4" w:space="0" w:color="auto"/>
              <w:right w:val="single" w:sz="4" w:space="0" w:color="000000"/>
            </w:tcBorders>
            <w:shd w:val="clear" w:color="auto" w:fill="auto"/>
            <w:noWrap/>
            <w:vAlign w:val="center"/>
          </w:tcPr>
          <w:p w:rsidR="00EF46FC" w:rsidRDefault="001535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华商盛世成长混合型证券投资基金</w:t>
            </w:r>
          </w:p>
        </w:tc>
      </w:tr>
      <w:tr w:rsidR="00EF46FC">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tcPr>
          <w:p w:rsidR="00EF46FC" w:rsidRDefault="00EF46FC">
            <w:pPr>
              <w:pStyle w:val="ad"/>
              <w:widowControl/>
              <w:numPr>
                <w:ilvl w:val="0"/>
                <w:numId w:val="2"/>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EF46FC" w:rsidRDefault="001535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630006</w:t>
            </w:r>
          </w:p>
        </w:tc>
        <w:tc>
          <w:tcPr>
            <w:tcW w:w="6237" w:type="dxa"/>
            <w:tcBorders>
              <w:top w:val="single" w:sz="4" w:space="0" w:color="auto"/>
              <w:left w:val="nil"/>
              <w:bottom w:val="single" w:sz="4" w:space="0" w:color="auto"/>
              <w:right w:val="single" w:sz="4" w:space="0" w:color="000000"/>
            </w:tcBorders>
            <w:shd w:val="clear" w:color="auto" w:fill="auto"/>
            <w:noWrap/>
            <w:vAlign w:val="center"/>
          </w:tcPr>
          <w:p w:rsidR="00EF46FC" w:rsidRDefault="001535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华商产业升级混合型证券投资基金</w:t>
            </w:r>
          </w:p>
        </w:tc>
      </w:tr>
      <w:tr w:rsidR="00EF46FC">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tcPr>
          <w:p w:rsidR="00EF46FC" w:rsidRDefault="00EF46FC">
            <w:pPr>
              <w:pStyle w:val="ad"/>
              <w:widowControl/>
              <w:numPr>
                <w:ilvl w:val="0"/>
                <w:numId w:val="2"/>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EF46FC" w:rsidRDefault="001535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630008</w:t>
            </w:r>
          </w:p>
        </w:tc>
        <w:tc>
          <w:tcPr>
            <w:tcW w:w="6237" w:type="dxa"/>
            <w:tcBorders>
              <w:top w:val="single" w:sz="4" w:space="0" w:color="auto"/>
              <w:left w:val="nil"/>
              <w:bottom w:val="single" w:sz="4" w:space="0" w:color="auto"/>
              <w:right w:val="single" w:sz="4" w:space="0" w:color="000000"/>
            </w:tcBorders>
            <w:shd w:val="clear" w:color="auto" w:fill="auto"/>
            <w:noWrap/>
            <w:vAlign w:val="center"/>
          </w:tcPr>
          <w:p w:rsidR="00EF46FC" w:rsidRDefault="001535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华商策略精选灵活配置混合型证券投资基金</w:t>
            </w:r>
          </w:p>
        </w:tc>
      </w:tr>
      <w:tr w:rsidR="00EF46FC">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tcPr>
          <w:p w:rsidR="00EF46FC" w:rsidRDefault="00EF46FC">
            <w:pPr>
              <w:pStyle w:val="ad"/>
              <w:widowControl/>
              <w:numPr>
                <w:ilvl w:val="0"/>
                <w:numId w:val="2"/>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EF46FC" w:rsidRDefault="001535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630015</w:t>
            </w:r>
          </w:p>
        </w:tc>
        <w:tc>
          <w:tcPr>
            <w:tcW w:w="6237" w:type="dxa"/>
            <w:tcBorders>
              <w:top w:val="single" w:sz="4" w:space="0" w:color="auto"/>
              <w:left w:val="nil"/>
              <w:bottom w:val="single" w:sz="4" w:space="0" w:color="auto"/>
              <w:right w:val="single" w:sz="4" w:space="0" w:color="000000"/>
            </w:tcBorders>
            <w:shd w:val="clear" w:color="auto" w:fill="auto"/>
            <w:noWrap/>
            <w:vAlign w:val="center"/>
          </w:tcPr>
          <w:p w:rsidR="00EF46FC" w:rsidRDefault="001535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华商大盘量化精选灵活配置混合型证券投资基金</w:t>
            </w:r>
          </w:p>
        </w:tc>
      </w:tr>
      <w:tr w:rsidR="00EF46FC">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tcPr>
          <w:p w:rsidR="00EF46FC" w:rsidRDefault="00EF46FC">
            <w:pPr>
              <w:pStyle w:val="ad"/>
              <w:widowControl/>
              <w:numPr>
                <w:ilvl w:val="0"/>
                <w:numId w:val="2"/>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EF46FC" w:rsidRDefault="001535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000654</w:t>
            </w:r>
          </w:p>
        </w:tc>
        <w:tc>
          <w:tcPr>
            <w:tcW w:w="6237" w:type="dxa"/>
            <w:tcBorders>
              <w:top w:val="single" w:sz="4" w:space="0" w:color="auto"/>
              <w:left w:val="nil"/>
              <w:bottom w:val="single" w:sz="4" w:space="0" w:color="auto"/>
              <w:right w:val="single" w:sz="4" w:space="0" w:color="000000"/>
            </w:tcBorders>
            <w:shd w:val="clear" w:color="auto" w:fill="auto"/>
            <w:noWrap/>
            <w:vAlign w:val="center"/>
          </w:tcPr>
          <w:p w:rsidR="00EF46FC" w:rsidRDefault="001535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华商新锐产业灵活配置混合型证券投资基金</w:t>
            </w:r>
          </w:p>
        </w:tc>
      </w:tr>
      <w:tr w:rsidR="00EF46FC">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tcPr>
          <w:p w:rsidR="00EF46FC" w:rsidRDefault="00EF46FC">
            <w:pPr>
              <w:pStyle w:val="ad"/>
              <w:widowControl/>
              <w:numPr>
                <w:ilvl w:val="0"/>
                <w:numId w:val="2"/>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EF46FC" w:rsidRDefault="001535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001106</w:t>
            </w:r>
          </w:p>
        </w:tc>
        <w:tc>
          <w:tcPr>
            <w:tcW w:w="6237" w:type="dxa"/>
            <w:tcBorders>
              <w:top w:val="single" w:sz="4" w:space="0" w:color="auto"/>
              <w:left w:val="nil"/>
              <w:bottom w:val="single" w:sz="4" w:space="0" w:color="auto"/>
              <w:right w:val="single" w:sz="4" w:space="0" w:color="000000"/>
            </w:tcBorders>
            <w:shd w:val="clear" w:color="auto" w:fill="auto"/>
            <w:noWrap/>
            <w:vAlign w:val="center"/>
          </w:tcPr>
          <w:p w:rsidR="00EF46FC" w:rsidRDefault="001535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华商健康生活灵活配置混合型基金</w:t>
            </w:r>
          </w:p>
        </w:tc>
      </w:tr>
      <w:tr w:rsidR="00EF46FC">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tcPr>
          <w:p w:rsidR="00EF46FC" w:rsidRDefault="00EF46FC">
            <w:pPr>
              <w:pStyle w:val="ad"/>
              <w:widowControl/>
              <w:numPr>
                <w:ilvl w:val="0"/>
                <w:numId w:val="2"/>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EF46FC" w:rsidRDefault="001535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001143</w:t>
            </w:r>
          </w:p>
        </w:tc>
        <w:tc>
          <w:tcPr>
            <w:tcW w:w="6237" w:type="dxa"/>
            <w:tcBorders>
              <w:top w:val="single" w:sz="4" w:space="0" w:color="auto"/>
              <w:left w:val="nil"/>
              <w:bottom w:val="single" w:sz="4" w:space="0" w:color="auto"/>
              <w:right w:val="single" w:sz="4" w:space="0" w:color="000000"/>
            </w:tcBorders>
            <w:shd w:val="clear" w:color="auto" w:fill="auto"/>
            <w:noWrap/>
            <w:vAlign w:val="center"/>
          </w:tcPr>
          <w:p w:rsidR="00EF46FC" w:rsidRDefault="001535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华商量化进取灵活配置混合型证券投资基金</w:t>
            </w:r>
          </w:p>
        </w:tc>
      </w:tr>
      <w:tr w:rsidR="00EF46FC">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tcPr>
          <w:p w:rsidR="00EF46FC" w:rsidRDefault="00EF46FC">
            <w:pPr>
              <w:pStyle w:val="ad"/>
              <w:widowControl/>
              <w:numPr>
                <w:ilvl w:val="0"/>
                <w:numId w:val="2"/>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EF46FC" w:rsidRDefault="001535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001822</w:t>
            </w:r>
          </w:p>
        </w:tc>
        <w:tc>
          <w:tcPr>
            <w:tcW w:w="6237" w:type="dxa"/>
            <w:tcBorders>
              <w:top w:val="single" w:sz="4" w:space="0" w:color="auto"/>
              <w:left w:val="nil"/>
              <w:bottom w:val="single" w:sz="4" w:space="0" w:color="auto"/>
              <w:right w:val="single" w:sz="4" w:space="0" w:color="000000"/>
            </w:tcBorders>
            <w:shd w:val="clear" w:color="auto" w:fill="auto"/>
            <w:noWrap/>
            <w:vAlign w:val="center"/>
          </w:tcPr>
          <w:p w:rsidR="00EF46FC" w:rsidRDefault="001535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华商智能生活灵活配置混合型证券投资基金</w:t>
            </w:r>
          </w:p>
        </w:tc>
      </w:tr>
      <w:tr w:rsidR="00EF46FC">
        <w:trPr>
          <w:trHeight w:val="402"/>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6FC" w:rsidRDefault="00EF46FC">
            <w:pPr>
              <w:pStyle w:val="ad"/>
              <w:widowControl/>
              <w:numPr>
                <w:ilvl w:val="0"/>
                <w:numId w:val="2"/>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EF46FC" w:rsidRDefault="001535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002669</w:t>
            </w:r>
          </w:p>
        </w:tc>
        <w:tc>
          <w:tcPr>
            <w:tcW w:w="6237" w:type="dxa"/>
            <w:tcBorders>
              <w:top w:val="single" w:sz="4" w:space="0" w:color="auto"/>
              <w:left w:val="nil"/>
              <w:bottom w:val="single" w:sz="4" w:space="0" w:color="auto"/>
              <w:right w:val="single" w:sz="4" w:space="0" w:color="auto"/>
            </w:tcBorders>
            <w:shd w:val="clear" w:color="auto" w:fill="auto"/>
            <w:noWrap/>
            <w:vAlign w:val="center"/>
          </w:tcPr>
          <w:p w:rsidR="00EF46FC" w:rsidRDefault="001535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华商万众创新灵活配置混合型证券投资基金</w:t>
            </w:r>
          </w:p>
        </w:tc>
      </w:tr>
      <w:tr w:rsidR="00EF46FC">
        <w:trPr>
          <w:trHeight w:val="402"/>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6FC" w:rsidRDefault="00EF46FC">
            <w:pPr>
              <w:pStyle w:val="ad"/>
              <w:widowControl/>
              <w:numPr>
                <w:ilvl w:val="0"/>
                <w:numId w:val="2"/>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EF46FC" w:rsidRDefault="001535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004423</w:t>
            </w:r>
          </w:p>
        </w:tc>
        <w:tc>
          <w:tcPr>
            <w:tcW w:w="6237" w:type="dxa"/>
            <w:tcBorders>
              <w:top w:val="single" w:sz="4" w:space="0" w:color="auto"/>
              <w:left w:val="nil"/>
              <w:bottom w:val="single" w:sz="4" w:space="0" w:color="auto"/>
              <w:right w:val="single" w:sz="4" w:space="0" w:color="auto"/>
            </w:tcBorders>
            <w:shd w:val="clear" w:color="auto" w:fill="auto"/>
            <w:noWrap/>
            <w:vAlign w:val="center"/>
          </w:tcPr>
          <w:p w:rsidR="00EF46FC" w:rsidRDefault="0015357F">
            <w:pPr>
              <w:jc w:val="center"/>
              <w:rPr>
                <w:rFonts w:ascii="宋体" w:eastAsia="宋体" w:hAnsi="宋体" w:cs="宋体"/>
                <w:color w:val="000000"/>
                <w:kern w:val="0"/>
                <w:sz w:val="22"/>
              </w:rPr>
            </w:pPr>
            <w:r>
              <w:rPr>
                <w:rFonts w:ascii="宋体" w:eastAsia="宋体" w:hAnsi="宋体" w:cs="宋体" w:hint="eastAsia"/>
                <w:color w:val="000000"/>
                <w:kern w:val="0"/>
                <w:sz w:val="22"/>
              </w:rPr>
              <w:t>华商研究精选灵活配置混合型证券投资基金</w:t>
            </w:r>
          </w:p>
        </w:tc>
      </w:tr>
      <w:tr w:rsidR="00EF46FC">
        <w:trPr>
          <w:trHeight w:val="458"/>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6FC" w:rsidRDefault="00EF46FC">
            <w:pPr>
              <w:pStyle w:val="ad"/>
              <w:widowControl/>
              <w:numPr>
                <w:ilvl w:val="0"/>
                <w:numId w:val="2"/>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EF46FC" w:rsidRDefault="001535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166301</w:t>
            </w:r>
          </w:p>
        </w:tc>
        <w:tc>
          <w:tcPr>
            <w:tcW w:w="6237" w:type="dxa"/>
            <w:tcBorders>
              <w:top w:val="single" w:sz="4" w:space="0" w:color="auto"/>
              <w:left w:val="nil"/>
              <w:bottom w:val="single" w:sz="4" w:space="0" w:color="auto"/>
              <w:right w:val="single" w:sz="4" w:space="0" w:color="auto"/>
            </w:tcBorders>
            <w:shd w:val="clear" w:color="auto" w:fill="auto"/>
            <w:noWrap/>
            <w:vAlign w:val="center"/>
          </w:tcPr>
          <w:p w:rsidR="00EF46FC" w:rsidRDefault="001535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华商新趋势优选灵活配置混合型证券投资基金</w:t>
            </w:r>
          </w:p>
        </w:tc>
      </w:tr>
      <w:tr w:rsidR="00EF46FC">
        <w:trPr>
          <w:trHeight w:val="458"/>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6FC" w:rsidRDefault="00EF46FC">
            <w:pPr>
              <w:pStyle w:val="ad"/>
              <w:widowControl/>
              <w:numPr>
                <w:ilvl w:val="0"/>
                <w:numId w:val="2"/>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EF46FC" w:rsidRDefault="001535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007685</w:t>
            </w:r>
          </w:p>
        </w:tc>
        <w:tc>
          <w:tcPr>
            <w:tcW w:w="6237" w:type="dxa"/>
            <w:tcBorders>
              <w:top w:val="single" w:sz="4" w:space="0" w:color="auto"/>
              <w:left w:val="nil"/>
              <w:bottom w:val="single" w:sz="4" w:space="0" w:color="auto"/>
              <w:right w:val="single" w:sz="4" w:space="0" w:color="auto"/>
            </w:tcBorders>
            <w:shd w:val="clear" w:color="auto" w:fill="auto"/>
            <w:noWrap/>
            <w:vAlign w:val="center"/>
          </w:tcPr>
          <w:p w:rsidR="00EF46FC" w:rsidRDefault="0015357F">
            <w:pPr>
              <w:ind w:firstLineChars="200" w:firstLine="440"/>
              <w:jc w:val="center"/>
              <w:rPr>
                <w:rFonts w:ascii="宋体" w:eastAsia="宋体" w:hAnsi="宋体" w:cs="宋体"/>
                <w:color w:val="000000"/>
                <w:kern w:val="0"/>
                <w:sz w:val="22"/>
              </w:rPr>
            </w:pPr>
            <w:r>
              <w:rPr>
                <w:rFonts w:ascii="宋体" w:eastAsia="宋体" w:hAnsi="宋体" w:cs="宋体"/>
                <w:color w:val="000000"/>
                <w:kern w:val="0"/>
                <w:sz w:val="22"/>
              </w:rPr>
              <w:t>华商电子行业量化股票型发起式</w:t>
            </w:r>
            <w:r>
              <w:rPr>
                <w:rFonts w:ascii="宋体" w:eastAsia="宋体" w:hAnsi="宋体" w:cs="宋体" w:hint="eastAsia"/>
                <w:color w:val="000000"/>
                <w:kern w:val="0"/>
                <w:sz w:val="22"/>
              </w:rPr>
              <w:t>证券投资</w:t>
            </w:r>
            <w:r>
              <w:rPr>
                <w:rFonts w:ascii="宋体" w:eastAsia="宋体" w:hAnsi="宋体" w:cs="宋体"/>
                <w:color w:val="000000"/>
                <w:kern w:val="0"/>
                <w:sz w:val="22"/>
              </w:rPr>
              <w:t>基金</w:t>
            </w:r>
          </w:p>
        </w:tc>
      </w:tr>
      <w:tr w:rsidR="00EF46FC">
        <w:trPr>
          <w:trHeight w:val="458"/>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6FC" w:rsidRDefault="00EF46FC">
            <w:pPr>
              <w:pStyle w:val="ad"/>
              <w:widowControl/>
              <w:numPr>
                <w:ilvl w:val="0"/>
                <w:numId w:val="2"/>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EF46FC" w:rsidRDefault="001535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007853</w:t>
            </w:r>
          </w:p>
        </w:tc>
        <w:tc>
          <w:tcPr>
            <w:tcW w:w="6237" w:type="dxa"/>
            <w:tcBorders>
              <w:top w:val="single" w:sz="4" w:space="0" w:color="auto"/>
              <w:left w:val="nil"/>
              <w:bottom w:val="single" w:sz="4" w:space="0" w:color="auto"/>
              <w:right w:val="single" w:sz="4" w:space="0" w:color="auto"/>
            </w:tcBorders>
            <w:shd w:val="clear" w:color="auto" w:fill="auto"/>
            <w:noWrap/>
            <w:vAlign w:val="center"/>
          </w:tcPr>
          <w:p w:rsidR="00EF46FC" w:rsidRDefault="0015357F">
            <w:pPr>
              <w:ind w:firstLineChars="200" w:firstLine="440"/>
              <w:jc w:val="center"/>
              <w:rPr>
                <w:rFonts w:ascii="宋体" w:eastAsia="宋体" w:hAnsi="宋体" w:cs="宋体"/>
                <w:color w:val="000000"/>
                <w:kern w:val="0"/>
                <w:sz w:val="22"/>
              </w:rPr>
            </w:pPr>
            <w:r>
              <w:rPr>
                <w:rFonts w:ascii="宋体" w:eastAsia="宋体" w:hAnsi="宋体" w:cs="宋体" w:hint="eastAsia"/>
                <w:color w:val="000000"/>
                <w:kern w:val="0"/>
                <w:sz w:val="22"/>
              </w:rPr>
              <w:t>华商计算机行业量化股票型发起式证券投资基金</w:t>
            </w:r>
          </w:p>
        </w:tc>
      </w:tr>
      <w:tr w:rsidR="00EF46FC">
        <w:trPr>
          <w:trHeight w:val="458"/>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6FC" w:rsidRDefault="00EF46FC">
            <w:pPr>
              <w:pStyle w:val="ad"/>
              <w:widowControl/>
              <w:numPr>
                <w:ilvl w:val="0"/>
                <w:numId w:val="2"/>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EF46FC" w:rsidRDefault="001535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008009</w:t>
            </w:r>
          </w:p>
        </w:tc>
        <w:tc>
          <w:tcPr>
            <w:tcW w:w="6237" w:type="dxa"/>
            <w:tcBorders>
              <w:top w:val="single" w:sz="4" w:space="0" w:color="auto"/>
              <w:left w:val="nil"/>
              <w:bottom w:val="single" w:sz="4" w:space="0" w:color="auto"/>
              <w:right w:val="single" w:sz="4" w:space="0" w:color="auto"/>
            </w:tcBorders>
            <w:shd w:val="clear" w:color="auto" w:fill="auto"/>
            <w:noWrap/>
            <w:vAlign w:val="center"/>
          </w:tcPr>
          <w:p w:rsidR="00EF46FC" w:rsidRDefault="0015357F">
            <w:pPr>
              <w:ind w:firstLineChars="200" w:firstLine="440"/>
              <w:jc w:val="center"/>
              <w:rPr>
                <w:rFonts w:ascii="宋体" w:eastAsia="宋体" w:hAnsi="宋体" w:cs="宋体"/>
                <w:color w:val="000000"/>
                <w:kern w:val="0"/>
                <w:sz w:val="22"/>
              </w:rPr>
            </w:pPr>
            <w:r>
              <w:rPr>
                <w:rFonts w:ascii="宋体" w:eastAsia="宋体" w:hAnsi="宋体" w:cs="宋体" w:hint="eastAsia"/>
                <w:color w:val="000000"/>
                <w:kern w:val="0"/>
                <w:sz w:val="22"/>
              </w:rPr>
              <w:t>华商高端装备制造股票型证券投资基金</w:t>
            </w:r>
          </w:p>
        </w:tc>
      </w:tr>
      <w:tr w:rsidR="00EF46FC">
        <w:trPr>
          <w:trHeight w:val="458"/>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6FC" w:rsidRDefault="00EF46FC">
            <w:pPr>
              <w:pStyle w:val="ad"/>
              <w:widowControl/>
              <w:numPr>
                <w:ilvl w:val="0"/>
                <w:numId w:val="2"/>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EF46FC" w:rsidRDefault="001535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008107</w:t>
            </w:r>
          </w:p>
        </w:tc>
        <w:tc>
          <w:tcPr>
            <w:tcW w:w="6237" w:type="dxa"/>
            <w:tcBorders>
              <w:top w:val="single" w:sz="4" w:space="0" w:color="auto"/>
              <w:left w:val="nil"/>
              <w:bottom w:val="single" w:sz="4" w:space="0" w:color="auto"/>
              <w:right w:val="single" w:sz="4" w:space="0" w:color="auto"/>
            </w:tcBorders>
            <w:shd w:val="clear" w:color="auto" w:fill="auto"/>
            <w:noWrap/>
            <w:vAlign w:val="center"/>
          </w:tcPr>
          <w:p w:rsidR="00EF46FC" w:rsidRDefault="0015357F">
            <w:pPr>
              <w:ind w:firstLineChars="200" w:firstLine="440"/>
              <w:jc w:val="center"/>
              <w:rPr>
                <w:rFonts w:ascii="宋体" w:eastAsia="宋体" w:hAnsi="宋体" w:cs="宋体"/>
                <w:color w:val="000000"/>
                <w:kern w:val="0"/>
                <w:sz w:val="22"/>
              </w:rPr>
            </w:pPr>
            <w:r>
              <w:rPr>
                <w:rFonts w:ascii="宋体" w:eastAsia="宋体" w:hAnsi="宋体" w:cs="宋体" w:hint="eastAsia"/>
                <w:color w:val="000000"/>
                <w:kern w:val="0"/>
                <w:sz w:val="22"/>
              </w:rPr>
              <w:t>华商医药医疗行业股票型证券投资基金</w:t>
            </w:r>
          </w:p>
        </w:tc>
      </w:tr>
    </w:tbl>
    <w:p w:rsidR="00EF46FC" w:rsidRDefault="0015357F">
      <w:pPr>
        <w:spacing w:line="360" w:lineRule="auto"/>
        <w:ind w:firstLineChars="200" w:firstLine="480"/>
        <w:rPr>
          <w:rFonts w:ascii="Times New Roman" w:eastAsia="宋体" w:hAnsi="Times New Roman" w:cs="Times New Roman"/>
          <w:sz w:val="24"/>
          <w:szCs w:val="24"/>
        </w:rPr>
      </w:pPr>
      <w:r w:rsidRPr="00E11BAE">
        <w:rPr>
          <w:rFonts w:asciiTheme="minorEastAsia" w:hAnsiTheme="minorEastAsia" w:cs="Times New Roman" w:hint="eastAsia"/>
          <w:sz w:val="24"/>
          <w:szCs w:val="24"/>
        </w:rPr>
        <w:lastRenderedPageBreak/>
        <w:t>1.2</w:t>
      </w:r>
      <w:r>
        <w:rPr>
          <w:rFonts w:ascii="Times New Roman" w:eastAsia="宋体" w:hAnsi="Times New Roman" w:cs="Times New Roman"/>
          <w:sz w:val="24"/>
          <w:szCs w:val="24"/>
        </w:rPr>
        <w:t>优惠活动期间</w:t>
      </w:r>
      <w:r>
        <w:rPr>
          <w:rFonts w:ascii="Times New Roman" w:eastAsia="宋体" w:hAnsi="Times New Roman" w:cs="Times New Roman" w:hint="eastAsia"/>
          <w:sz w:val="24"/>
          <w:szCs w:val="24"/>
        </w:rPr>
        <w:t>，凡投资者通过华龙证券申购本公司旗下</w:t>
      </w:r>
      <w:r w:rsidR="003F2122">
        <w:rPr>
          <w:rFonts w:ascii="Times New Roman" w:eastAsia="宋体" w:hAnsi="Times New Roman" w:cs="Times New Roman" w:hint="eastAsia"/>
          <w:sz w:val="24"/>
          <w:szCs w:val="24"/>
        </w:rPr>
        <w:t>下述</w:t>
      </w:r>
      <w:r>
        <w:rPr>
          <w:rFonts w:ascii="Times New Roman" w:eastAsia="宋体" w:hAnsi="Times New Roman" w:cs="Times New Roman" w:hint="eastAsia"/>
          <w:sz w:val="24"/>
          <w:szCs w:val="24"/>
        </w:rPr>
        <w:t>开放式基金，其</w:t>
      </w:r>
      <w:r>
        <w:rPr>
          <w:rFonts w:ascii="Times New Roman" w:eastAsia="宋体" w:hAnsi="Times New Roman" w:cs="Times New Roman"/>
          <w:sz w:val="24"/>
          <w:szCs w:val="24"/>
        </w:rPr>
        <w:t>申购费率</w:t>
      </w:r>
      <w:r>
        <w:rPr>
          <w:rFonts w:ascii="Times New Roman" w:eastAsia="宋体" w:hAnsi="Times New Roman" w:cs="Times New Roman" w:hint="eastAsia"/>
          <w:sz w:val="24"/>
          <w:szCs w:val="24"/>
        </w:rPr>
        <w:t>（含定期定额投资）可享有</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折优惠。适用于固定费用的，则执行其规定的固定费用，不再享有费率折扣。各基金费率请详见其法律文件及本公司发布的最新业务公告。</w:t>
      </w:r>
    </w:p>
    <w:p w:rsidR="00EF46FC" w:rsidRDefault="00EF46FC">
      <w:pPr>
        <w:spacing w:line="360" w:lineRule="auto"/>
        <w:ind w:firstLineChars="200" w:firstLine="480"/>
        <w:rPr>
          <w:rFonts w:ascii="Times New Roman" w:eastAsia="宋体" w:hAnsi="Times New Roman" w:cs="Times New Roman"/>
          <w:sz w:val="24"/>
          <w:szCs w:val="24"/>
        </w:rPr>
      </w:pPr>
    </w:p>
    <w:tbl>
      <w:tblPr>
        <w:tblW w:w="8497" w:type="dxa"/>
        <w:tblInd w:w="93" w:type="dxa"/>
        <w:tblLook w:val="04A0"/>
      </w:tblPr>
      <w:tblGrid>
        <w:gridCol w:w="838"/>
        <w:gridCol w:w="1280"/>
        <w:gridCol w:w="6379"/>
      </w:tblGrid>
      <w:tr w:rsidR="00EF46FC">
        <w:trPr>
          <w:trHeight w:val="564"/>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6FC" w:rsidRDefault="0015357F">
            <w:pPr>
              <w:widowControl/>
              <w:jc w:val="center"/>
              <w:rPr>
                <w:rFonts w:ascii="宋体" w:eastAsia="宋体" w:hAnsi="宋体" w:cs="宋体"/>
                <w:b/>
                <w:color w:val="000000"/>
                <w:kern w:val="0"/>
                <w:sz w:val="22"/>
              </w:rPr>
            </w:pPr>
            <w:r>
              <w:rPr>
                <w:rFonts w:ascii="宋体" w:eastAsia="宋体" w:hAnsi="宋体" w:cs="宋体" w:hint="eastAsia"/>
                <w:b/>
                <w:color w:val="000000"/>
                <w:kern w:val="0"/>
                <w:sz w:val="22"/>
              </w:rPr>
              <w:t>序号</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EF46FC" w:rsidRDefault="0015357F">
            <w:pPr>
              <w:widowControl/>
              <w:jc w:val="center"/>
              <w:rPr>
                <w:rFonts w:ascii="宋体" w:eastAsia="宋体" w:hAnsi="宋体" w:cs="宋体"/>
                <w:b/>
                <w:color w:val="000000"/>
                <w:kern w:val="0"/>
                <w:sz w:val="22"/>
              </w:rPr>
            </w:pPr>
            <w:r>
              <w:rPr>
                <w:rFonts w:ascii="宋体" w:eastAsia="宋体" w:hAnsi="宋体" w:cs="宋体" w:hint="eastAsia"/>
                <w:b/>
                <w:color w:val="000000"/>
                <w:kern w:val="0"/>
                <w:sz w:val="22"/>
              </w:rPr>
              <w:t>基金代码</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EF46FC" w:rsidRDefault="0015357F">
            <w:pPr>
              <w:widowControl/>
              <w:jc w:val="center"/>
              <w:rPr>
                <w:rFonts w:ascii="宋体" w:eastAsia="宋体" w:hAnsi="宋体" w:cs="宋体"/>
                <w:b/>
                <w:color w:val="000000"/>
                <w:kern w:val="0"/>
                <w:sz w:val="22"/>
              </w:rPr>
            </w:pPr>
            <w:r>
              <w:rPr>
                <w:rFonts w:ascii="宋体" w:eastAsia="宋体" w:hAnsi="宋体" w:cs="宋体" w:hint="eastAsia"/>
                <w:b/>
                <w:color w:val="000000"/>
                <w:kern w:val="0"/>
                <w:sz w:val="22"/>
              </w:rPr>
              <w:t>基金名称</w:t>
            </w:r>
          </w:p>
        </w:tc>
      </w:tr>
      <w:tr w:rsidR="00EF46FC">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tcPr>
          <w:p w:rsidR="00EF46FC" w:rsidRDefault="00EF46FC">
            <w:pPr>
              <w:pStyle w:val="ad"/>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EF46FC" w:rsidRDefault="001535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630001</w:t>
            </w:r>
          </w:p>
        </w:tc>
        <w:tc>
          <w:tcPr>
            <w:tcW w:w="6379" w:type="dxa"/>
            <w:tcBorders>
              <w:top w:val="single" w:sz="4" w:space="0" w:color="auto"/>
              <w:left w:val="nil"/>
              <w:bottom w:val="single" w:sz="4" w:space="0" w:color="auto"/>
              <w:right w:val="single" w:sz="4" w:space="0" w:color="000000"/>
            </w:tcBorders>
            <w:shd w:val="clear" w:color="auto" w:fill="auto"/>
            <w:noWrap/>
            <w:vAlign w:val="center"/>
          </w:tcPr>
          <w:p w:rsidR="00EF46FC" w:rsidRDefault="001535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华商领先企业混合型开放式证券投资基金</w:t>
            </w:r>
          </w:p>
        </w:tc>
      </w:tr>
      <w:tr w:rsidR="00EF46FC">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tcPr>
          <w:p w:rsidR="00EF46FC" w:rsidRDefault="00EF46FC">
            <w:pPr>
              <w:pStyle w:val="ad"/>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EF46FC" w:rsidRDefault="001535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630010</w:t>
            </w:r>
          </w:p>
        </w:tc>
        <w:tc>
          <w:tcPr>
            <w:tcW w:w="6379" w:type="dxa"/>
            <w:tcBorders>
              <w:top w:val="single" w:sz="4" w:space="0" w:color="auto"/>
              <w:left w:val="nil"/>
              <w:bottom w:val="single" w:sz="4" w:space="0" w:color="auto"/>
              <w:right w:val="single" w:sz="4" w:space="0" w:color="000000"/>
            </w:tcBorders>
            <w:shd w:val="clear" w:color="auto" w:fill="auto"/>
            <w:noWrap/>
            <w:vAlign w:val="center"/>
          </w:tcPr>
          <w:p w:rsidR="00EF46FC" w:rsidRDefault="001535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华商价值精选混合型证券投资基金</w:t>
            </w:r>
          </w:p>
        </w:tc>
      </w:tr>
      <w:tr w:rsidR="00EF46FC">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tcPr>
          <w:p w:rsidR="00EF46FC" w:rsidRDefault="00EF46FC">
            <w:pPr>
              <w:pStyle w:val="ad"/>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EF46FC" w:rsidRDefault="001535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630011</w:t>
            </w:r>
          </w:p>
        </w:tc>
        <w:tc>
          <w:tcPr>
            <w:tcW w:w="6379" w:type="dxa"/>
            <w:tcBorders>
              <w:top w:val="single" w:sz="4" w:space="0" w:color="auto"/>
              <w:left w:val="nil"/>
              <w:bottom w:val="single" w:sz="4" w:space="0" w:color="auto"/>
              <w:right w:val="single" w:sz="4" w:space="0" w:color="000000"/>
            </w:tcBorders>
            <w:shd w:val="clear" w:color="auto" w:fill="auto"/>
            <w:noWrap/>
            <w:vAlign w:val="center"/>
          </w:tcPr>
          <w:p w:rsidR="00EF46FC" w:rsidRDefault="001535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华商主题精选混合型证券投资基金</w:t>
            </w:r>
          </w:p>
        </w:tc>
      </w:tr>
      <w:tr w:rsidR="00EF46FC">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tcPr>
          <w:p w:rsidR="00EF46FC" w:rsidRDefault="00EF46FC">
            <w:pPr>
              <w:pStyle w:val="ad"/>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EF46FC" w:rsidRDefault="001535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630016</w:t>
            </w:r>
          </w:p>
        </w:tc>
        <w:tc>
          <w:tcPr>
            <w:tcW w:w="6379" w:type="dxa"/>
            <w:tcBorders>
              <w:top w:val="single" w:sz="4" w:space="0" w:color="auto"/>
              <w:left w:val="nil"/>
              <w:bottom w:val="single" w:sz="4" w:space="0" w:color="auto"/>
              <w:right w:val="single" w:sz="4" w:space="0" w:color="000000"/>
            </w:tcBorders>
            <w:shd w:val="clear" w:color="auto" w:fill="auto"/>
            <w:noWrap/>
            <w:vAlign w:val="center"/>
          </w:tcPr>
          <w:p w:rsidR="00EF46FC" w:rsidRDefault="001535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华商价值共享灵活配置混合型发起式证券投资基金</w:t>
            </w:r>
          </w:p>
        </w:tc>
      </w:tr>
      <w:tr w:rsidR="00EF46FC">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tcPr>
          <w:p w:rsidR="00EF46FC" w:rsidRDefault="00EF46FC">
            <w:pPr>
              <w:pStyle w:val="ad"/>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EF46FC" w:rsidRDefault="001535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000609</w:t>
            </w:r>
          </w:p>
        </w:tc>
        <w:tc>
          <w:tcPr>
            <w:tcW w:w="6379" w:type="dxa"/>
            <w:tcBorders>
              <w:top w:val="single" w:sz="4" w:space="0" w:color="auto"/>
              <w:left w:val="nil"/>
              <w:bottom w:val="single" w:sz="4" w:space="0" w:color="auto"/>
              <w:right w:val="single" w:sz="4" w:space="0" w:color="000000"/>
            </w:tcBorders>
            <w:shd w:val="clear" w:color="auto" w:fill="auto"/>
            <w:noWrap/>
            <w:vAlign w:val="center"/>
          </w:tcPr>
          <w:p w:rsidR="00EF46FC" w:rsidRDefault="001535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华商新量化灵活配置混合型证券投资基金</w:t>
            </w:r>
          </w:p>
        </w:tc>
      </w:tr>
      <w:tr w:rsidR="00EF46FC">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tcPr>
          <w:p w:rsidR="00EF46FC" w:rsidRDefault="00EF46FC">
            <w:pPr>
              <w:pStyle w:val="ad"/>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EF46FC" w:rsidRDefault="001535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000800</w:t>
            </w:r>
          </w:p>
        </w:tc>
        <w:tc>
          <w:tcPr>
            <w:tcW w:w="6379" w:type="dxa"/>
            <w:tcBorders>
              <w:top w:val="single" w:sz="4" w:space="0" w:color="auto"/>
              <w:left w:val="nil"/>
              <w:bottom w:val="single" w:sz="4" w:space="0" w:color="auto"/>
              <w:right w:val="single" w:sz="4" w:space="0" w:color="000000"/>
            </w:tcBorders>
            <w:shd w:val="clear" w:color="auto" w:fill="auto"/>
            <w:noWrap/>
            <w:vAlign w:val="center"/>
          </w:tcPr>
          <w:p w:rsidR="00EF46FC" w:rsidRDefault="001535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华商未来主题混合型证券投资基金</w:t>
            </w:r>
          </w:p>
        </w:tc>
      </w:tr>
      <w:tr w:rsidR="00EF46FC">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tcPr>
          <w:p w:rsidR="00EF46FC" w:rsidRDefault="00EF46FC">
            <w:pPr>
              <w:pStyle w:val="ad"/>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EF46FC" w:rsidRDefault="001535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001457</w:t>
            </w:r>
          </w:p>
        </w:tc>
        <w:tc>
          <w:tcPr>
            <w:tcW w:w="6379" w:type="dxa"/>
            <w:tcBorders>
              <w:top w:val="single" w:sz="4" w:space="0" w:color="auto"/>
              <w:left w:val="nil"/>
              <w:bottom w:val="single" w:sz="4" w:space="0" w:color="auto"/>
              <w:right w:val="single" w:sz="4" w:space="0" w:color="000000"/>
            </w:tcBorders>
            <w:shd w:val="clear" w:color="auto" w:fill="auto"/>
            <w:noWrap/>
            <w:vAlign w:val="center"/>
          </w:tcPr>
          <w:p w:rsidR="00EF46FC" w:rsidRDefault="001535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华商新常态灵活配置混合型证券投资基金</w:t>
            </w:r>
          </w:p>
        </w:tc>
      </w:tr>
      <w:tr w:rsidR="00EF46FC">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tcPr>
          <w:p w:rsidR="00EF46FC" w:rsidRDefault="00EF46FC">
            <w:pPr>
              <w:pStyle w:val="ad"/>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EF46FC" w:rsidRDefault="001535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001723</w:t>
            </w:r>
          </w:p>
        </w:tc>
        <w:tc>
          <w:tcPr>
            <w:tcW w:w="6379" w:type="dxa"/>
            <w:tcBorders>
              <w:top w:val="single" w:sz="4" w:space="0" w:color="auto"/>
              <w:left w:val="nil"/>
              <w:bottom w:val="single" w:sz="4" w:space="0" w:color="auto"/>
              <w:right w:val="single" w:sz="4" w:space="0" w:color="000000"/>
            </w:tcBorders>
            <w:shd w:val="clear" w:color="auto" w:fill="auto"/>
            <w:noWrap/>
            <w:vAlign w:val="center"/>
          </w:tcPr>
          <w:p w:rsidR="00EF46FC" w:rsidRDefault="001535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华商新动力灵活配置混合型证券投资基金</w:t>
            </w:r>
          </w:p>
        </w:tc>
      </w:tr>
      <w:tr w:rsidR="00EF46FC">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tcPr>
          <w:p w:rsidR="00EF46FC" w:rsidRDefault="00EF46FC">
            <w:pPr>
              <w:pStyle w:val="ad"/>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EF46FC" w:rsidRDefault="001535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001959</w:t>
            </w:r>
          </w:p>
        </w:tc>
        <w:tc>
          <w:tcPr>
            <w:tcW w:w="6379" w:type="dxa"/>
            <w:tcBorders>
              <w:top w:val="single" w:sz="4" w:space="0" w:color="auto"/>
              <w:left w:val="nil"/>
              <w:bottom w:val="single" w:sz="4" w:space="0" w:color="auto"/>
              <w:right w:val="single" w:sz="4" w:space="0" w:color="000000"/>
            </w:tcBorders>
            <w:shd w:val="clear" w:color="auto" w:fill="auto"/>
            <w:noWrap/>
            <w:vAlign w:val="center"/>
          </w:tcPr>
          <w:p w:rsidR="00EF46FC" w:rsidRDefault="001535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华商乐享互联灵活配置混合型证券投资基金</w:t>
            </w:r>
          </w:p>
        </w:tc>
      </w:tr>
      <w:tr w:rsidR="00EF46FC">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6FC" w:rsidRDefault="00EF46FC">
            <w:pPr>
              <w:pStyle w:val="ad"/>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EF46FC" w:rsidRDefault="001535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004895</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EF46FC" w:rsidRDefault="0015357F">
            <w:pPr>
              <w:ind w:firstLineChars="200" w:firstLine="440"/>
              <w:jc w:val="center"/>
              <w:rPr>
                <w:rFonts w:ascii="宋体" w:eastAsia="宋体" w:hAnsi="宋体" w:cs="宋体"/>
                <w:color w:val="000000"/>
                <w:kern w:val="0"/>
                <w:sz w:val="22"/>
              </w:rPr>
            </w:pPr>
            <w:r>
              <w:rPr>
                <w:rFonts w:ascii="宋体" w:eastAsia="宋体" w:hAnsi="宋体" w:cs="宋体"/>
                <w:color w:val="000000"/>
                <w:kern w:val="0"/>
                <w:sz w:val="22"/>
              </w:rPr>
              <w:t>华商鑫安</w:t>
            </w:r>
            <w:r>
              <w:rPr>
                <w:rFonts w:ascii="宋体" w:eastAsia="宋体" w:hAnsi="宋体" w:cs="宋体" w:hint="eastAsia"/>
                <w:color w:val="000000"/>
                <w:kern w:val="0"/>
                <w:sz w:val="22"/>
              </w:rPr>
              <w:t>灵活配置混合型证券投资基金</w:t>
            </w:r>
          </w:p>
        </w:tc>
      </w:tr>
      <w:tr w:rsidR="00EF46FC">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6FC" w:rsidRDefault="00EF46FC">
            <w:pPr>
              <w:pStyle w:val="ad"/>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EF46FC" w:rsidRDefault="001535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002289</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EF46FC" w:rsidRDefault="0015357F">
            <w:pPr>
              <w:ind w:firstLineChars="200" w:firstLine="440"/>
              <w:jc w:val="center"/>
              <w:rPr>
                <w:rFonts w:ascii="宋体" w:eastAsia="宋体" w:hAnsi="宋体" w:cs="宋体"/>
                <w:color w:val="000000"/>
                <w:kern w:val="0"/>
                <w:sz w:val="22"/>
              </w:rPr>
            </w:pPr>
            <w:r>
              <w:rPr>
                <w:rFonts w:ascii="宋体" w:eastAsia="宋体" w:hAnsi="宋体" w:cs="宋体" w:hint="eastAsia"/>
                <w:color w:val="000000"/>
                <w:kern w:val="0"/>
                <w:sz w:val="22"/>
              </w:rPr>
              <w:t>华商改革创新股票型证券投资基金</w:t>
            </w:r>
          </w:p>
        </w:tc>
      </w:tr>
    </w:tbl>
    <w:p w:rsidR="00E11BAE" w:rsidRDefault="00E11BAE">
      <w:pPr>
        <w:spacing w:line="360" w:lineRule="auto"/>
        <w:ind w:firstLineChars="200" w:firstLine="480"/>
        <w:rPr>
          <w:rFonts w:asciiTheme="minorEastAsia" w:hAnsiTheme="minorEastAsia" w:cs="Times New Roman"/>
          <w:sz w:val="24"/>
          <w:szCs w:val="24"/>
        </w:rPr>
      </w:pPr>
    </w:p>
    <w:p w:rsidR="00EF46FC" w:rsidRDefault="0015357F">
      <w:pPr>
        <w:spacing w:line="360" w:lineRule="auto"/>
        <w:ind w:firstLineChars="200" w:firstLine="480"/>
        <w:rPr>
          <w:rFonts w:ascii="Times New Roman" w:eastAsia="宋体" w:hAnsi="Times New Roman" w:cs="Times New Roman"/>
          <w:sz w:val="24"/>
          <w:szCs w:val="24"/>
        </w:rPr>
      </w:pPr>
      <w:r w:rsidRPr="00E11BAE">
        <w:rPr>
          <w:rFonts w:asciiTheme="minorEastAsia" w:hAnsiTheme="minorEastAsia" w:cs="Times New Roman"/>
          <w:sz w:val="24"/>
          <w:szCs w:val="24"/>
        </w:rPr>
        <w:t>2</w:t>
      </w:r>
      <w:r w:rsidRPr="00E11BAE">
        <w:rPr>
          <w:rFonts w:asciiTheme="minorEastAsia" w:hAnsiTheme="minorEastAsia" w:cs="Times New Roman" w:hint="eastAsia"/>
          <w:sz w:val="24"/>
          <w:szCs w:val="24"/>
        </w:rPr>
        <w:t>、</w:t>
      </w:r>
      <w:r>
        <w:rPr>
          <w:rFonts w:ascii="Times New Roman" w:eastAsia="宋体" w:hAnsi="Times New Roman" w:cs="Times New Roman" w:hint="eastAsia"/>
          <w:sz w:val="24"/>
          <w:szCs w:val="24"/>
        </w:rPr>
        <w:t>费率优惠期限</w:t>
      </w:r>
    </w:p>
    <w:p w:rsidR="00EF46FC" w:rsidRDefault="0015357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费率优惠起始时间为</w:t>
      </w:r>
      <w:r>
        <w:rPr>
          <w:rFonts w:ascii="Times New Roman" w:eastAsia="宋体" w:hAnsi="Times New Roman" w:cs="Times New Roman"/>
          <w:sz w:val="24"/>
          <w:szCs w:val="24"/>
        </w:rPr>
        <w:t>2020</w:t>
      </w:r>
      <w:r>
        <w:rPr>
          <w:rFonts w:ascii="Times New Roman" w:eastAsia="宋体" w:hAnsi="Times New Roman" w:cs="Times New Roman"/>
          <w:sz w:val="24"/>
          <w:szCs w:val="24"/>
        </w:rPr>
        <w:t>年</w:t>
      </w: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日，结束时间请以华龙证券官方公告为准。</w:t>
      </w:r>
    </w:p>
    <w:p w:rsidR="00EF46FC" w:rsidRDefault="00EF46FC">
      <w:pPr>
        <w:adjustRightInd w:val="0"/>
        <w:snapToGrid w:val="0"/>
        <w:spacing w:line="360" w:lineRule="auto"/>
        <w:rPr>
          <w:rFonts w:ascii="Times New Roman" w:eastAsia="宋体" w:hAnsi="Times New Roman" w:cs="Times New Roman"/>
          <w:b/>
          <w:sz w:val="24"/>
          <w:szCs w:val="24"/>
        </w:rPr>
      </w:pPr>
    </w:p>
    <w:p w:rsidR="00EF46FC" w:rsidRDefault="0015357F">
      <w:pPr>
        <w:adjustRightInd w:val="0"/>
        <w:snapToGrid w:val="0"/>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二、定期定额申购业务</w:t>
      </w:r>
    </w:p>
    <w:p w:rsidR="00EF46FC" w:rsidRDefault="0015357F">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定期定额申购业务是基金申购业务的一种方式。投资者可以通过华龙证券提交申请，约定每期扣款时间、扣款金额及扣款方式，由华龙证券于约定扣款日在投资者指定资金账户内自动完成扣款及基金申购业务。投资者在办理相关基金定期定额投资业务的同时，仍然可以进行日常申购、赎回业务。</w:t>
      </w:r>
    </w:p>
    <w:p w:rsidR="00EF46FC" w:rsidRDefault="0015357F">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、投资者办理本公司旗下基金的定期定额申购业务，相关流程和业务规则请遵循华龙证券的有关规定。</w:t>
      </w:r>
    </w:p>
    <w:p w:rsidR="00EF46FC" w:rsidRDefault="00EF46FC">
      <w:pPr>
        <w:spacing w:line="360" w:lineRule="auto"/>
        <w:ind w:firstLineChars="200" w:firstLine="480"/>
        <w:rPr>
          <w:rFonts w:ascii="Times New Roman" w:eastAsia="宋体" w:hAnsi="Times New Roman" w:cs="Times New Roman"/>
          <w:sz w:val="24"/>
          <w:szCs w:val="24"/>
        </w:rPr>
      </w:pPr>
    </w:p>
    <w:p w:rsidR="00C7353B" w:rsidRDefault="00C7353B">
      <w:pPr>
        <w:spacing w:line="360" w:lineRule="auto"/>
        <w:ind w:firstLineChars="200" w:firstLine="480"/>
        <w:rPr>
          <w:rFonts w:ascii="Times New Roman" w:eastAsia="宋体" w:hAnsi="Times New Roman" w:cs="Times New Roman"/>
          <w:sz w:val="24"/>
          <w:szCs w:val="24"/>
        </w:rPr>
      </w:pPr>
    </w:p>
    <w:p w:rsidR="00EF46FC" w:rsidRDefault="0015357F">
      <w:pPr>
        <w:adjustRightInd w:val="0"/>
        <w:snapToGrid w:val="0"/>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三、</w:t>
      </w:r>
      <w:r>
        <w:rPr>
          <w:rFonts w:ascii="Times New Roman" w:eastAsia="宋体" w:hAnsi="Times New Roman" w:cs="Times New Roman"/>
          <w:b/>
          <w:sz w:val="24"/>
          <w:szCs w:val="24"/>
        </w:rPr>
        <w:t>重要提示</w:t>
      </w:r>
    </w:p>
    <w:p w:rsidR="00EF46FC" w:rsidRDefault="0015357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、本次优惠活动仅适用于处于正常申购期的基金产品的前端收费模式的申购</w:t>
      </w:r>
      <w:r>
        <w:rPr>
          <w:rFonts w:ascii="Times New Roman" w:eastAsia="宋体" w:hAnsi="Times New Roman" w:cs="Times New Roman" w:hint="eastAsia"/>
          <w:sz w:val="24"/>
          <w:szCs w:val="24"/>
        </w:rPr>
        <w:t>基金手续费，</w:t>
      </w:r>
      <w:r>
        <w:rPr>
          <w:rFonts w:ascii="Times New Roman" w:eastAsia="宋体" w:hAnsi="Times New Roman" w:cs="Times New Roman"/>
          <w:sz w:val="24"/>
          <w:szCs w:val="24"/>
        </w:rPr>
        <w:t>不包括各基金的后端收费模式的申购手续费，也不包括基金转换手续费等其他业务的基金手续费。</w:t>
      </w:r>
    </w:p>
    <w:p w:rsidR="00EF46FC" w:rsidRDefault="0015357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、本次优惠活动期间，业务办理的具体时间、流程以华龙证券的安排和规定为准。</w:t>
      </w:r>
    </w:p>
    <w:p w:rsidR="00EF46FC" w:rsidRDefault="0015357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、投资者欲了解</w:t>
      </w:r>
      <w:r>
        <w:rPr>
          <w:rFonts w:ascii="Times New Roman" w:eastAsia="宋体" w:hAnsi="Times New Roman" w:cs="Times New Roman" w:hint="eastAsia"/>
          <w:sz w:val="24"/>
          <w:szCs w:val="24"/>
        </w:rPr>
        <w:t>上述</w:t>
      </w:r>
      <w:r>
        <w:rPr>
          <w:rFonts w:ascii="Times New Roman" w:eastAsia="宋体" w:hAnsi="Times New Roman" w:cs="Times New Roman"/>
          <w:sz w:val="24"/>
          <w:szCs w:val="24"/>
        </w:rPr>
        <w:t>基金产品的详细情况，请仔细阅读</w:t>
      </w:r>
      <w:r>
        <w:rPr>
          <w:rFonts w:ascii="Times New Roman" w:eastAsia="宋体" w:hAnsi="Times New Roman" w:cs="Times New Roman" w:hint="eastAsia"/>
          <w:sz w:val="24"/>
          <w:szCs w:val="24"/>
        </w:rPr>
        <w:t>上述</w:t>
      </w:r>
      <w:r>
        <w:rPr>
          <w:rFonts w:ascii="Times New Roman" w:eastAsia="宋体" w:hAnsi="Times New Roman" w:cs="Times New Roman"/>
          <w:sz w:val="24"/>
          <w:szCs w:val="24"/>
        </w:rPr>
        <w:t>基金的基金合同、基金招募说明书或招募说明书（更新）等法律文件。</w:t>
      </w:r>
    </w:p>
    <w:p w:rsidR="00EF46FC" w:rsidRDefault="00EF46FC">
      <w:pPr>
        <w:spacing w:line="360" w:lineRule="auto"/>
        <w:rPr>
          <w:rFonts w:ascii="Times New Roman" w:eastAsia="宋体" w:hAnsi="Times New Roman" w:cs="Times New Roman"/>
          <w:sz w:val="24"/>
          <w:szCs w:val="24"/>
        </w:rPr>
      </w:pPr>
    </w:p>
    <w:p w:rsidR="00EF46FC" w:rsidRDefault="0015357F">
      <w:pPr>
        <w:pStyle w:val="a7"/>
        <w:snapToGrid w:val="0"/>
        <w:spacing w:before="0" w:beforeAutospacing="0" w:after="0" w:afterAutospacing="0" w:line="360" w:lineRule="auto"/>
        <w:jc w:val="both"/>
        <w:outlineLvl w:val="0"/>
        <w:rPr>
          <w:rFonts w:ascii="Times New Roman" w:hAnsi="Times New Roman" w:cs="Times New Roman"/>
          <w:b/>
        </w:rPr>
      </w:pPr>
      <w:r>
        <w:rPr>
          <w:rFonts w:ascii="Times New Roman" w:hAnsi="Times New Roman" w:cs="Times New Roman" w:hint="eastAsia"/>
          <w:b/>
        </w:rPr>
        <w:t>四</w:t>
      </w:r>
      <w:r>
        <w:rPr>
          <w:rFonts w:ascii="Times New Roman" w:hAnsi="Times New Roman" w:cs="Times New Roman"/>
          <w:b/>
        </w:rPr>
        <w:t>、投资者可通过以下途径咨询有关情况</w:t>
      </w:r>
    </w:p>
    <w:p w:rsidR="00EF46FC" w:rsidRDefault="0015357F">
      <w:pPr>
        <w:pStyle w:val="a7"/>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Pr>
          <w:rFonts w:ascii="Times New Roman" w:hAnsi="Times New Roman" w:cs="Times New Roman" w:hint="eastAsia"/>
          <w:kern w:val="2"/>
        </w:rPr>
        <w:t xml:space="preserve">  </w:t>
      </w:r>
      <w:r>
        <w:rPr>
          <w:rFonts w:ascii="Times New Roman" w:hAnsi="Times New Roman" w:cs="Times New Roman" w:hint="eastAsia"/>
        </w:rPr>
        <w:t>1</w:t>
      </w:r>
      <w:r>
        <w:rPr>
          <w:rFonts w:ascii="Times New Roman" w:hAnsi="Times New Roman" w:cs="Times New Roman" w:hint="eastAsia"/>
        </w:rPr>
        <w:t>、</w:t>
      </w:r>
      <w:r>
        <w:rPr>
          <w:rFonts w:ascii="Times New Roman" w:hAnsi="Times New Roman" w:cs="Times New Roman"/>
        </w:rPr>
        <w:t>华龙证券股份有限公司</w:t>
      </w:r>
    </w:p>
    <w:p w:rsidR="00EF46FC" w:rsidRDefault="0015357F">
      <w:pPr>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客服热线：</w:t>
      </w:r>
      <w:r>
        <w:rPr>
          <w:rFonts w:ascii="Times New Roman" w:eastAsia="宋体" w:hAnsi="Times New Roman" w:cs="Times New Roman" w:hint="eastAsia"/>
          <w:b/>
          <w:kern w:val="0"/>
          <w:sz w:val="24"/>
          <w:szCs w:val="24"/>
        </w:rPr>
        <w:t>95368</w:t>
      </w:r>
      <w:r>
        <w:rPr>
          <w:rFonts w:ascii="Times New Roman" w:eastAsia="宋体" w:hAnsi="Times New Roman" w:cs="Times New Roman" w:hint="eastAsia"/>
          <w:b/>
          <w:kern w:val="0"/>
          <w:sz w:val="24"/>
          <w:szCs w:val="24"/>
        </w:rPr>
        <w:t>、</w:t>
      </w:r>
      <w:r>
        <w:rPr>
          <w:rFonts w:ascii="Times New Roman" w:eastAsia="宋体" w:hAnsi="Times New Roman" w:cs="Times New Roman"/>
          <w:b/>
          <w:kern w:val="0"/>
          <w:sz w:val="24"/>
          <w:szCs w:val="24"/>
        </w:rPr>
        <w:t>400-689-8888</w:t>
      </w:r>
    </w:p>
    <w:p w:rsidR="00EF46FC" w:rsidRDefault="0015357F">
      <w:pPr>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公司网址：</w:t>
      </w:r>
      <w:hyperlink r:id="rId9" w:history="1">
        <w:r>
          <w:rPr>
            <w:rFonts w:ascii="Times New Roman" w:eastAsia="宋体" w:hAnsi="Times New Roman" w:cs="Times New Roman"/>
            <w:b/>
            <w:kern w:val="0"/>
            <w:sz w:val="24"/>
            <w:szCs w:val="24"/>
          </w:rPr>
          <w:t>www.hlzqgs.com</w:t>
        </w:r>
      </w:hyperlink>
    </w:p>
    <w:p w:rsidR="00EF46FC" w:rsidRDefault="0015357F">
      <w:pPr>
        <w:pStyle w:val="a7"/>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Pr>
          <w:rFonts w:ascii="Times New Roman" w:hAnsi="Times New Roman" w:cs="Times New Roman" w:hint="eastAsia"/>
          <w:kern w:val="2"/>
        </w:rPr>
        <w:t xml:space="preserve">  </w:t>
      </w:r>
      <w:r>
        <w:rPr>
          <w:rFonts w:ascii="Times New Roman" w:hAnsi="Times New Roman" w:cs="Times New Roman"/>
        </w:rPr>
        <w:t>2</w:t>
      </w:r>
      <w:r>
        <w:rPr>
          <w:rFonts w:ascii="Times New Roman" w:hAnsi="Times New Roman" w:cs="Times New Roman"/>
        </w:rPr>
        <w:t>、华商基金管理有限公司</w:t>
      </w:r>
      <w:r>
        <w:rPr>
          <w:rFonts w:ascii="Times New Roman" w:hAnsi="Times New Roman" w:cs="Times New Roman"/>
        </w:rPr>
        <w:br/>
      </w:r>
      <w:r>
        <w:rPr>
          <w:rFonts w:ascii="Times New Roman" w:hAnsi="Times New Roman" w:cs="Times New Roman"/>
        </w:rPr>
        <w:t>客服电话：</w:t>
      </w:r>
      <w:r>
        <w:rPr>
          <w:rFonts w:ascii="Times New Roman" w:hAnsi="Times New Roman" w:cs="Times New Roman"/>
          <w:b/>
        </w:rPr>
        <w:t>400-700-8880</w:t>
      </w:r>
      <w:r>
        <w:rPr>
          <w:rFonts w:ascii="Times New Roman" w:hAnsi="Times New Roman" w:cs="Times New Roman"/>
          <w:b/>
        </w:rPr>
        <w:t>；</w:t>
      </w:r>
      <w:r>
        <w:rPr>
          <w:rFonts w:ascii="Times New Roman" w:hAnsi="Times New Roman" w:cs="Times New Roman"/>
          <w:b/>
        </w:rPr>
        <w:t>010-58573300</w:t>
      </w:r>
      <w:r>
        <w:rPr>
          <w:rFonts w:ascii="Times New Roman" w:hAnsi="Times New Roman" w:cs="Times New Roman"/>
        </w:rPr>
        <w:br/>
      </w:r>
      <w:r>
        <w:rPr>
          <w:rFonts w:ascii="Times New Roman" w:hAnsi="Times New Roman" w:cs="Times New Roman"/>
        </w:rPr>
        <w:t>公司网址：</w:t>
      </w:r>
      <w:hyperlink r:id="rId10" w:history="1">
        <w:r>
          <w:rPr>
            <w:rFonts w:ascii="Times New Roman" w:hAnsi="Times New Roman" w:cs="Times New Roman"/>
            <w:b/>
          </w:rPr>
          <w:t>www.hsfund.com</w:t>
        </w:r>
      </w:hyperlink>
    </w:p>
    <w:p w:rsidR="00EF46FC" w:rsidRDefault="00EF46FC">
      <w:pPr>
        <w:spacing w:line="360" w:lineRule="auto"/>
        <w:rPr>
          <w:rFonts w:ascii="Times New Roman" w:eastAsia="宋体" w:hAnsi="Times New Roman" w:cs="Times New Roman"/>
          <w:sz w:val="24"/>
          <w:szCs w:val="24"/>
        </w:rPr>
      </w:pPr>
    </w:p>
    <w:p w:rsidR="00EF46FC" w:rsidRDefault="0015357F">
      <w:pPr>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五、</w:t>
      </w:r>
      <w:r>
        <w:rPr>
          <w:rFonts w:ascii="Times New Roman" w:eastAsia="宋体" w:hAnsi="Times New Roman" w:cs="Times New Roman"/>
          <w:b/>
          <w:sz w:val="24"/>
          <w:szCs w:val="24"/>
        </w:rPr>
        <w:t>风险提示</w:t>
      </w:r>
    </w:p>
    <w:p w:rsidR="00EF46FC" w:rsidRDefault="0015357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EF46FC" w:rsidRDefault="0015357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本基金管理人承诺以诚实信用、勤勉尽责的原则管理和运用基金资产，但不保证基金一定盈利，也不保证最低收益。投资者在投资各基金前，请务必考虑自己的风险承受能力，在控制风险的前提下实现投资收益。投资有风险，选择须谨慎。</w:t>
      </w:r>
    </w:p>
    <w:p w:rsidR="00EF46FC" w:rsidRDefault="0015357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特此公告。</w:t>
      </w:r>
      <w:bookmarkStart w:id="0" w:name="_GoBack"/>
      <w:bookmarkEnd w:id="0"/>
      <w:r>
        <w:rPr>
          <w:rFonts w:ascii="Times New Roman" w:eastAsia="宋体" w:hAnsi="Times New Roman" w:cs="Times New Roman"/>
          <w:sz w:val="24"/>
          <w:szCs w:val="24"/>
        </w:rPr>
        <w:t xml:space="preserve">　　</w:t>
      </w:r>
      <w:r>
        <w:rPr>
          <w:rFonts w:ascii="Times New Roman" w:eastAsia="宋体" w:hAnsi="Times New Roman" w:cs="Times New Roman"/>
          <w:sz w:val="24"/>
          <w:szCs w:val="24"/>
        </w:rPr>
        <w:t>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b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华商基金管理有限公司</w:t>
      </w:r>
      <w:r>
        <w:rPr>
          <w:rFonts w:ascii="Times New Roman" w:eastAsia="宋体" w:hAnsi="Times New Roman" w:cs="Times New Roman"/>
          <w:sz w:val="24"/>
          <w:szCs w:val="24"/>
        </w:rPr>
        <w:br/>
        <w:t>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20</w:t>
      </w:r>
      <w:r>
        <w:rPr>
          <w:rFonts w:ascii="Times New Roman" w:eastAsia="宋体" w:hAnsi="Times New Roman" w:cs="Times New Roman" w:hint="eastAsia"/>
          <w:sz w:val="24"/>
          <w:szCs w:val="24"/>
        </w:rPr>
        <w:t>20</w:t>
      </w:r>
      <w:r>
        <w:rPr>
          <w:rFonts w:ascii="Times New Roman" w:eastAsia="宋体" w:hAnsi="Times New Roman" w:cs="Times New Roman"/>
          <w:sz w:val="24"/>
          <w:szCs w:val="24"/>
        </w:rPr>
        <w:t>年</w:t>
      </w: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日</w:t>
      </w:r>
    </w:p>
    <w:sectPr w:rsidR="00EF46FC" w:rsidSect="00EF46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022" w:rsidRDefault="00211022" w:rsidP="006E01C8">
      <w:r>
        <w:separator/>
      </w:r>
    </w:p>
  </w:endnote>
  <w:endnote w:type="continuationSeparator" w:id="0">
    <w:p w:rsidR="00211022" w:rsidRDefault="00211022" w:rsidP="006E01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022" w:rsidRDefault="00211022" w:rsidP="006E01C8">
      <w:r>
        <w:separator/>
      </w:r>
    </w:p>
  </w:footnote>
  <w:footnote w:type="continuationSeparator" w:id="0">
    <w:p w:rsidR="00211022" w:rsidRDefault="00211022" w:rsidP="006E01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F206C"/>
    <w:multiLevelType w:val="multilevel"/>
    <w:tmpl w:val="186F206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9CE75BF"/>
    <w:multiLevelType w:val="multilevel"/>
    <w:tmpl w:val="29CE75B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E88783F"/>
    <w:multiLevelType w:val="multilevel"/>
    <w:tmpl w:val="6C624DEC"/>
    <w:lvl w:ilvl="0">
      <w:start w:val="1"/>
      <w:numFmt w:val="japaneseCounting"/>
      <w:lvlText w:val="%1、"/>
      <w:lvlJc w:val="left"/>
      <w:pPr>
        <w:ind w:left="1503" w:hanging="510"/>
      </w:pPr>
      <w:rPr>
        <w:rFonts w:hint="default"/>
        <w:b/>
        <w:lang w:val="en-US"/>
      </w:r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1533"/>
    <w:rsid w:val="00001221"/>
    <w:rsid w:val="00001D28"/>
    <w:rsid w:val="000036B3"/>
    <w:rsid w:val="0000550C"/>
    <w:rsid w:val="0000693A"/>
    <w:rsid w:val="00012F2E"/>
    <w:rsid w:val="00015006"/>
    <w:rsid w:val="00016797"/>
    <w:rsid w:val="00017D4F"/>
    <w:rsid w:val="000200CC"/>
    <w:rsid w:val="0002100C"/>
    <w:rsid w:val="000210A0"/>
    <w:rsid w:val="0002504D"/>
    <w:rsid w:val="000254B0"/>
    <w:rsid w:val="00027B9C"/>
    <w:rsid w:val="00032A57"/>
    <w:rsid w:val="00033522"/>
    <w:rsid w:val="00040119"/>
    <w:rsid w:val="00041E4E"/>
    <w:rsid w:val="00043544"/>
    <w:rsid w:val="00046310"/>
    <w:rsid w:val="00046FA9"/>
    <w:rsid w:val="000570CA"/>
    <w:rsid w:val="00057B94"/>
    <w:rsid w:val="0006173A"/>
    <w:rsid w:val="0006224D"/>
    <w:rsid w:val="0006430E"/>
    <w:rsid w:val="00064B7A"/>
    <w:rsid w:val="00064FDE"/>
    <w:rsid w:val="0007156C"/>
    <w:rsid w:val="000720C8"/>
    <w:rsid w:val="000721E6"/>
    <w:rsid w:val="00073792"/>
    <w:rsid w:val="00074CA6"/>
    <w:rsid w:val="000754A7"/>
    <w:rsid w:val="00080828"/>
    <w:rsid w:val="00081056"/>
    <w:rsid w:val="00084A33"/>
    <w:rsid w:val="0009381A"/>
    <w:rsid w:val="000956AA"/>
    <w:rsid w:val="000961C9"/>
    <w:rsid w:val="000A1452"/>
    <w:rsid w:val="000A2804"/>
    <w:rsid w:val="000A28D7"/>
    <w:rsid w:val="000A7F23"/>
    <w:rsid w:val="000B07CF"/>
    <w:rsid w:val="000B3C0B"/>
    <w:rsid w:val="000B479D"/>
    <w:rsid w:val="000B56F2"/>
    <w:rsid w:val="000B7978"/>
    <w:rsid w:val="000C20A3"/>
    <w:rsid w:val="000C25A8"/>
    <w:rsid w:val="000C467C"/>
    <w:rsid w:val="000C4C27"/>
    <w:rsid w:val="000C5F43"/>
    <w:rsid w:val="000C6459"/>
    <w:rsid w:val="000D2E12"/>
    <w:rsid w:val="000D5845"/>
    <w:rsid w:val="000E24DF"/>
    <w:rsid w:val="000E3983"/>
    <w:rsid w:val="000E43D1"/>
    <w:rsid w:val="000E4597"/>
    <w:rsid w:val="000F2014"/>
    <w:rsid w:val="000F28CF"/>
    <w:rsid w:val="000F4093"/>
    <w:rsid w:val="000F4402"/>
    <w:rsid w:val="00107447"/>
    <w:rsid w:val="001167DA"/>
    <w:rsid w:val="00117197"/>
    <w:rsid w:val="00121A19"/>
    <w:rsid w:val="001237CF"/>
    <w:rsid w:val="001264A9"/>
    <w:rsid w:val="0013458B"/>
    <w:rsid w:val="00134C31"/>
    <w:rsid w:val="00134CD0"/>
    <w:rsid w:val="0014362B"/>
    <w:rsid w:val="00147A04"/>
    <w:rsid w:val="00151756"/>
    <w:rsid w:val="00153250"/>
    <w:rsid w:val="0015357F"/>
    <w:rsid w:val="00161DEF"/>
    <w:rsid w:val="00164510"/>
    <w:rsid w:val="0016470A"/>
    <w:rsid w:val="00173741"/>
    <w:rsid w:val="001772D5"/>
    <w:rsid w:val="00177DA5"/>
    <w:rsid w:val="00183666"/>
    <w:rsid w:val="00184AF7"/>
    <w:rsid w:val="001856D9"/>
    <w:rsid w:val="0019015C"/>
    <w:rsid w:val="001918B9"/>
    <w:rsid w:val="0019731A"/>
    <w:rsid w:val="001A46DA"/>
    <w:rsid w:val="001A5197"/>
    <w:rsid w:val="001A63D5"/>
    <w:rsid w:val="001A6B95"/>
    <w:rsid w:val="001B208F"/>
    <w:rsid w:val="001B58D5"/>
    <w:rsid w:val="001B7245"/>
    <w:rsid w:val="001B7452"/>
    <w:rsid w:val="001E1D61"/>
    <w:rsid w:val="001E2097"/>
    <w:rsid w:val="001E2F91"/>
    <w:rsid w:val="001F20F8"/>
    <w:rsid w:val="002017FB"/>
    <w:rsid w:val="00201F0A"/>
    <w:rsid w:val="00202BE0"/>
    <w:rsid w:val="00204528"/>
    <w:rsid w:val="00211022"/>
    <w:rsid w:val="00213CD1"/>
    <w:rsid w:val="00214BEC"/>
    <w:rsid w:val="00214EA4"/>
    <w:rsid w:val="00222876"/>
    <w:rsid w:val="00224550"/>
    <w:rsid w:val="00227FEA"/>
    <w:rsid w:val="00230C45"/>
    <w:rsid w:val="002311B3"/>
    <w:rsid w:val="00231282"/>
    <w:rsid w:val="00232B62"/>
    <w:rsid w:val="00233B8C"/>
    <w:rsid w:val="00233D7D"/>
    <w:rsid w:val="002424C4"/>
    <w:rsid w:val="00244683"/>
    <w:rsid w:val="00247181"/>
    <w:rsid w:val="00251248"/>
    <w:rsid w:val="0026096F"/>
    <w:rsid w:val="00263BC2"/>
    <w:rsid w:val="0026401D"/>
    <w:rsid w:val="00264191"/>
    <w:rsid w:val="002646C1"/>
    <w:rsid w:val="0026479C"/>
    <w:rsid w:val="00265E00"/>
    <w:rsid w:val="00272A72"/>
    <w:rsid w:val="00273FA4"/>
    <w:rsid w:val="002775EE"/>
    <w:rsid w:val="00277E1E"/>
    <w:rsid w:val="00281F64"/>
    <w:rsid w:val="002861F4"/>
    <w:rsid w:val="00290C05"/>
    <w:rsid w:val="00291A39"/>
    <w:rsid w:val="00295362"/>
    <w:rsid w:val="002A6ED5"/>
    <w:rsid w:val="002A757A"/>
    <w:rsid w:val="002B3F14"/>
    <w:rsid w:val="002B475A"/>
    <w:rsid w:val="002B6184"/>
    <w:rsid w:val="002C582A"/>
    <w:rsid w:val="002D0E33"/>
    <w:rsid w:val="002D28D1"/>
    <w:rsid w:val="002D65FF"/>
    <w:rsid w:val="002D6DE7"/>
    <w:rsid w:val="002E1DDE"/>
    <w:rsid w:val="002E2D6A"/>
    <w:rsid w:val="002E3B5A"/>
    <w:rsid w:val="002E5C10"/>
    <w:rsid w:val="002E6AB8"/>
    <w:rsid w:val="002E7EAA"/>
    <w:rsid w:val="002F2205"/>
    <w:rsid w:val="002F43FF"/>
    <w:rsid w:val="0030261B"/>
    <w:rsid w:val="00304788"/>
    <w:rsid w:val="00314D7E"/>
    <w:rsid w:val="00314FCE"/>
    <w:rsid w:val="00322A46"/>
    <w:rsid w:val="003231A6"/>
    <w:rsid w:val="00325BF8"/>
    <w:rsid w:val="003373F7"/>
    <w:rsid w:val="00340150"/>
    <w:rsid w:val="003418A4"/>
    <w:rsid w:val="00341F9B"/>
    <w:rsid w:val="003513F0"/>
    <w:rsid w:val="00355D3D"/>
    <w:rsid w:val="00356927"/>
    <w:rsid w:val="0036053A"/>
    <w:rsid w:val="00362F44"/>
    <w:rsid w:val="00365E4B"/>
    <w:rsid w:val="00374FCA"/>
    <w:rsid w:val="0038144C"/>
    <w:rsid w:val="0038162D"/>
    <w:rsid w:val="00383255"/>
    <w:rsid w:val="00385851"/>
    <w:rsid w:val="00386CA6"/>
    <w:rsid w:val="00394E16"/>
    <w:rsid w:val="003A03DE"/>
    <w:rsid w:val="003A0D8A"/>
    <w:rsid w:val="003A3938"/>
    <w:rsid w:val="003B6B48"/>
    <w:rsid w:val="003C5917"/>
    <w:rsid w:val="003D1E1E"/>
    <w:rsid w:val="003D4305"/>
    <w:rsid w:val="003D4DBD"/>
    <w:rsid w:val="003E612D"/>
    <w:rsid w:val="003E6E55"/>
    <w:rsid w:val="003F2122"/>
    <w:rsid w:val="003F48DE"/>
    <w:rsid w:val="003F6466"/>
    <w:rsid w:val="003F7301"/>
    <w:rsid w:val="0040125E"/>
    <w:rsid w:val="00402618"/>
    <w:rsid w:val="00424544"/>
    <w:rsid w:val="004255F6"/>
    <w:rsid w:val="00425A60"/>
    <w:rsid w:val="004261EB"/>
    <w:rsid w:val="004328F5"/>
    <w:rsid w:val="00437D41"/>
    <w:rsid w:val="00454AC0"/>
    <w:rsid w:val="00460CF0"/>
    <w:rsid w:val="00461023"/>
    <w:rsid w:val="00464A56"/>
    <w:rsid w:val="004655DA"/>
    <w:rsid w:val="004671A3"/>
    <w:rsid w:val="00475F05"/>
    <w:rsid w:val="00480A21"/>
    <w:rsid w:val="0048157C"/>
    <w:rsid w:val="00484A51"/>
    <w:rsid w:val="00484A6F"/>
    <w:rsid w:val="004866FB"/>
    <w:rsid w:val="00486B9B"/>
    <w:rsid w:val="00491510"/>
    <w:rsid w:val="00494789"/>
    <w:rsid w:val="0049766B"/>
    <w:rsid w:val="004A6687"/>
    <w:rsid w:val="004B1532"/>
    <w:rsid w:val="004B4590"/>
    <w:rsid w:val="004B4AB3"/>
    <w:rsid w:val="004B6B21"/>
    <w:rsid w:val="004C280C"/>
    <w:rsid w:val="004C49B4"/>
    <w:rsid w:val="004C57A8"/>
    <w:rsid w:val="004C666E"/>
    <w:rsid w:val="004D43AB"/>
    <w:rsid w:val="004D5223"/>
    <w:rsid w:val="004D6B89"/>
    <w:rsid w:val="004E16E3"/>
    <w:rsid w:val="004E364C"/>
    <w:rsid w:val="004E5146"/>
    <w:rsid w:val="004F0D9E"/>
    <w:rsid w:val="004F20C5"/>
    <w:rsid w:val="004F5FF9"/>
    <w:rsid w:val="00502267"/>
    <w:rsid w:val="0050348E"/>
    <w:rsid w:val="00506EA6"/>
    <w:rsid w:val="00507D77"/>
    <w:rsid w:val="00516EF1"/>
    <w:rsid w:val="00517216"/>
    <w:rsid w:val="00521CC9"/>
    <w:rsid w:val="005252C2"/>
    <w:rsid w:val="00531091"/>
    <w:rsid w:val="00531856"/>
    <w:rsid w:val="00532D96"/>
    <w:rsid w:val="00534D68"/>
    <w:rsid w:val="005362BE"/>
    <w:rsid w:val="00544442"/>
    <w:rsid w:val="005468CC"/>
    <w:rsid w:val="00546BB0"/>
    <w:rsid w:val="00550A3E"/>
    <w:rsid w:val="00551266"/>
    <w:rsid w:val="00551F3A"/>
    <w:rsid w:val="0055346D"/>
    <w:rsid w:val="00553F20"/>
    <w:rsid w:val="0055673E"/>
    <w:rsid w:val="005604B1"/>
    <w:rsid w:val="00562293"/>
    <w:rsid w:val="00562EEF"/>
    <w:rsid w:val="0056433F"/>
    <w:rsid w:val="00566C3A"/>
    <w:rsid w:val="00573E9D"/>
    <w:rsid w:val="005823DE"/>
    <w:rsid w:val="00584CBE"/>
    <w:rsid w:val="00587558"/>
    <w:rsid w:val="0059582C"/>
    <w:rsid w:val="0059629A"/>
    <w:rsid w:val="00596408"/>
    <w:rsid w:val="00597311"/>
    <w:rsid w:val="005A06A9"/>
    <w:rsid w:val="005B0001"/>
    <w:rsid w:val="005B062B"/>
    <w:rsid w:val="005B11DD"/>
    <w:rsid w:val="005B143F"/>
    <w:rsid w:val="005B2E7F"/>
    <w:rsid w:val="005B7BAC"/>
    <w:rsid w:val="005C5DBF"/>
    <w:rsid w:val="005D02B0"/>
    <w:rsid w:val="005D12C3"/>
    <w:rsid w:val="005D1999"/>
    <w:rsid w:val="005D38A0"/>
    <w:rsid w:val="005D4421"/>
    <w:rsid w:val="005E0C08"/>
    <w:rsid w:val="005E0F58"/>
    <w:rsid w:val="005E2F24"/>
    <w:rsid w:val="005E484D"/>
    <w:rsid w:val="005E519F"/>
    <w:rsid w:val="005E69A0"/>
    <w:rsid w:val="005E6D76"/>
    <w:rsid w:val="005E707C"/>
    <w:rsid w:val="005F0C74"/>
    <w:rsid w:val="005F11A2"/>
    <w:rsid w:val="005F4083"/>
    <w:rsid w:val="005F5557"/>
    <w:rsid w:val="005F7547"/>
    <w:rsid w:val="00601C5E"/>
    <w:rsid w:val="00603D22"/>
    <w:rsid w:val="00606F8D"/>
    <w:rsid w:val="00615F0F"/>
    <w:rsid w:val="00620538"/>
    <w:rsid w:val="006205E3"/>
    <w:rsid w:val="00620D30"/>
    <w:rsid w:val="00621250"/>
    <w:rsid w:val="006220F4"/>
    <w:rsid w:val="006309FE"/>
    <w:rsid w:val="00631B1D"/>
    <w:rsid w:val="00632038"/>
    <w:rsid w:val="006333A1"/>
    <w:rsid w:val="00637828"/>
    <w:rsid w:val="00637EB1"/>
    <w:rsid w:val="0064000E"/>
    <w:rsid w:val="0064052F"/>
    <w:rsid w:val="00640AB0"/>
    <w:rsid w:val="00646258"/>
    <w:rsid w:val="00646871"/>
    <w:rsid w:val="0064699F"/>
    <w:rsid w:val="00647797"/>
    <w:rsid w:val="006518EA"/>
    <w:rsid w:val="00652325"/>
    <w:rsid w:val="0065292F"/>
    <w:rsid w:val="00653957"/>
    <w:rsid w:val="006544FC"/>
    <w:rsid w:val="006624CC"/>
    <w:rsid w:val="00666FF4"/>
    <w:rsid w:val="0066754C"/>
    <w:rsid w:val="00677165"/>
    <w:rsid w:val="00680EC4"/>
    <w:rsid w:val="00694311"/>
    <w:rsid w:val="00696CF6"/>
    <w:rsid w:val="00697609"/>
    <w:rsid w:val="006A574D"/>
    <w:rsid w:val="006B41CD"/>
    <w:rsid w:val="006C14AC"/>
    <w:rsid w:val="006C2226"/>
    <w:rsid w:val="006C28B7"/>
    <w:rsid w:val="006C5066"/>
    <w:rsid w:val="006C6D1A"/>
    <w:rsid w:val="006C6E02"/>
    <w:rsid w:val="006D0233"/>
    <w:rsid w:val="006D2059"/>
    <w:rsid w:val="006D2664"/>
    <w:rsid w:val="006D3070"/>
    <w:rsid w:val="006E01C8"/>
    <w:rsid w:val="006E04A1"/>
    <w:rsid w:val="006E3B61"/>
    <w:rsid w:val="006E461F"/>
    <w:rsid w:val="006E70FE"/>
    <w:rsid w:val="006F2BA1"/>
    <w:rsid w:val="006F3FD3"/>
    <w:rsid w:val="006F67AB"/>
    <w:rsid w:val="00704542"/>
    <w:rsid w:val="0070613A"/>
    <w:rsid w:val="00706786"/>
    <w:rsid w:val="00715AD9"/>
    <w:rsid w:val="00726599"/>
    <w:rsid w:val="00727F46"/>
    <w:rsid w:val="00732FFF"/>
    <w:rsid w:val="007342B2"/>
    <w:rsid w:val="00735EA5"/>
    <w:rsid w:val="007361F0"/>
    <w:rsid w:val="00736486"/>
    <w:rsid w:val="00740607"/>
    <w:rsid w:val="00740AB3"/>
    <w:rsid w:val="0074722C"/>
    <w:rsid w:val="00747C9A"/>
    <w:rsid w:val="00761C26"/>
    <w:rsid w:val="00762293"/>
    <w:rsid w:val="00764D2A"/>
    <w:rsid w:val="0076722D"/>
    <w:rsid w:val="007700D4"/>
    <w:rsid w:val="00771C51"/>
    <w:rsid w:val="007733BA"/>
    <w:rsid w:val="00776A94"/>
    <w:rsid w:val="0077711E"/>
    <w:rsid w:val="007809DF"/>
    <w:rsid w:val="007823DE"/>
    <w:rsid w:val="00784FCF"/>
    <w:rsid w:val="00787C89"/>
    <w:rsid w:val="00791186"/>
    <w:rsid w:val="007912BC"/>
    <w:rsid w:val="00794279"/>
    <w:rsid w:val="007A0A58"/>
    <w:rsid w:val="007A677C"/>
    <w:rsid w:val="007A68B9"/>
    <w:rsid w:val="007A6BCB"/>
    <w:rsid w:val="007A758D"/>
    <w:rsid w:val="007B1FB2"/>
    <w:rsid w:val="007B2F5F"/>
    <w:rsid w:val="007B3B0A"/>
    <w:rsid w:val="007B59BD"/>
    <w:rsid w:val="007B6597"/>
    <w:rsid w:val="007C2DEC"/>
    <w:rsid w:val="007C66FE"/>
    <w:rsid w:val="007D04D4"/>
    <w:rsid w:val="007D1631"/>
    <w:rsid w:val="007D1647"/>
    <w:rsid w:val="007D29AA"/>
    <w:rsid w:val="007E328F"/>
    <w:rsid w:val="007E526B"/>
    <w:rsid w:val="007E5A87"/>
    <w:rsid w:val="007E5DA7"/>
    <w:rsid w:val="007F0113"/>
    <w:rsid w:val="007F0FAD"/>
    <w:rsid w:val="00801139"/>
    <w:rsid w:val="00807149"/>
    <w:rsid w:val="008104DE"/>
    <w:rsid w:val="00814899"/>
    <w:rsid w:val="008154BE"/>
    <w:rsid w:val="0082025F"/>
    <w:rsid w:val="0083114A"/>
    <w:rsid w:val="00831C57"/>
    <w:rsid w:val="0083565F"/>
    <w:rsid w:val="00843A49"/>
    <w:rsid w:val="0084719F"/>
    <w:rsid w:val="00852BD7"/>
    <w:rsid w:val="008535BA"/>
    <w:rsid w:val="00856382"/>
    <w:rsid w:val="0086310D"/>
    <w:rsid w:val="00866808"/>
    <w:rsid w:val="00877327"/>
    <w:rsid w:val="008820FB"/>
    <w:rsid w:val="008841EA"/>
    <w:rsid w:val="0088532E"/>
    <w:rsid w:val="008874A5"/>
    <w:rsid w:val="00890587"/>
    <w:rsid w:val="0089183F"/>
    <w:rsid w:val="0089237D"/>
    <w:rsid w:val="00892431"/>
    <w:rsid w:val="00892D1F"/>
    <w:rsid w:val="00897B21"/>
    <w:rsid w:val="008A2285"/>
    <w:rsid w:val="008A4CDD"/>
    <w:rsid w:val="008A6A35"/>
    <w:rsid w:val="008B0791"/>
    <w:rsid w:val="008B253D"/>
    <w:rsid w:val="008B2FA7"/>
    <w:rsid w:val="008B6BE8"/>
    <w:rsid w:val="008C55E9"/>
    <w:rsid w:val="008C599D"/>
    <w:rsid w:val="008C636F"/>
    <w:rsid w:val="008C70EF"/>
    <w:rsid w:val="008D75B9"/>
    <w:rsid w:val="008E0584"/>
    <w:rsid w:val="008E06FB"/>
    <w:rsid w:val="008E4434"/>
    <w:rsid w:val="008E7892"/>
    <w:rsid w:val="008E7D4B"/>
    <w:rsid w:val="008F2770"/>
    <w:rsid w:val="008F5EE9"/>
    <w:rsid w:val="008F7C33"/>
    <w:rsid w:val="00910BEB"/>
    <w:rsid w:val="00911963"/>
    <w:rsid w:val="0091230B"/>
    <w:rsid w:val="009141C5"/>
    <w:rsid w:val="009214D5"/>
    <w:rsid w:val="00926552"/>
    <w:rsid w:val="00931776"/>
    <w:rsid w:val="009324F7"/>
    <w:rsid w:val="00937D35"/>
    <w:rsid w:val="00942E18"/>
    <w:rsid w:val="00943E69"/>
    <w:rsid w:val="00946782"/>
    <w:rsid w:val="00951537"/>
    <w:rsid w:val="009534D2"/>
    <w:rsid w:val="00953585"/>
    <w:rsid w:val="00953F58"/>
    <w:rsid w:val="00956474"/>
    <w:rsid w:val="00956F1E"/>
    <w:rsid w:val="00957415"/>
    <w:rsid w:val="009650D8"/>
    <w:rsid w:val="00965539"/>
    <w:rsid w:val="00965D5B"/>
    <w:rsid w:val="00970406"/>
    <w:rsid w:val="00970548"/>
    <w:rsid w:val="0097407C"/>
    <w:rsid w:val="0098122D"/>
    <w:rsid w:val="009822AE"/>
    <w:rsid w:val="00984AFA"/>
    <w:rsid w:val="0098561C"/>
    <w:rsid w:val="009868FC"/>
    <w:rsid w:val="00990A21"/>
    <w:rsid w:val="00991533"/>
    <w:rsid w:val="009923DD"/>
    <w:rsid w:val="00992B26"/>
    <w:rsid w:val="00992CD0"/>
    <w:rsid w:val="00995CAF"/>
    <w:rsid w:val="00996B8E"/>
    <w:rsid w:val="009A27FC"/>
    <w:rsid w:val="009A7069"/>
    <w:rsid w:val="009B0843"/>
    <w:rsid w:val="009B7352"/>
    <w:rsid w:val="009C28EF"/>
    <w:rsid w:val="009C2C2A"/>
    <w:rsid w:val="009C6E60"/>
    <w:rsid w:val="009C7E0C"/>
    <w:rsid w:val="009D10D4"/>
    <w:rsid w:val="009E0493"/>
    <w:rsid w:val="009E0B5B"/>
    <w:rsid w:val="009E7721"/>
    <w:rsid w:val="009F332E"/>
    <w:rsid w:val="009F3C16"/>
    <w:rsid w:val="009F5EE1"/>
    <w:rsid w:val="009F7629"/>
    <w:rsid w:val="00A00B6F"/>
    <w:rsid w:val="00A027BF"/>
    <w:rsid w:val="00A0450A"/>
    <w:rsid w:val="00A04DF9"/>
    <w:rsid w:val="00A055B7"/>
    <w:rsid w:val="00A06268"/>
    <w:rsid w:val="00A06698"/>
    <w:rsid w:val="00A079F4"/>
    <w:rsid w:val="00A11862"/>
    <w:rsid w:val="00A16310"/>
    <w:rsid w:val="00A23004"/>
    <w:rsid w:val="00A25970"/>
    <w:rsid w:val="00A262B4"/>
    <w:rsid w:val="00A3508F"/>
    <w:rsid w:val="00A35996"/>
    <w:rsid w:val="00A36E66"/>
    <w:rsid w:val="00A40644"/>
    <w:rsid w:val="00A43B3F"/>
    <w:rsid w:val="00A46BFA"/>
    <w:rsid w:val="00A50D9A"/>
    <w:rsid w:val="00A546AD"/>
    <w:rsid w:val="00A61751"/>
    <w:rsid w:val="00A625D0"/>
    <w:rsid w:val="00A64617"/>
    <w:rsid w:val="00A6711E"/>
    <w:rsid w:val="00A70EE9"/>
    <w:rsid w:val="00A73BD5"/>
    <w:rsid w:val="00A74FB6"/>
    <w:rsid w:val="00A91804"/>
    <w:rsid w:val="00A91F13"/>
    <w:rsid w:val="00A94B64"/>
    <w:rsid w:val="00A95F8F"/>
    <w:rsid w:val="00AA2C7D"/>
    <w:rsid w:val="00AB12FB"/>
    <w:rsid w:val="00AB6A03"/>
    <w:rsid w:val="00AB702D"/>
    <w:rsid w:val="00AC0800"/>
    <w:rsid w:val="00AC1D7D"/>
    <w:rsid w:val="00AC79A8"/>
    <w:rsid w:val="00AC7AD4"/>
    <w:rsid w:val="00AD13B2"/>
    <w:rsid w:val="00AD26D0"/>
    <w:rsid w:val="00AD6A0E"/>
    <w:rsid w:val="00AD7D53"/>
    <w:rsid w:val="00AE122C"/>
    <w:rsid w:val="00AE32F3"/>
    <w:rsid w:val="00AE4400"/>
    <w:rsid w:val="00AF1415"/>
    <w:rsid w:val="00AF3256"/>
    <w:rsid w:val="00AF51DC"/>
    <w:rsid w:val="00AF5E4E"/>
    <w:rsid w:val="00B02142"/>
    <w:rsid w:val="00B043A2"/>
    <w:rsid w:val="00B13054"/>
    <w:rsid w:val="00B149A9"/>
    <w:rsid w:val="00B24370"/>
    <w:rsid w:val="00B26841"/>
    <w:rsid w:val="00B31548"/>
    <w:rsid w:val="00B3252E"/>
    <w:rsid w:val="00B325E5"/>
    <w:rsid w:val="00B33C3A"/>
    <w:rsid w:val="00B35678"/>
    <w:rsid w:val="00B3713E"/>
    <w:rsid w:val="00B37676"/>
    <w:rsid w:val="00B40903"/>
    <w:rsid w:val="00B47A4C"/>
    <w:rsid w:val="00B52AE1"/>
    <w:rsid w:val="00B5381B"/>
    <w:rsid w:val="00B53D80"/>
    <w:rsid w:val="00B5787F"/>
    <w:rsid w:val="00B57C62"/>
    <w:rsid w:val="00B63B43"/>
    <w:rsid w:val="00B6542F"/>
    <w:rsid w:val="00B6560F"/>
    <w:rsid w:val="00B74FB1"/>
    <w:rsid w:val="00B7736F"/>
    <w:rsid w:val="00B8096F"/>
    <w:rsid w:val="00B811B8"/>
    <w:rsid w:val="00B85F1A"/>
    <w:rsid w:val="00B90F95"/>
    <w:rsid w:val="00BA000F"/>
    <w:rsid w:val="00BA055F"/>
    <w:rsid w:val="00BA10FF"/>
    <w:rsid w:val="00BA27C6"/>
    <w:rsid w:val="00BA4BCD"/>
    <w:rsid w:val="00BA51F3"/>
    <w:rsid w:val="00BB01CD"/>
    <w:rsid w:val="00BB1964"/>
    <w:rsid w:val="00BB4486"/>
    <w:rsid w:val="00BB5C56"/>
    <w:rsid w:val="00BB71DC"/>
    <w:rsid w:val="00BB773A"/>
    <w:rsid w:val="00BC105A"/>
    <w:rsid w:val="00BC1D1D"/>
    <w:rsid w:val="00BD3B4F"/>
    <w:rsid w:val="00BD41B3"/>
    <w:rsid w:val="00BD4FF7"/>
    <w:rsid w:val="00BE1573"/>
    <w:rsid w:val="00BE24A2"/>
    <w:rsid w:val="00BE57F1"/>
    <w:rsid w:val="00BF2C23"/>
    <w:rsid w:val="00BF63CC"/>
    <w:rsid w:val="00C0016D"/>
    <w:rsid w:val="00C00EAD"/>
    <w:rsid w:val="00C04101"/>
    <w:rsid w:val="00C05779"/>
    <w:rsid w:val="00C1093F"/>
    <w:rsid w:val="00C11A2E"/>
    <w:rsid w:val="00C1330D"/>
    <w:rsid w:val="00C13748"/>
    <w:rsid w:val="00C14BAD"/>
    <w:rsid w:val="00C15377"/>
    <w:rsid w:val="00C216E7"/>
    <w:rsid w:val="00C232FA"/>
    <w:rsid w:val="00C243B2"/>
    <w:rsid w:val="00C27BFA"/>
    <w:rsid w:val="00C347B2"/>
    <w:rsid w:val="00C37694"/>
    <w:rsid w:val="00C405EF"/>
    <w:rsid w:val="00C45C75"/>
    <w:rsid w:val="00C46E49"/>
    <w:rsid w:val="00C536E2"/>
    <w:rsid w:val="00C57F72"/>
    <w:rsid w:val="00C6231F"/>
    <w:rsid w:val="00C638F6"/>
    <w:rsid w:val="00C63AB5"/>
    <w:rsid w:val="00C64EB5"/>
    <w:rsid w:val="00C7353B"/>
    <w:rsid w:val="00C75E54"/>
    <w:rsid w:val="00C76588"/>
    <w:rsid w:val="00C767E4"/>
    <w:rsid w:val="00C76A70"/>
    <w:rsid w:val="00C76DC9"/>
    <w:rsid w:val="00C829F8"/>
    <w:rsid w:val="00C8379F"/>
    <w:rsid w:val="00C85123"/>
    <w:rsid w:val="00C85D53"/>
    <w:rsid w:val="00C91118"/>
    <w:rsid w:val="00C94E4C"/>
    <w:rsid w:val="00C94E5A"/>
    <w:rsid w:val="00CA0FE9"/>
    <w:rsid w:val="00CA4AB8"/>
    <w:rsid w:val="00CA4AFF"/>
    <w:rsid w:val="00CB1727"/>
    <w:rsid w:val="00CB3012"/>
    <w:rsid w:val="00CB4C28"/>
    <w:rsid w:val="00CB64C5"/>
    <w:rsid w:val="00CB64FD"/>
    <w:rsid w:val="00CB6D27"/>
    <w:rsid w:val="00CB74DA"/>
    <w:rsid w:val="00CC278C"/>
    <w:rsid w:val="00CC3BA9"/>
    <w:rsid w:val="00CC4139"/>
    <w:rsid w:val="00CC419B"/>
    <w:rsid w:val="00CC4489"/>
    <w:rsid w:val="00CC6F58"/>
    <w:rsid w:val="00CD15E8"/>
    <w:rsid w:val="00CD1D7C"/>
    <w:rsid w:val="00CD760A"/>
    <w:rsid w:val="00CE601C"/>
    <w:rsid w:val="00CF3FE8"/>
    <w:rsid w:val="00CF4F15"/>
    <w:rsid w:val="00CF626E"/>
    <w:rsid w:val="00CF6BAC"/>
    <w:rsid w:val="00CF76B4"/>
    <w:rsid w:val="00D000BA"/>
    <w:rsid w:val="00D03846"/>
    <w:rsid w:val="00D0477B"/>
    <w:rsid w:val="00D110FD"/>
    <w:rsid w:val="00D120CD"/>
    <w:rsid w:val="00D17C0C"/>
    <w:rsid w:val="00D26CE8"/>
    <w:rsid w:val="00D27D48"/>
    <w:rsid w:val="00D31490"/>
    <w:rsid w:val="00D34E8D"/>
    <w:rsid w:val="00D3558A"/>
    <w:rsid w:val="00D35B6C"/>
    <w:rsid w:val="00D41F7B"/>
    <w:rsid w:val="00D4503E"/>
    <w:rsid w:val="00D46447"/>
    <w:rsid w:val="00D53940"/>
    <w:rsid w:val="00D5669A"/>
    <w:rsid w:val="00D64059"/>
    <w:rsid w:val="00D70A0C"/>
    <w:rsid w:val="00D735B9"/>
    <w:rsid w:val="00D75D27"/>
    <w:rsid w:val="00D81B14"/>
    <w:rsid w:val="00D8203E"/>
    <w:rsid w:val="00D83D76"/>
    <w:rsid w:val="00D84362"/>
    <w:rsid w:val="00D84EAE"/>
    <w:rsid w:val="00D8744F"/>
    <w:rsid w:val="00D928B6"/>
    <w:rsid w:val="00D97825"/>
    <w:rsid w:val="00DA084B"/>
    <w:rsid w:val="00DA5C31"/>
    <w:rsid w:val="00DB06BE"/>
    <w:rsid w:val="00DB0FDB"/>
    <w:rsid w:val="00DB1190"/>
    <w:rsid w:val="00DB13E6"/>
    <w:rsid w:val="00DB7B0C"/>
    <w:rsid w:val="00DC1CE1"/>
    <w:rsid w:val="00DC543E"/>
    <w:rsid w:val="00DD3534"/>
    <w:rsid w:val="00DD68E9"/>
    <w:rsid w:val="00DE0A6F"/>
    <w:rsid w:val="00DF1763"/>
    <w:rsid w:val="00DF18C3"/>
    <w:rsid w:val="00E028BC"/>
    <w:rsid w:val="00E02AEE"/>
    <w:rsid w:val="00E0380E"/>
    <w:rsid w:val="00E06B6C"/>
    <w:rsid w:val="00E074A0"/>
    <w:rsid w:val="00E11BAE"/>
    <w:rsid w:val="00E11FFC"/>
    <w:rsid w:val="00E1670C"/>
    <w:rsid w:val="00E17876"/>
    <w:rsid w:val="00E2219E"/>
    <w:rsid w:val="00E221DF"/>
    <w:rsid w:val="00E233B1"/>
    <w:rsid w:val="00E25621"/>
    <w:rsid w:val="00E2687E"/>
    <w:rsid w:val="00E27DDD"/>
    <w:rsid w:val="00E35682"/>
    <w:rsid w:val="00E37CFD"/>
    <w:rsid w:val="00E41461"/>
    <w:rsid w:val="00E41FD7"/>
    <w:rsid w:val="00E46CDC"/>
    <w:rsid w:val="00E5045B"/>
    <w:rsid w:val="00E505E2"/>
    <w:rsid w:val="00E512B1"/>
    <w:rsid w:val="00E52F65"/>
    <w:rsid w:val="00E537EA"/>
    <w:rsid w:val="00E57998"/>
    <w:rsid w:val="00E57A31"/>
    <w:rsid w:val="00E61A98"/>
    <w:rsid w:val="00E6472E"/>
    <w:rsid w:val="00E72D10"/>
    <w:rsid w:val="00E73860"/>
    <w:rsid w:val="00E80F85"/>
    <w:rsid w:val="00E81956"/>
    <w:rsid w:val="00E913E9"/>
    <w:rsid w:val="00E929B3"/>
    <w:rsid w:val="00E95622"/>
    <w:rsid w:val="00EA3797"/>
    <w:rsid w:val="00EA4251"/>
    <w:rsid w:val="00EA5E89"/>
    <w:rsid w:val="00EA6B5D"/>
    <w:rsid w:val="00EA758E"/>
    <w:rsid w:val="00EB2C68"/>
    <w:rsid w:val="00EB5829"/>
    <w:rsid w:val="00EB5FA4"/>
    <w:rsid w:val="00EB6CEB"/>
    <w:rsid w:val="00EC0B9B"/>
    <w:rsid w:val="00EC116C"/>
    <w:rsid w:val="00EC268E"/>
    <w:rsid w:val="00EC500D"/>
    <w:rsid w:val="00ED0267"/>
    <w:rsid w:val="00ED2145"/>
    <w:rsid w:val="00ED421B"/>
    <w:rsid w:val="00ED42E3"/>
    <w:rsid w:val="00ED76F2"/>
    <w:rsid w:val="00EE26FA"/>
    <w:rsid w:val="00EE5A82"/>
    <w:rsid w:val="00EE7A51"/>
    <w:rsid w:val="00EE7CF6"/>
    <w:rsid w:val="00EF46FC"/>
    <w:rsid w:val="00EF7CCB"/>
    <w:rsid w:val="00F00189"/>
    <w:rsid w:val="00F00BF4"/>
    <w:rsid w:val="00F055C7"/>
    <w:rsid w:val="00F05C2B"/>
    <w:rsid w:val="00F07AC4"/>
    <w:rsid w:val="00F11A23"/>
    <w:rsid w:val="00F20ACB"/>
    <w:rsid w:val="00F23096"/>
    <w:rsid w:val="00F25055"/>
    <w:rsid w:val="00F271A3"/>
    <w:rsid w:val="00F30746"/>
    <w:rsid w:val="00F326E8"/>
    <w:rsid w:val="00F3424F"/>
    <w:rsid w:val="00F41F80"/>
    <w:rsid w:val="00F4336F"/>
    <w:rsid w:val="00F5428C"/>
    <w:rsid w:val="00F54C6B"/>
    <w:rsid w:val="00F54FBE"/>
    <w:rsid w:val="00F55F46"/>
    <w:rsid w:val="00F57A60"/>
    <w:rsid w:val="00F60D9F"/>
    <w:rsid w:val="00F6193B"/>
    <w:rsid w:val="00F63B72"/>
    <w:rsid w:val="00F6427D"/>
    <w:rsid w:val="00F65467"/>
    <w:rsid w:val="00F70279"/>
    <w:rsid w:val="00F73042"/>
    <w:rsid w:val="00F73897"/>
    <w:rsid w:val="00F74D3F"/>
    <w:rsid w:val="00F74F2B"/>
    <w:rsid w:val="00F7594C"/>
    <w:rsid w:val="00F77297"/>
    <w:rsid w:val="00F777BB"/>
    <w:rsid w:val="00F80038"/>
    <w:rsid w:val="00F8094C"/>
    <w:rsid w:val="00F92CA9"/>
    <w:rsid w:val="00F9334F"/>
    <w:rsid w:val="00F93FE3"/>
    <w:rsid w:val="00F9633D"/>
    <w:rsid w:val="00FA5BFE"/>
    <w:rsid w:val="00FB500F"/>
    <w:rsid w:val="00FB5FC4"/>
    <w:rsid w:val="00FB767F"/>
    <w:rsid w:val="00FC5335"/>
    <w:rsid w:val="00FE2067"/>
    <w:rsid w:val="00FE3C0B"/>
    <w:rsid w:val="00FE7E9A"/>
    <w:rsid w:val="00FF17FB"/>
    <w:rsid w:val="7A601E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6FC"/>
    <w:pPr>
      <w:widowControl w:val="0"/>
      <w:jc w:val="both"/>
    </w:pPr>
    <w:rPr>
      <w:kern w:val="2"/>
      <w:sz w:val="21"/>
      <w:szCs w:val="22"/>
    </w:rPr>
  </w:style>
  <w:style w:type="paragraph" w:styleId="2">
    <w:name w:val="heading 2"/>
    <w:basedOn w:val="a"/>
    <w:next w:val="a"/>
    <w:link w:val="2Char"/>
    <w:uiPriority w:val="9"/>
    <w:unhideWhenUsed/>
    <w:qFormat/>
    <w:rsid w:val="00EF46F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EF46FC"/>
    <w:pPr>
      <w:jc w:val="left"/>
    </w:pPr>
  </w:style>
  <w:style w:type="paragraph" w:styleId="a4">
    <w:name w:val="Balloon Text"/>
    <w:basedOn w:val="a"/>
    <w:link w:val="Char0"/>
    <w:uiPriority w:val="99"/>
    <w:semiHidden/>
    <w:unhideWhenUsed/>
    <w:rsid w:val="00EF46FC"/>
    <w:rPr>
      <w:sz w:val="18"/>
      <w:szCs w:val="18"/>
    </w:rPr>
  </w:style>
  <w:style w:type="paragraph" w:styleId="a5">
    <w:name w:val="footer"/>
    <w:basedOn w:val="a"/>
    <w:link w:val="Char1"/>
    <w:uiPriority w:val="99"/>
    <w:unhideWhenUsed/>
    <w:qFormat/>
    <w:rsid w:val="00EF46FC"/>
    <w:pPr>
      <w:tabs>
        <w:tab w:val="center" w:pos="4153"/>
        <w:tab w:val="right" w:pos="8306"/>
      </w:tabs>
      <w:snapToGrid w:val="0"/>
      <w:jc w:val="left"/>
    </w:pPr>
    <w:rPr>
      <w:sz w:val="18"/>
      <w:szCs w:val="18"/>
    </w:rPr>
  </w:style>
  <w:style w:type="paragraph" w:styleId="a6">
    <w:name w:val="header"/>
    <w:basedOn w:val="a"/>
    <w:link w:val="Char2"/>
    <w:uiPriority w:val="99"/>
    <w:unhideWhenUsed/>
    <w:rsid w:val="00EF46FC"/>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EF46FC"/>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EF46FC"/>
    <w:rPr>
      <w:b/>
      <w:bCs/>
    </w:rPr>
  </w:style>
  <w:style w:type="character" w:styleId="a9">
    <w:name w:val="Strong"/>
    <w:basedOn w:val="a0"/>
    <w:uiPriority w:val="22"/>
    <w:qFormat/>
    <w:rsid w:val="00EF46FC"/>
    <w:rPr>
      <w:b/>
      <w:bCs/>
    </w:rPr>
  </w:style>
  <w:style w:type="character" w:styleId="aa">
    <w:name w:val="Emphasis"/>
    <w:basedOn w:val="a0"/>
    <w:uiPriority w:val="20"/>
    <w:qFormat/>
    <w:rsid w:val="00EF46FC"/>
    <w:rPr>
      <w:i/>
      <w:iCs/>
    </w:rPr>
  </w:style>
  <w:style w:type="character" w:styleId="ab">
    <w:name w:val="Hyperlink"/>
    <w:basedOn w:val="a0"/>
    <w:uiPriority w:val="99"/>
    <w:unhideWhenUsed/>
    <w:rsid w:val="00EF46FC"/>
    <w:rPr>
      <w:color w:val="0000FF"/>
      <w:u w:val="single"/>
    </w:rPr>
  </w:style>
  <w:style w:type="character" w:styleId="ac">
    <w:name w:val="annotation reference"/>
    <w:basedOn w:val="a0"/>
    <w:uiPriority w:val="99"/>
    <w:semiHidden/>
    <w:unhideWhenUsed/>
    <w:qFormat/>
    <w:rsid w:val="00EF46FC"/>
    <w:rPr>
      <w:sz w:val="21"/>
      <w:szCs w:val="21"/>
    </w:rPr>
  </w:style>
  <w:style w:type="character" w:customStyle="1" w:styleId="Char2">
    <w:name w:val="页眉 Char"/>
    <w:basedOn w:val="a0"/>
    <w:link w:val="a6"/>
    <w:uiPriority w:val="99"/>
    <w:rsid w:val="00EF46FC"/>
    <w:rPr>
      <w:sz w:val="18"/>
      <w:szCs w:val="18"/>
    </w:rPr>
  </w:style>
  <w:style w:type="character" w:customStyle="1" w:styleId="Char1">
    <w:name w:val="页脚 Char"/>
    <w:basedOn w:val="a0"/>
    <w:link w:val="a5"/>
    <w:uiPriority w:val="99"/>
    <w:rsid w:val="00EF46FC"/>
    <w:rPr>
      <w:sz w:val="18"/>
      <w:szCs w:val="18"/>
    </w:rPr>
  </w:style>
  <w:style w:type="paragraph" w:styleId="ad">
    <w:name w:val="List Paragraph"/>
    <w:basedOn w:val="a"/>
    <w:uiPriority w:val="34"/>
    <w:qFormat/>
    <w:rsid w:val="00EF46FC"/>
    <w:pPr>
      <w:ind w:firstLineChars="200" w:firstLine="420"/>
    </w:pPr>
  </w:style>
  <w:style w:type="character" w:customStyle="1" w:styleId="2Char">
    <w:name w:val="标题 2 Char"/>
    <w:basedOn w:val="a0"/>
    <w:link w:val="2"/>
    <w:uiPriority w:val="9"/>
    <w:qFormat/>
    <w:rsid w:val="00EF46FC"/>
    <w:rPr>
      <w:rFonts w:asciiTheme="majorHAnsi" w:eastAsiaTheme="majorEastAsia" w:hAnsiTheme="majorHAnsi" w:cstheme="majorBidi"/>
      <w:b/>
      <w:bCs/>
      <w:sz w:val="32"/>
      <w:szCs w:val="32"/>
    </w:rPr>
  </w:style>
  <w:style w:type="character" w:customStyle="1" w:styleId="Char0">
    <w:name w:val="批注框文本 Char"/>
    <w:basedOn w:val="a0"/>
    <w:link w:val="a4"/>
    <w:uiPriority w:val="99"/>
    <w:semiHidden/>
    <w:qFormat/>
    <w:rsid w:val="00EF46FC"/>
    <w:rPr>
      <w:sz w:val="18"/>
      <w:szCs w:val="18"/>
    </w:rPr>
  </w:style>
  <w:style w:type="character" w:customStyle="1" w:styleId="Char">
    <w:name w:val="批注文字 Char"/>
    <w:basedOn w:val="a0"/>
    <w:link w:val="a3"/>
    <w:uiPriority w:val="99"/>
    <w:semiHidden/>
    <w:qFormat/>
    <w:rsid w:val="00EF46FC"/>
  </w:style>
  <w:style w:type="character" w:customStyle="1" w:styleId="Char3">
    <w:name w:val="批注主题 Char"/>
    <w:basedOn w:val="Char"/>
    <w:link w:val="a8"/>
    <w:uiPriority w:val="99"/>
    <w:semiHidden/>
    <w:rsid w:val="00EF46FC"/>
    <w:rPr>
      <w:b/>
      <w:bCs/>
    </w:rPr>
  </w:style>
  <w:style w:type="paragraph" w:customStyle="1" w:styleId="1">
    <w:name w:val="修订1"/>
    <w:hidden/>
    <w:uiPriority w:val="99"/>
    <w:semiHidden/>
    <w:qFormat/>
    <w:rsid w:val="00EF46FC"/>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sfund.com" TargetMode="External"/><Relationship Id="rId4" Type="http://schemas.openxmlformats.org/officeDocument/2006/relationships/styles" Target="styles.xml"/><Relationship Id="rId9" Type="http://schemas.openxmlformats.org/officeDocument/2006/relationships/hyperlink" Target="http://www.hlzqgs.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BCCFBC-5D8E-4541-B298-CA537CDDB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340</Words>
  <Characters>1943</Characters>
  <Application>Microsoft Office Word</Application>
  <DocSecurity>4</DocSecurity>
  <Lines>16</Lines>
  <Paragraphs>4</Paragraphs>
  <ScaleCrop>false</ScaleCrop>
  <Company>Microsoft</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yanying</dc:creator>
  <cp:lastModifiedBy>ZHONGM</cp:lastModifiedBy>
  <cp:revision>2</cp:revision>
  <dcterms:created xsi:type="dcterms:W3CDTF">2020-08-02T16:03:00Z</dcterms:created>
  <dcterms:modified xsi:type="dcterms:W3CDTF">2020-08-02T16:03:00Z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