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7" w:rsidRPr="000D3C78" w:rsidRDefault="00BC3D77" w:rsidP="008E1AF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3C77E7" w:rsidRPr="000D3C78">
        <w:rPr>
          <w:rFonts w:hint="eastAsia"/>
          <w:b/>
          <w:sz w:val="24"/>
        </w:rPr>
        <w:t>关于电子直销平台增加</w:t>
      </w:r>
      <w:r w:rsidR="00C53333">
        <w:rPr>
          <w:rFonts w:hint="eastAsia"/>
          <w:b/>
          <w:sz w:val="24"/>
        </w:rPr>
        <w:t>招商</w:t>
      </w:r>
      <w:r w:rsidR="00C53333" w:rsidRPr="00C53333">
        <w:rPr>
          <w:rFonts w:hint="eastAsia"/>
          <w:b/>
          <w:sz w:val="24"/>
        </w:rPr>
        <w:t>银行快捷支付业务</w:t>
      </w:r>
      <w:r w:rsidR="003C77E7" w:rsidRPr="000D3C78">
        <w:rPr>
          <w:rFonts w:hint="eastAsia"/>
          <w:b/>
          <w:sz w:val="24"/>
        </w:rPr>
        <w:t>及</w:t>
      </w:r>
      <w:r w:rsidR="00E9277F">
        <w:rPr>
          <w:rFonts w:hint="eastAsia"/>
          <w:b/>
          <w:sz w:val="24"/>
        </w:rPr>
        <w:t>参与</w:t>
      </w:r>
      <w:r w:rsidR="003C77E7" w:rsidRPr="000D3C78">
        <w:rPr>
          <w:rFonts w:hint="eastAsia"/>
          <w:b/>
          <w:sz w:val="24"/>
        </w:rPr>
        <w:t>费率优惠活动的公告</w:t>
      </w:r>
    </w:p>
    <w:p w:rsidR="003C77E7" w:rsidRDefault="003C77E7" w:rsidP="003C77E7"/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为进一步方便投资者通过</w:t>
      </w:r>
      <w:r w:rsidR="00AC28AA">
        <w:rPr>
          <w:rFonts w:hint="eastAsia"/>
        </w:rPr>
        <w:t>官方网站</w:t>
      </w:r>
      <w:r>
        <w:rPr>
          <w:rFonts w:hint="eastAsia"/>
        </w:rPr>
        <w:t>直销交易系统</w:t>
      </w:r>
      <w:r w:rsidR="00AC28AA">
        <w:rPr>
          <w:rFonts w:hint="eastAsia"/>
        </w:rPr>
        <w:t>（</w:t>
      </w:r>
      <w:r w:rsidR="00CA6CA0">
        <w:rPr>
          <w:rFonts w:hint="eastAsia"/>
        </w:rPr>
        <w:t>指通过</w:t>
      </w:r>
      <w:hyperlink r:id="rId7" w:history="1">
        <w:r w:rsidR="00CA6CA0" w:rsidRPr="007D27FF">
          <w:rPr>
            <w:rStyle w:val="a4"/>
            <w:color w:val="auto"/>
          </w:rPr>
          <w:t>http://www.jtamc.com</w:t>
        </w:r>
      </w:hyperlink>
      <w:r w:rsidR="00CA6CA0">
        <w:rPr>
          <w:rFonts w:hint="eastAsia"/>
        </w:rPr>
        <w:t>进行</w:t>
      </w:r>
      <w:r w:rsidR="00CA6CA0">
        <w:t>的网上直销交易，</w:t>
      </w:r>
      <w:r w:rsidR="00AC28AA">
        <w:rPr>
          <w:rFonts w:hint="eastAsia"/>
        </w:rPr>
        <w:t>不含</w:t>
      </w:r>
      <w:r w:rsidR="00AC28AA">
        <w:rPr>
          <w:rFonts w:hint="eastAsia"/>
        </w:rPr>
        <w:t>APP</w:t>
      </w:r>
      <w:r w:rsidR="00AC28AA">
        <w:rPr>
          <w:rFonts w:hint="eastAsia"/>
        </w:rPr>
        <w:t>等</w:t>
      </w:r>
      <w:r w:rsidR="00AC28AA">
        <w:t>其他</w:t>
      </w:r>
      <w:r w:rsidR="00AC28AA">
        <w:rPr>
          <w:rFonts w:hint="eastAsia"/>
        </w:rPr>
        <w:t>电子</w:t>
      </w:r>
      <w:r w:rsidR="00AC28AA">
        <w:t>直销交易渠道</w:t>
      </w:r>
      <w:r w:rsidR="00AC28AA">
        <w:rPr>
          <w:rFonts w:hint="eastAsia"/>
        </w:rPr>
        <w:t>）</w:t>
      </w:r>
      <w:r>
        <w:rPr>
          <w:rFonts w:hint="eastAsia"/>
        </w:rPr>
        <w:t>投资基金，九泰基金管理有限公司（以下简称“本公司”）与招商银行股份有限公司（以下简称“招商银行”）协商一致，决定自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F44526">
        <w:rPr>
          <w:rFonts w:hint="eastAsia"/>
        </w:rPr>
        <w:t>7</w:t>
      </w:r>
      <w:r>
        <w:rPr>
          <w:rFonts w:hint="eastAsia"/>
        </w:rPr>
        <w:t>月</w:t>
      </w:r>
      <w:r w:rsidR="00F935EF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1</w:t>
      </w:r>
      <w:r w:rsidR="00F935EF">
        <w:rPr>
          <w:rFonts w:hint="eastAsia"/>
        </w:rPr>
        <w:t>7</w:t>
      </w:r>
      <w:r>
        <w:rPr>
          <w:rFonts w:hint="eastAsia"/>
        </w:rPr>
        <w:t>:00</w:t>
      </w:r>
      <w:r>
        <w:rPr>
          <w:rFonts w:hint="eastAsia"/>
        </w:rPr>
        <w:t>起</w:t>
      </w:r>
      <w:r w:rsidR="00794062">
        <w:rPr>
          <w:rFonts w:hint="eastAsia"/>
        </w:rPr>
        <w:t>（非交易时间</w:t>
      </w:r>
      <w:r w:rsidR="00794062">
        <w:t>申请</w:t>
      </w:r>
      <w:r w:rsidR="00794062">
        <w:rPr>
          <w:rFonts w:hint="eastAsia"/>
        </w:rPr>
        <w:t>将视为</w:t>
      </w:r>
      <w:r w:rsidR="00794062">
        <w:t>次</w:t>
      </w:r>
      <w:r w:rsidR="00794062">
        <w:rPr>
          <w:rFonts w:hint="eastAsia"/>
        </w:rPr>
        <w:t>一</w:t>
      </w:r>
      <w:r w:rsidR="00794062">
        <w:t>交易日申请</w:t>
      </w:r>
      <w:r w:rsidR="00794062">
        <w:rPr>
          <w:rFonts w:hint="eastAsia"/>
        </w:rPr>
        <w:t>）</w:t>
      </w:r>
      <w:r>
        <w:rPr>
          <w:rFonts w:hint="eastAsia"/>
        </w:rPr>
        <w:t>，在本公司</w:t>
      </w:r>
      <w:r w:rsidR="000E16AE">
        <w:rPr>
          <w:rFonts w:hint="eastAsia"/>
        </w:rPr>
        <w:t>官方网站直销交易系统</w:t>
      </w:r>
      <w:r>
        <w:rPr>
          <w:rFonts w:hint="eastAsia"/>
        </w:rPr>
        <w:t>开通招商银行快捷支付业务并</w:t>
      </w:r>
      <w:r w:rsidR="00235996">
        <w:rPr>
          <w:rFonts w:hint="eastAsia"/>
        </w:rPr>
        <w:t>参与</w:t>
      </w:r>
      <w:r>
        <w:rPr>
          <w:rFonts w:hint="eastAsia"/>
        </w:rPr>
        <w:t>相关费率优惠，详情如下：</w:t>
      </w:r>
    </w:p>
    <w:p w:rsidR="00C53333" w:rsidRPr="00B55C35" w:rsidRDefault="00C53333" w:rsidP="007D27FF">
      <w:pPr>
        <w:spacing w:line="360" w:lineRule="auto"/>
        <w:ind w:firstLineChars="200" w:firstLine="420"/>
      </w:pP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一、适用的投资者范围</w:t>
      </w:r>
    </w:p>
    <w:p w:rsidR="00C53333" w:rsidRDefault="00C53333" w:rsidP="00C53333">
      <w:pPr>
        <w:spacing w:line="360" w:lineRule="auto"/>
        <w:ind w:firstLineChars="200" w:firstLine="420"/>
      </w:pP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在本公司</w:t>
      </w:r>
      <w:r w:rsidR="000E16AE">
        <w:rPr>
          <w:rFonts w:hint="eastAsia"/>
        </w:rPr>
        <w:t>官方网站直销交易系统</w:t>
      </w:r>
      <w:r>
        <w:rPr>
          <w:rFonts w:hint="eastAsia"/>
        </w:rPr>
        <w:t>，通过招商银行快捷支付渠</w:t>
      </w:r>
      <w:bookmarkStart w:id="0" w:name="_GoBack"/>
      <w:bookmarkEnd w:id="0"/>
      <w:r>
        <w:rPr>
          <w:rFonts w:hint="eastAsia"/>
        </w:rPr>
        <w:t>道进行交易的投资者。</w:t>
      </w:r>
    </w:p>
    <w:p w:rsidR="00C53333" w:rsidRDefault="00C53333" w:rsidP="00C53333">
      <w:pPr>
        <w:spacing w:line="360" w:lineRule="auto"/>
        <w:ind w:firstLineChars="200" w:firstLine="420"/>
      </w:pP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二、适用的基金范围</w:t>
      </w:r>
    </w:p>
    <w:p w:rsidR="00C53333" w:rsidRDefault="00C53333" w:rsidP="00C53333">
      <w:pPr>
        <w:spacing w:line="360" w:lineRule="auto"/>
        <w:ind w:firstLineChars="200" w:firstLine="420"/>
      </w:pPr>
    </w:p>
    <w:p w:rsidR="00EC2523" w:rsidRDefault="009034A8" w:rsidP="00C53333">
      <w:pPr>
        <w:spacing w:line="360" w:lineRule="auto"/>
        <w:ind w:firstLineChars="200" w:firstLine="420"/>
      </w:pPr>
      <w:r w:rsidRPr="009034A8">
        <w:rPr>
          <w:rFonts w:hint="eastAsia"/>
        </w:rPr>
        <w:t>我公司管理的基金产品</w:t>
      </w:r>
      <w:r w:rsidR="0088244F">
        <w:rPr>
          <w:rFonts w:hint="eastAsia"/>
        </w:rPr>
        <w:t>（不</w:t>
      </w:r>
      <w:r w:rsidR="00781E25">
        <w:rPr>
          <w:rFonts w:hint="eastAsia"/>
        </w:rPr>
        <w:t>收取</w:t>
      </w:r>
      <w:r w:rsidR="00B8441E">
        <w:rPr>
          <w:rFonts w:hint="eastAsia"/>
        </w:rPr>
        <w:t>认</w:t>
      </w:r>
      <w:r w:rsidR="00B8441E">
        <w:rPr>
          <w:rFonts w:hint="eastAsia"/>
        </w:rPr>
        <w:t>/</w:t>
      </w:r>
      <w:r w:rsidR="00781E25">
        <w:t>申购费的</w:t>
      </w:r>
      <w:r w:rsidR="0088244F">
        <w:rPr>
          <w:rFonts w:hint="eastAsia"/>
        </w:rPr>
        <w:t>C</w:t>
      </w:r>
      <w:r w:rsidR="0088244F">
        <w:rPr>
          <w:rFonts w:hint="eastAsia"/>
        </w:rPr>
        <w:t>类</w:t>
      </w:r>
      <w:r w:rsidR="00781E25">
        <w:rPr>
          <w:rFonts w:hint="eastAsia"/>
        </w:rPr>
        <w:t>基金</w:t>
      </w:r>
      <w:r w:rsidR="00781E25">
        <w:t>份额</w:t>
      </w:r>
      <w:r w:rsidR="0088244F">
        <w:rPr>
          <w:rFonts w:hint="eastAsia"/>
        </w:rPr>
        <w:t>及</w:t>
      </w:r>
      <w:r w:rsidR="00781E25">
        <w:t>货币基金除外</w:t>
      </w:r>
      <w:r w:rsidR="00781E25">
        <w:rPr>
          <w:rFonts w:hint="eastAsia"/>
        </w:rPr>
        <w:t>）</w:t>
      </w:r>
      <w:r w:rsidRPr="009034A8">
        <w:rPr>
          <w:rFonts w:hint="eastAsia"/>
        </w:rPr>
        <w:t>。如有特殊情况，以</w:t>
      </w:r>
      <w:r>
        <w:rPr>
          <w:rFonts w:hint="eastAsia"/>
        </w:rPr>
        <w:t>系统功能</w:t>
      </w:r>
      <w:r>
        <w:t>显示</w:t>
      </w:r>
      <w:r w:rsidRPr="009034A8">
        <w:rPr>
          <w:rFonts w:hint="eastAsia"/>
        </w:rPr>
        <w:t>为准。</w:t>
      </w:r>
    </w:p>
    <w:p w:rsidR="00D85109" w:rsidRDefault="00D85109" w:rsidP="00C53333">
      <w:pPr>
        <w:spacing w:line="360" w:lineRule="auto"/>
        <w:ind w:firstLineChars="200" w:firstLine="420"/>
      </w:pP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三、适用的业务范围</w:t>
      </w:r>
    </w:p>
    <w:p w:rsidR="00C53333" w:rsidRDefault="00C53333" w:rsidP="00C53333">
      <w:pPr>
        <w:spacing w:line="360" w:lineRule="auto"/>
        <w:ind w:firstLineChars="200" w:firstLine="420"/>
      </w:pP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、投资者可使用招商银行快捷支付渠道在本公司</w:t>
      </w:r>
      <w:r w:rsidR="000E16AE">
        <w:rPr>
          <w:rFonts w:hint="eastAsia"/>
        </w:rPr>
        <w:t>官方网站直销交易系统</w:t>
      </w:r>
      <w:r>
        <w:rPr>
          <w:rFonts w:hint="eastAsia"/>
        </w:rPr>
        <w:t>办理上述基金的</w:t>
      </w:r>
      <w:r w:rsidR="00794062">
        <w:rPr>
          <w:rFonts w:hint="eastAsia"/>
        </w:rPr>
        <w:t>场外</w:t>
      </w:r>
      <w:r w:rsidR="0088244F">
        <w:rPr>
          <w:rFonts w:hint="eastAsia"/>
        </w:rPr>
        <w:t>认购</w:t>
      </w:r>
      <w:r w:rsidR="0088244F">
        <w:t>、</w:t>
      </w:r>
      <w:r>
        <w:rPr>
          <w:rFonts w:hint="eastAsia"/>
        </w:rPr>
        <w:t>申购、赎回、定期定额投资（以下简称“定投”）、转换等业务</w:t>
      </w:r>
      <w:r w:rsidR="00794062">
        <w:rPr>
          <w:rFonts w:hint="eastAsia"/>
        </w:rPr>
        <w:t>（定投</w:t>
      </w:r>
      <w:r w:rsidR="00794062">
        <w:t>及转换业务开通情况请以</w:t>
      </w:r>
      <w:r w:rsidR="00794062">
        <w:rPr>
          <w:rFonts w:hint="eastAsia"/>
        </w:rPr>
        <w:t>特定</w:t>
      </w:r>
      <w:r w:rsidR="00794062">
        <w:t>基金相关公告为准</w:t>
      </w:r>
      <w:r w:rsidR="00794062">
        <w:rPr>
          <w:rFonts w:hint="eastAsia"/>
        </w:rPr>
        <w:t>）</w:t>
      </w:r>
      <w:r>
        <w:rPr>
          <w:rFonts w:hint="eastAsia"/>
        </w:rPr>
        <w:t>。</w:t>
      </w: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、投资者通过招商银行快捷支付渠道在本公司</w:t>
      </w:r>
      <w:r w:rsidR="000E16AE">
        <w:rPr>
          <w:rFonts w:hint="eastAsia"/>
        </w:rPr>
        <w:t>官方网站直销交易系统</w:t>
      </w:r>
      <w:r>
        <w:rPr>
          <w:rFonts w:hint="eastAsia"/>
        </w:rPr>
        <w:t>申请办理基金认</w:t>
      </w:r>
      <w:r>
        <w:rPr>
          <w:rFonts w:hint="eastAsia"/>
        </w:rPr>
        <w:t>/</w:t>
      </w:r>
      <w:r>
        <w:rPr>
          <w:rFonts w:hint="eastAsia"/>
        </w:rPr>
        <w:t>申购（含定投）业务时，单笔及单日累计支付</w:t>
      </w:r>
      <w:r w:rsidR="00781E25">
        <w:rPr>
          <w:rFonts w:hint="eastAsia"/>
        </w:rPr>
        <w:t>默认</w:t>
      </w:r>
      <w:r>
        <w:rPr>
          <w:rFonts w:hint="eastAsia"/>
        </w:rPr>
        <w:t>上限均为</w:t>
      </w:r>
      <w:r>
        <w:t>20</w:t>
      </w:r>
      <w:r>
        <w:rPr>
          <w:rFonts w:hint="eastAsia"/>
        </w:rPr>
        <w:t>万元</w:t>
      </w:r>
      <w:r w:rsidR="00794062">
        <w:rPr>
          <w:rFonts w:hint="eastAsia"/>
        </w:rPr>
        <w:t>（含</w:t>
      </w:r>
      <w:r w:rsidR="00794062">
        <w:rPr>
          <w:rFonts w:hint="eastAsia"/>
        </w:rPr>
        <w:t>20</w:t>
      </w:r>
      <w:r w:rsidR="00794062">
        <w:rPr>
          <w:rFonts w:hint="eastAsia"/>
        </w:rPr>
        <w:t>万元</w:t>
      </w:r>
      <w:r w:rsidR="00794062">
        <w:t>，</w:t>
      </w:r>
      <w:r w:rsidR="00794062">
        <w:rPr>
          <w:rFonts w:hint="eastAsia"/>
        </w:rPr>
        <w:t>含</w:t>
      </w:r>
      <w:r w:rsidR="00B8441E">
        <w:rPr>
          <w:rFonts w:hint="eastAsia"/>
        </w:rPr>
        <w:t>认</w:t>
      </w:r>
      <w:r w:rsidR="00B8441E">
        <w:rPr>
          <w:rFonts w:hint="eastAsia"/>
        </w:rPr>
        <w:t>/</w:t>
      </w:r>
      <w:r w:rsidR="00794062">
        <w:rPr>
          <w:rFonts w:hint="eastAsia"/>
        </w:rPr>
        <w:t>申购费）</w:t>
      </w:r>
      <w:r w:rsidR="00781E25">
        <w:rPr>
          <w:rFonts w:hint="eastAsia"/>
        </w:rPr>
        <w:t>，</w:t>
      </w:r>
      <w:r>
        <w:rPr>
          <w:rFonts w:hint="eastAsia"/>
        </w:rPr>
        <w:t>具体金额限制</w:t>
      </w:r>
      <w:r w:rsidR="00781E25">
        <w:rPr>
          <w:rFonts w:hint="eastAsia"/>
        </w:rPr>
        <w:t>规则</w:t>
      </w:r>
      <w:r>
        <w:rPr>
          <w:rFonts w:hint="eastAsia"/>
        </w:rPr>
        <w:t>及限额调整</w:t>
      </w:r>
      <w:r w:rsidR="00781E25">
        <w:rPr>
          <w:rFonts w:hint="eastAsia"/>
        </w:rPr>
        <w:t>事宜</w:t>
      </w:r>
      <w:r>
        <w:rPr>
          <w:rFonts w:hint="eastAsia"/>
        </w:rPr>
        <w:t>请以招商银行快捷支付有关规定为准。</w:t>
      </w:r>
    </w:p>
    <w:p w:rsidR="00C53333" w:rsidRPr="008717BD" w:rsidRDefault="00C53333" w:rsidP="00C53333">
      <w:pPr>
        <w:spacing w:line="360" w:lineRule="auto"/>
        <w:ind w:firstLineChars="200" w:firstLine="420"/>
      </w:pP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四、</w:t>
      </w:r>
      <w:r w:rsidR="0066650C">
        <w:rPr>
          <w:rFonts w:hint="eastAsia"/>
        </w:rPr>
        <w:t>费率优惠</w:t>
      </w:r>
      <w:r w:rsidR="0066650C">
        <w:t>情况</w:t>
      </w:r>
    </w:p>
    <w:p w:rsidR="00C53333" w:rsidRDefault="00C53333" w:rsidP="00C53333">
      <w:pPr>
        <w:spacing w:line="360" w:lineRule="auto"/>
        <w:ind w:firstLineChars="200" w:firstLine="420"/>
      </w:pPr>
    </w:p>
    <w:p w:rsidR="00C53333" w:rsidRDefault="00D85109" w:rsidP="001608E0">
      <w:pPr>
        <w:spacing w:line="360" w:lineRule="auto"/>
        <w:ind w:firstLineChars="200" w:firstLine="420"/>
      </w:pPr>
      <w:r>
        <w:rPr>
          <w:rFonts w:hint="eastAsia"/>
        </w:rPr>
        <w:t>投资者通过招商银行快捷支付渠道申购（含定投）</w:t>
      </w:r>
      <w:r w:rsidR="001608E0">
        <w:rPr>
          <w:rFonts w:hint="eastAsia"/>
        </w:rPr>
        <w:t>我公司</w:t>
      </w:r>
      <w:r w:rsidR="001608E0">
        <w:t>旗下</w:t>
      </w:r>
      <w:r w:rsidR="00781E25">
        <w:rPr>
          <w:rFonts w:hint="eastAsia"/>
        </w:rPr>
        <w:t>已开展</w:t>
      </w:r>
      <w:r w:rsidR="00781E25">
        <w:t>费率优惠活动的</w:t>
      </w:r>
      <w:r w:rsidR="00781E25">
        <w:rPr>
          <w:rFonts w:hint="eastAsia"/>
        </w:rPr>
        <w:t>以下</w:t>
      </w:r>
      <w:r w:rsidR="00781E25">
        <w:t>基金：</w:t>
      </w:r>
      <w:r w:rsidR="001608E0" w:rsidRPr="00D85109">
        <w:rPr>
          <w:rFonts w:hint="eastAsia"/>
        </w:rPr>
        <w:t>九泰天富改革新动力灵活配置混合型证券投资基金（代码：</w:t>
      </w:r>
      <w:r w:rsidR="001608E0" w:rsidRPr="00D85109">
        <w:rPr>
          <w:rFonts w:hint="eastAsia"/>
        </w:rPr>
        <w:t>001305</w:t>
      </w:r>
      <w:r w:rsidR="001608E0" w:rsidRPr="00D85109">
        <w:rPr>
          <w:rFonts w:hint="eastAsia"/>
        </w:rPr>
        <w:t>）、九泰天宝灵</w:t>
      </w:r>
      <w:r w:rsidR="001608E0" w:rsidRPr="00D85109">
        <w:rPr>
          <w:rFonts w:hint="eastAsia"/>
        </w:rPr>
        <w:lastRenderedPageBreak/>
        <w:t>活配置混合型证券投资基金</w:t>
      </w:r>
      <w:r w:rsidR="001608E0" w:rsidRPr="00D85109">
        <w:rPr>
          <w:rFonts w:hint="eastAsia"/>
        </w:rPr>
        <w:t>A</w:t>
      </w:r>
      <w:r w:rsidR="001608E0" w:rsidRPr="00D85109">
        <w:rPr>
          <w:rFonts w:hint="eastAsia"/>
        </w:rPr>
        <w:t>（代码：</w:t>
      </w:r>
      <w:r w:rsidR="001608E0" w:rsidRPr="00D85109">
        <w:rPr>
          <w:rFonts w:hint="eastAsia"/>
        </w:rPr>
        <w:t>000892</w:t>
      </w:r>
      <w:r w:rsidR="001608E0" w:rsidRPr="00D85109">
        <w:rPr>
          <w:rFonts w:hint="eastAsia"/>
        </w:rPr>
        <w:t>）、九泰久盛量化先锋灵活配置混合型证券投资基金</w:t>
      </w:r>
      <w:r w:rsidR="001608E0">
        <w:rPr>
          <w:rFonts w:hint="eastAsia"/>
        </w:rPr>
        <w:t>A</w:t>
      </w:r>
      <w:r w:rsidR="001608E0" w:rsidRPr="00D85109">
        <w:rPr>
          <w:rFonts w:hint="eastAsia"/>
        </w:rPr>
        <w:t>（代码：</w:t>
      </w:r>
      <w:r w:rsidR="001608E0" w:rsidRPr="00D85109">
        <w:rPr>
          <w:rFonts w:hint="eastAsia"/>
        </w:rPr>
        <w:t>001897</w:t>
      </w:r>
      <w:r w:rsidR="001608E0" w:rsidRPr="00D85109">
        <w:rPr>
          <w:rFonts w:hint="eastAsia"/>
        </w:rPr>
        <w:t>）、九泰久稳灵活配置混合型证券投资基金</w:t>
      </w:r>
      <w:r w:rsidR="001608E0" w:rsidRPr="00D85109">
        <w:rPr>
          <w:rFonts w:hint="eastAsia"/>
        </w:rPr>
        <w:t>A</w:t>
      </w:r>
      <w:r w:rsidR="001608E0" w:rsidRPr="00D85109">
        <w:rPr>
          <w:rFonts w:hint="eastAsia"/>
        </w:rPr>
        <w:t>（代码：</w:t>
      </w:r>
      <w:r w:rsidR="001608E0" w:rsidRPr="00D85109">
        <w:rPr>
          <w:rFonts w:hint="eastAsia"/>
        </w:rPr>
        <w:t>002453</w:t>
      </w:r>
      <w:r w:rsidR="001608E0" w:rsidRPr="00D85109">
        <w:rPr>
          <w:rFonts w:hint="eastAsia"/>
        </w:rPr>
        <w:t>）</w:t>
      </w:r>
      <w:r w:rsidR="001608E0">
        <w:rPr>
          <w:rFonts w:hint="eastAsia"/>
        </w:rPr>
        <w:t>、</w:t>
      </w:r>
      <w:r w:rsidR="001608E0" w:rsidRPr="00D85109">
        <w:rPr>
          <w:rFonts w:hint="eastAsia"/>
        </w:rPr>
        <w:t>九泰锐丰灵活配置混合型证券投资基金（</w:t>
      </w:r>
      <w:r w:rsidR="001608E0" w:rsidRPr="00D85109">
        <w:rPr>
          <w:rFonts w:hint="eastAsia"/>
        </w:rPr>
        <w:t>LOF</w:t>
      </w:r>
      <w:r w:rsidR="001608E0" w:rsidRPr="00D85109">
        <w:rPr>
          <w:rFonts w:hint="eastAsia"/>
        </w:rPr>
        <w:t>）</w:t>
      </w:r>
      <w:r w:rsidR="001608E0">
        <w:rPr>
          <w:rFonts w:hint="eastAsia"/>
        </w:rPr>
        <w:t>（</w:t>
      </w:r>
      <w:r w:rsidR="001608E0" w:rsidRPr="00D85109">
        <w:rPr>
          <w:rFonts w:hint="eastAsia"/>
        </w:rPr>
        <w:t>代码：</w:t>
      </w:r>
      <w:r w:rsidR="001608E0" w:rsidRPr="00D85109">
        <w:rPr>
          <w:rFonts w:hint="eastAsia"/>
        </w:rPr>
        <w:t>168104</w:t>
      </w:r>
      <w:r w:rsidR="001608E0">
        <w:rPr>
          <w:rFonts w:hint="eastAsia"/>
        </w:rPr>
        <w:t>）、</w:t>
      </w:r>
      <w:r w:rsidR="001608E0" w:rsidRPr="00D85109">
        <w:rPr>
          <w:rFonts w:hint="eastAsia"/>
        </w:rPr>
        <w:t>九泰锐诚灵活配置混合型证券投资基金（</w:t>
      </w:r>
      <w:r w:rsidR="001608E0" w:rsidRPr="00D85109">
        <w:rPr>
          <w:rFonts w:hint="eastAsia"/>
        </w:rPr>
        <w:t>LOF</w:t>
      </w:r>
      <w:r w:rsidR="001608E0" w:rsidRPr="00D85109">
        <w:rPr>
          <w:rFonts w:hint="eastAsia"/>
        </w:rPr>
        <w:t>）</w:t>
      </w:r>
      <w:r w:rsidR="001608E0">
        <w:rPr>
          <w:rFonts w:hint="eastAsia"/>
        </w:rPr>
        <w:t>（</w:t>
      </w:r>
      <w:r w:rsidR="001608E0" w:rsidRPr="00D85109">
        <w:rPr>
          <w:rFonts w:hint="eastAsia"/>
        </w:rPr>
        <w:t>代码：</w:t>
      </w:r>
      <w:r w:rsidR="001608E0" w:rsidRPr="00D85109">
        <w:rPr>
          <w:rFonts w:hint="eastAsia"/>
        </w:rPr>
        <w:t>168108</w:t>
      </w:r>
      <w:r w:rsidR="001608E0">
        <w:rPr>
          <w:rFonts w:hint="eastAsia"/>
        </w:rPr>
        <w:t>）</w:t>
      </w:r>
      <w:r w:rsidR="00EC2523">
        <w:rPr>
          <w:rFonts w:hint="eastAsia"/>
        </w:rPr>
        <w:t>、</w:t>
      </w:r>
      <w:r w:rsidR="00EC2523" w:rsidRPr="00EC2523">
        <w:rPr>
          <w:rFonts w:hint="eastAsia"/>
        </w:rPr>
        <w:t>九泰盈华量化灵活配置混合型证券投资基金</w:t>
      </w:r>
      <w:r w:rsidR="00EC2523">
        <w:rPr>
          <w:rFonts w:hint="eastAsia"/>
        </w:rPr>
        <w:t>（</w:t>
      </w:r>
      <w:r w:rsidR="00EC2523">
        <w:rPr>
          <w:rFonts w:hint="eastAsia"/>
        </w:rPr>
        <w:t>LOF</w:t>
      </w:r>
      <w:r w:rsidR="00EC2523">
        <w:rPr>
          <w:rFonts w:hint="eastAsia"/>
        </w:rPr>
        <w:t>）</w:t>
      </w:r>
      <w:r w:rsidR="001608E0" w:rsidRPr="00D85109">
        <w:rPr>
          <w:rFonts w:hint="eastAsia"/>
        </w:rPr>
        <w:t>A</w:t>
      </w:r>
      <w:r w:rsidR="001608E0">
        <w:rPr>
          <w:rFonts w:hint="eastAsia"/>
        </w:rPr>
        <w:t>（</w:t>
      </w:r>
      <w:r w:rsidR="001608E0" w:rsidRPr="00D85109">
        <w:rPr>
          <w:rFonts w:hint="eastAsia"/>
        </w:rPr>
        <w:t>代码：</w:t>
      </w:r>
      <w:r w:rsidR="001608E0" w:rsidRPr="00D85109">
        <w:rPr>
          <w:rFonts w:hint="eastAsia"/>
        </w:rPr>
        <w:t>168106</w:t>
      </w:r>
      <w:r w:rsidR="001608E0">
        <w:rPr>
          <w:rFonts w:hint="eastAsia"/>
        </w:rPr>
        <w:t>）</w:t>
      </w:r>
      <w:r w:rsidR="00EC2523">
        <w:rPr>
          <w:rFonts w:hint="eastAsia"/>
        </w:rPr>
        <w:t>、</w:t>
      </w:r>
      <w:r w:rsidR="001608E0" w:rsidRPr="001608E0">
        <w:rPr>
          <w:rFonts w:hint="eastAsia"/>
        </w:rPr>
        <w:t>九泰久益灵活配置混合型证券投资基金</w:t>
      </w:r>
      <w:r w:rsidR="001608E0" w:rsidRPr="001608E0">
        <w:rPr>
          <w:rFonts w:hint="eastAsia"/>
        </w:rPr>
        <w:t>A</w:t>
      </w:r>
      <w:r w:rsidR="001608E0">
        <w:rPr>
          <w:rFonts w:hint="eastAsia"/>
        </w:rPr>
        <w:t>（代码</w:t>
      </w:r>
      <w:r w:rsidR="001608E0">
        <w:t>：</w:t>
      </w:r>
      <w:r w:rsidR="001608E0" w:rsidRPr="002E09E4">
        <w:rPr>
          <w:szCs w:val="21"/>
        </w:rPr>
        <w:t>001782</w:t>
      </w:r>
      <w:r w:rsidR="001608E0">
        <w:t>）</w:t>
      </w:r>
      <w:r>
        <w:rPr>
          <w:rFonts w:hint="eastAsia"/>
        </w:rPr>
        <w:t>，享受原</w:t>
      </w:r>
      <w:r w:rsidR="00C53333">
        <w:rPr>
          <w:rFonts w:hint="eastAsia"/>
        </w:rPr>
        <w:t>申购费率</w:t>
      </w:r>
      <w:r w:rsidR="00C53333">
        <w:rPr>
          <w:rFonts w:hint="eastAsia"/>
        </w:rPr>
        <w:t>4</w:t>
      </w:r>
      <w:r w:rsidR="00C53333">
        <w:rPr>
          <w:rFonts w:hint="eastAsia"/>
        </w:rPr>
        <w:t>折优惠，但最低优惠至</w:t>
      </w:r>
      <w:r w:rsidR="00C53333">
        <w:rPr>
          <w:rFonts w:hint="eastAsia"/>
        </w:rPr>
        <w:t>0.6%</w:t>
      </w:r>
      <w:r w:rsidR="00C53333">
        <w:rPr>
          <w:rFonts w:hint="eastAsia"/>
        </w:rPr>
        <w:t>；原申购费率等于或低于</w:t>
      </w:r>
      <w:r w:rsidR="00C53333">
        <w:rPr>
          <w:rFonts w:hint="eastAsia"/>
        </w:rPr>
        <w:t>0.6%</w:t>
      </w:r>
      <w:r w:rsidR="00BC3D77">
        <w:rPr>
          <w:rFonts w:hint="eastAsia"/>
        </w:rPr>
        <w:t>的或为固定费用的，不享受优惠，按原费率</w:t>
      </w:r>
      <w:r w:rsidR="00C53333">
        <w:rPr>
          <w:rFonts w:hint="eastAsia"/>
        </w:rPr>
        <w:t>执行</w:t>
      </w:r>
      <w:r w:rsidR="00781E25">
        <w:rPr>
          <w:rFonts w:hint="eastAsia"/>
        </w:rPr>
        <w:t>。</w:t>
      </w:r>
      <w:r w:rsidR="00781E25">
        <w:t>特定基金费率</w:t>
      </w:r>
      <w:r w:rsidR="00781E25">
        <w:rPr>
          <w:rFonts w:hint="eastAsia"/>
        </w:rPr>
        <w:t>优惠方式</w:t>
      </w:r>
      <w:r w:rsidR="00781E25">
        <w:t>与本公告</w:t>
      </w:r>
      <w:r w:rsidR="00781E25">
        <w:rPr>
          <w:rFonts w:hint="eastAsia"/>
        </w:rPr>
        <w:t>不一致</w:t>
      </w:r>
      <w:r w:rsidR="00781E25">
        <w:t>的，以该基金费率优惠公告内容为准</w:t>
      </w:r>
      <w:r w:rsidR="00C53333">
        <w:rPr>
          <w:rFonts w:hint="eastAsia"/>
        </w:rPr>
        <w:t>。</w:t>
      </w:r>
    </w:p>
    <w:p w:rsidR="00F44526" w:rsidRDefault="00F44526" w:rsidP="00C53333">
      <w:pPr>
        <w:spacing w:line="360" w:lineRule="auto"/>
        <w:ind w:firstLineChars="200" w:firstLine="420"/>
      </w:pP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五、重要提示</w:t>
      </w:r>
    </w:p>
    <w:p w:rsidR="00C53333" w:rsidRDefault="00C53333" w:rsidP="00C53333">
      <w:pPr>
        <w:spacing w:line="360" w:lineRule="auto"/>
        <w:ind w:firstLineChars="200" w:firstLine="420"/>
      </w:pPr>
    </w:p>
    <w:p w:rsidR="00C53333" w:rsidRDefault="00AC28AA" w:rsidP="00BC3D77">
      <w:pPr>
        <w:spacing w:line="360" w:lineRule="auto"/>
        <w:ind w:firstLineChars="200" w:firstLine="420"/>
      </w:pPr>
      <w:r>
        <w:t>1</w:t>
      </w:r>
      <w:r w:rsidR="00D85109">
        <w:rPr>
          <w:rFonts w:hint="eastAsia"/>
        </w:rPr>
        <w:t>、各基金原</w:t>
      </w:r>
      <w:r w:rsidR="00C53333">
        <w:rPr>
          <w:rFonts w:hint="eastAsia"/>
        </w:rPr>
        <w:t>申购费率（用）请详见《基金合同》、《招募说明书》等法律文件，以及本公司发布的最新业务公告。</w:t>
      </w:r>
    </w:p>
    <w:p w:rsidR="00C53333" w:rsidRDefault="00AC28AA" w:rsidP="00C53333">
      <w:pPr>
        <w:spacing w:line="360" w:lineRule="auto"/>
        <w:ind w:firstLineChars="200" w:firstLine="420"/>
      </w:pPr>
      <w:r>
        <w:t>2</w:t>
      </w:r>
      <w:r w:rsidR="00C53333">
        <w:rPr>
          <w:rFonts w:hint="eastAsia"/>
        </w:rPr>
        <w:t>、若上述优惠活动方案发生变化，以及优惠活动结束的具体时间，本公司将另行公告。</w:t>
      </w:r>
    </w:p>
    <w:p w:rsidR="00C53333" w:rsidRDefault="00C53333" w:rsidP="00C53333">
      <w:pPr>
        <w:spacing w:line="360" w:lineRule="auto"/>
        <w:ind w:firstLineChars="200" w:firstLine="420"/>
      </w:pPr>
    </w:p>
    <w:p w:rsidR="00C53333" w:rsidRDefault="00C53333" w:rsidP="00BC3D77">
      <w:pPr>
        <w:spacing w:line="360" w:lineRule="auto"/>
        <w:ind w:firstLineChars="200" w:firstLine="420"/>
      </w:pPr>
      <w:r>
        <w:rPr>
          <w:rFonts w:hint="eastAsia"/>
        </w:rPr>
        <w:t>投资者可以通过以下途径咨询有关情况：</w:t>
      </w:r>
    </w:p>
    <w:p w:rsidR="00C53333" w:rsidRDefault="00C53333" w:rsidP="00BC3D77">
      <w:pPr>
        <w:spacing w:line="360" w:lineRule="auto"/>
        <w:ind w:firstLineChars="200" w:firstLine="420"/>
      </w:pPr>
      <w:r>
        <w:rPr>
          <w:rFonts w:hint="eastAsia"/>
        </w:rPr>
        <w:t>九泰基金管理有限公司</w:t>
      </w:r>
    </w:p>
    <w:p w:rsidR="00C53333" w:rsidRDefault="00C53333" w:rsidP="00BC3D77">
      <w:pPr>
        <w:spacing w:line="360" w:lineRule="auto"/>
        <w:ind w:firstLineChars="200" w:firstLine="420"/>
      </w:pPr>
      <w:r>
        <w:rPr>
          <w:rFonts w:hint="eastAsia"/>
        </w:rPr>
        <w:t>客服热线：</w:t>
      </w:r>
      <w:r w:rsidR="00BC3D77">
        <w:t>400-628-0606</w:t>
      </w:r>
    </w:p>
    <w:p w:rsidR="00C53333" w:rsidRDefault="00C53333" w:rsidP="00C53333">
      <w:pPr>
        <w:spacing w:line="360" w:lineRule="auto"/>
        <w:ind w:firstLineChars="200" w:firstLine="420"/>
      </w:pPr>
      <w:r>
        <w:rPr>
          <w:rFonts w:hint="eastAsia"/>
        </w:rPr>
        <w:t>网站：</w:t>
      </w:r>
      <w:r>
        <w:rPr>
          <w:rFonts w:hint="eastAsia"/>
        </w:rPr>
        <w:t>www.</w:t>
      </w:r>
      <w:r w:rsidR="00BC3D77">
        <w:t>jtamc</w:t>
      </w:r>
      <w:r w:rsidR="00BC3D77">
        <w:rPr>
          <w:rFonts w:hint="eastAsia"/>
        </w:rPr>
        <w:t>.com</w:t>
      </w:r>
    </w:p>
    <w:p w:rsidR="00C53333" w:rsidRDefault="00C53333" w:rsidP="00C53333">
      <w:pPr>
        <w:spacing w:line="360" w:lineRule="auto"/>
        <w:ind w:firstLineChars="200" w:firstLine="420"/>
      </w:pPr>
    </w:p>
    <w:p w:rsidR="00BC3D77" w:rsidRDefault="00BC3D77" w:rsidP="00BC3D77">
      <w:pPr>
        <w:spacing w:line="360" w:lineRule="auto"/>
        <w:ind w:firstLineChars="200" w:firstLine="420"/>
      </w:pPr>
      <w:r>
        <w:rPr>
          <w:rFonts w:hint="eastAsia"/>
        </w:rPr>
        <w:t>风险提示</w:t>
      </w:r>
    </w:p>
    <w:p w:rsidR="00BC3D77" w:rsidRDefault="00BC3D77" w:rsidP="00BC3D77">
      <w:pPr>
        <w:spacing w:line="360" w:lineRule="auto"/>
        <w:ind w:firstLineChars="200" w:firstLine="420"/>
      </w:pPr>
      <w:r>
        <w:rPr>
          <w:rFonts w:hint="eastAsia"/>
        </w:rPr>
        <w:t>投资者申请使用我公司电子直销平台业务前，应认真阅读有关电子直销平台交易协议、相关规则，了解电子直销平台的固有风险。投资者应慎重选择，并在使用时妥善保管好电子直销平台信息，特别是相关账号和密码。</w:t>
      </w:r>
    </w:p>
    <w:p w:rsidR="00BC3D77" w:rsidRDefault="00794062" w:rsidP="00BC3D77">
      <w:pPr>
        <w:spacing w:line="360" w:lineRule="auto"/>
        <w:ind w:firstLineChars="200" w:firstLine="420"/>
      </w:pPr>
      <w:r w:rsidRPr="00794062">
        <w:rPr>
          <w:rFonts w:hint="eastAsia"/>
        </w:rPr>
        <w:t>本公司承诺以诚实信用、勤勉尽责的原则管理和运用基金资产，但不保证基金一定盈利，也不保证最低收益。基金的过往业绩及其净值高低并不预示其未来业绩表现。投资有风险，敬请投资者在投资基金前认真阅读基金合同、招募说明书等法律文件，了解基金的风险收益特征，并根据自身的风险承受能力选择适合自己的基金产品，敬请投资者在购买基金前认真考虑、谨慎决策。</w:t>
      </w:r>
    </w:p>
    <w:p w:rsidR="00C53333" w:rsidRDefault="00BC3D77" w:rsidP="00BC3D77">
      <w:pPr>
        <w:spacing w:line="360" w:lineRule="auto"/>
        <w:ind w:firstLineChars="200" w:firstLine="420"/>
      </w:pPr>
      <w:r>
        <w:rPr>
          <w:rFonts w:hint="eastAsia"/>
        </w:rPr>
        <w:t>特此公告。</w:t>
      </w:r>
    </w:p>
    <w:p w:rsidR="00C53333" w:rsidRDefault="00C53333" w:rsidP="00C53333">
      <w:pPr>
        <w:spacing w:line="360" w:lineRule="auto"/>
        <w:ind w:firstLineChars="200" w:firstLine="420"/>
      </w:pPr>
      <w:r>
        <w:t xml:space="preserve"> </w:t>
      </w:r>
    </w:p>
    <w:p w:rsidR="00C53333" w:rsidRDefault="00C53333" w:rsidP="00C53333">
      <w:pPr>
        <w:spacing w:line="360" w:lineRule="auto"/>
        <w:ind w:firstLineChars="200" w:firstLine="420"/>
      </w:pPr>
    </w:p>
    <w:p w:rsidR="00C53333" w:rsidRDefault="00C53333" w:rsidP="00BC3D77">
      <w:pPr>
        <w:spacing w:line="360" w:lineRule="auto"/>
        <w:ind w:firstLineChars="200" w:firstLine="42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九泰基金管理有限公司</w:t>
      </w:r>
    </w:p>
    <w:p w:rsidR="00BB056D" w:rsidRDefault="00CC12CA" w:rsidP="00BC3D77">
      <w:pPr>
        <w:spacing w:line="360" w:lineRule="auto"/>
        <w:ind w:firstLineChars="200" w:firstLine="420"/>
        <w:jc w:val="right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 w:rsidR="00F935EF">
        <w:rPr>
          <w:rFonts w:hint="eastAsia"/>
        </w:rPr>
        <w:t>7</w:t>
      </w:r>
      <w:r w:rsidR="00C53333">
        <w:rPr>
          <w:rFonts w:hint="eastAsia"/>
        </w:rPr>
        <w:t>月</w:t>
      </w:r>
      <w:r w:rsidR="00F935EF">
        <w:rPr>
          <w:rFonts w:hint="eastAsia"/>
        </w:rPr>
        <w:t>29</w:t>
      </w:r>
      <w:r w:rsidR="00C53333">
        <w:rPr>
          <w:rFonts w:hint="eastAsia"/>
        </w:rPr>
        <w:t>日</w:t>
      </w:r>
    </w:p>
    <w:sectPr w:rsidR="00BB056D" w:rsidSect="004C7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E1" w:rsidRDefault="004D5DE1" w:rsidP="00B26545">
      <w:r>
        <w:separator/>
      </w:r>
    </w:p>
  </w:endnote>
  <w:endnote w:type="continuationSeparator" w:id="0">
    <w:p w:rsidR="004D5DE1" w:rsidRDefault="004D5DE1" w:rsidP="00B2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E1" w:rsidRDefault="004D5DE1" w:rsidP="00B26545">
      <w:r>
        <w:separator/>
      </w:r>
    </w:p>
  </w:footnote>
  <w:footnote w:type="continuationSeparator" w:id="0">
    <w:p w:rsidR="004D5DE1" w:rsidRDefault="004D5DE1" w:rsidP="00B2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FD5"/>
    <w:multiLevelType w:val="hybridMultilevel"/>
    <w:tmpl w:val="7E3425C4"/>
    <w:lvl w:ilvl="0" w:tplc="3A7AE728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7A85243F"/>
    <w:multiLevelType w:val="hybridMultilevel"/>
    <w:tmpl w:val="AD10EE76"/>
    <w:lvl w:ilvl="0" w:tplc="17BA9B2E">
      <w:start w:val="1"/>
      <w:numFmt w:val="japaneseCounting"/>
      <w:lvlText w:val="%1、"/>
      <w:lvlJc w:val="left"/>
      <w:pPr>
        <w:ind w:left="840" w:hanging="420"/>
      </w:pPr>
      <w:rPr>
        <w:rFonts w:ascii="inherit" w:eastAsia="宋体" w:hAnsi="inherit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A9C"/>
    <w:rsid w:val="000037AD"/>
    <w:rsid w:val="000060D6"/>
    <w:rsid w:val="00010848"/>
    <w:rsid w:val="00023B18"/>
    <w:rsid w:val="0003089B"/>
    <w:rsid w:val="00043CB7"/>
    <w:rsid w:val="00047037"/>
    <w:rsid w:val="00047E7E"/>
    <w:rsid w:val="00057A6B"/>
    <w:rsid w:val="000944B3"/>
    <w:rsid w:val="000A2B13"/>
    <w:rsid w:val="000B6D72"/>
    <w:rsid w:val="000C5AF6"/>
    <w:rsid w:val="000D3C78"/>
    <w:rsid w:val="000D6BA5"/>
    <w:rsid w:val="000E16AE"/>
    <w:rsid w:val="000E35D7"/>
    <w:rsid w:val="000E4143"/>
    <w:rsid w:val="000E5F07"/>
    <w:rsid w:val="001000FC"/>
    <w:rsid w:val="00102F93"/>
    <w:rsid w:val="0010719E"/>
    <w:rsid w:val="0012269A"/>
    <w:rsid w:val="00137DD1"/>
    <w:rsid w:val="00151616"/>
    <w:rsid w:val="001608E0"/>
    <w:rsid w:val="00170F50"/>
    <w:rsid w:val="001C38E0"/>
    <w:rsid w:val="001D210B"/>
    <w:rsid w:val="001E3293"/>
    <w:rsid w:val="001E3CE0"/>
    <w:rsid w:val="002112BA"/>
    <w:rsid w:val="00211477"/>
    <w:rsid w:val="00235996"/>
    <w:rsid w:val="00240844"/>
    <w:rsid w:val="00240E14"/>
    <w:rsid w:val="002479A2"/>
    <w:rsid w:val="00261B12"/>
    <w:rsid w:val="0026465C"/>
    <w:rsid w:val="0026524D"/>
    <w:rsid w:val="002770F0"/>
    <w:rsid w:val="00290751"/>
    <w:rsid w:val="0029735D"/>
    <w:rsid w:val="002E1353"/>
    <w:rsid w:val="002F23A0"/>
    <w:rsid w:val="00301066"/>
    <w:rsid w:val="003166F4"/>
    <w:rsid w:val="003251E1"/>
    <w:rsid w:val="003408E9"/>
    <w:rsid w:val="00342531"/>
    <w:rsid w:val="00350968"/>
    <w:rsid w:val="00393A23"/>
    <w:rsid w:val="003B0436"/>
    <w:rsid w:val="003B34E4"/>
    <w:rsid w:val="003C1099"/>
    <w:rsid w:val="003C14AA"/>
    <w:rsid w:val="003C77E7"/>
    <w:rsid w:val="004079CA"/>
    <w:rsid w:val="004149B7"/>
    <w:rsid w:val="00415C0C"/>
    <w:rsid w:val="00433DA8"/>
    <w:rsid w:val="00453406"/>
    <w:rsid w:val="004563B7"/>
    <w:rsid w:val="00466C91"/>
    <w:rsid w:val="0047168A"/>
    <w:rsid w:val="004819C5"/>
    <w:rsid w:val="0049572B"/>
    <w:rsid w:val="004968E4"/>
    <w:rsid w:val="0049734D"/>
    <w:rsid w:val="004C714B"/>
    <w:rsid w:val="004D5DE1"/>
    <w:rsid w:val="004E19C4"/>
    <w:rsid w:val="004F0B56"/>
    <w:rsid w:val="005002D6"/>
    <w:rsid w:val="0050336C"/>
    <w:rsid w:val="00503691"/>
    <w:rsid w:val="00507C4F"/>
    <w:rsid w:val="0051274A"/>
    <w:rsid w:val="005136C8"/>
    <w:rsid w:val="00514D06"/>
    <w:rsid w:val="00532278"/>
    <w:rsid w:val="0053717A"/>
    <w:rsid w:val="005441E8"/>
    <w:rsid w:val="00552196"/>
    <w:rsid w:val="0055407E"/>
    <w:rsid w:val="00554335"/>
    <w:rsid w:val="00556746"/>
    <w:rsid w:val="00560B78"/>
    <w:rsid w:val="00562B5B"/>
    <w:rsid w:val="00575D8B"/>
    <w:rsid w:val="00577FFE"/>
    <w:rsid w:val="005A1574"/>
    <w:rsid w:val="005B152A"/>
    <w:rsid w:val="005E3E03"/>
    <w:rsid w:val="005E48BC"/>
    <w:rsid w:val="005F6F21"/>
    <w:rsid w:val="0060273B"/>
    <w:rsid w:val="00631E3C"/>
    <w:rsid w:val="0064297E"/>
    <w:rsid w:val="00655CE3"/>
    <w:rsid w:val="0066650C"/>
    <w:rsid w:val="006763EE"/>
    <w:rsid w:val="006B1D70"/>
    <w:rsid w:val="006D6449"/>
    <w:rsid w:val="00724E06"/>
    <w:rsid w:val="0073394E"/>
    <w:rsid w:val="00744F66"/>
    <w:rsid w:val="00751867"/>
    <w:rsid w:val="007630BE"/>
    <w:rsid w:val="00781E25"/>
    <w:rsid w:val="00783221"/>
    <w:rsid w:val="0079027B"/>
    <w:rsid w:val="00794062"/>
    <w:rsid w:val="007A20A6"/>
    <w:rsid w:val="007B0FF7"/>
    <w:rsid w:val="007B3E93"/>
    <w:rsid w:val="007C4651"/>
    <w:rsid w:val="007D16EB"/>
    <w:rsid w:val="007D27FF"/>
    <w:rsid w:val="0080721D"/>
    <w:rsid w:val="008525B1"/>
    <w:rsid w:val="00867161"/>
    <w:rsid w:val="008717BD"/>
    <w:rsid w:val="0088244F"/>
    <w:rsid w:val="008B0BF3"/>
    <w:rsid w:val="008C178D"/>
    <w:rsid w:val="008C2509"/>
    <w:rsid w:val="008D5A9C"/>
    <w:rsid w:val="008E1AFE"/>
    <w:rsid w:val="009006B2"/>
    <w:rsid w:val="009034A8"/>
    <w:rsid w:val="00906CD7"/>
    <w:rsid w:val="00916DFD"/>
    <w:rsid w:val="00917796"/>
    <w:rsid w:val="00923581"/>
    <w:rsid w:val="009505A1"/>
    <w:rsid w:val="00971924"/>
    <w:rsid w:val="009749A1"/>
    <w:rsid w:val="00986B8C"/>
    <w:rsid w:val="009A02C1"/>
    <w:rsid w:val="009E4A6A"/>
    <w:rsid w:val="009F13B7"/>
    <w:rsid w:val="00A06AAB"/>
    <w:rsid w:val="00A41D47"/>
    <w:rsid w:val="00A67BBD"/>
    <w:rsid w:val="00A9476C"/>
    <w:rsid w:val="00AA16F3"/>
    <w:rsid w:val="00AC1BEE"/>
    <w:rsid w:val="00AC28AA"/>
    <w:rsid w:val="00B26545"/>
    <w:rsid w:val="00B41CC6"/>
    <w:rsid w:val="00B42C67"/>
    <w:rsid w:val="00B55C35"/>
    <w:rsid w:val="00B56C90"/>
    <w:rsid w:val="00B8441E"/>
    <w:rsid w:val="00B93E4D"/>
    <w:rsid w:val="00B9451E"/>
    <w:rsid w:val="00BA67A2"/>
    <w:rsid w:val="00BB056D"/>
    <w:rsid w:val="00BC2309"/>
    <w:rsid w:val="00BC3D77"/>
    <w:rsid w:val="00BD75AF"/>
    <w:rsid w:val="00BD76A8"/>
    <w:rsid w:val="00BF5EB2"/>
    <w:rsid w:val="00C0674F"/>
    <w:rsid w:val="00C41522"/>
    <w:rsid w:val="00C53333"/>
    <w:rsid w:val="00C93011"/>
    <w:rsid w:val="00C96BD4"/>
    <w:rsid w:val="00CA6CA0"/>
    <w:rsid w:val="00CA6EE2"/>
    <w:rsid w:val="00CB41DF"/>
    <w:rsid w:val="00CB77C6"/>
    <w:rsid w:val="00CC12CA"/>
    <w:rsid w:val="00CC434A"/>
    <w:rsid w:val="00D0652D"/>
    <w:rsid w:val="00D2323B"/>
    <w:rsid w:val="00D27105"/>
    <w:rsid w:val="00D46E95"/>
    <w:rsid w:val="00D57CCD"/>
    <w:rsid w:val="00D63BEA"/>
    <w:rsid w:val="00D85109"/>
    <w:rsid w:val="00DA168D"/>
    <w:rsid w:val="00DA3DCC"/>
    <w:rsid w:val="00DB1362"/>
    <w:rsid w:val="00DD0C7A"/>
    <w:rsid w:val="00DF3553"/>
    <w:rsid w:val="00DF3867"/>
    <w:rsid w:val="00DF6B72"/>
    <w:rsid w:val="00E0385A"/>
    <w:rsid w:val="00E15FCF"/>
    <w:rsid w:val="00E308ED"/>
    <w:rsid w:val="00E3732B"/>
    <w:rsid w:val="00E47749"/>
    <w:rsid w:val="00E47AF4"/>
    <w:rsid w:val="00E74B68"/>
    <w:rsid w:val="00E7798D"/>
    <w:rsid w:val="00E81094"/>
    <w:rsid w:val="00E85075"/>
    <w:rsid w:val="00E9277F"/>
    <w:rsid w:val="00EA5449"/>
    <w:rsid w:val="00EC2523"/>
    <w:rsid w:val="00ED5CEA"/>
    <w:rsid w:val="00ED748F"/>
    <w:rsid w:val="00EE554D"/>
    <w:rsid w:val="00F24AB7"/>
    <w:rsid w:val="00F44526"/>
    <w:rsid w:val="00F725A0"/>
    <w:rsid w:val="00F83ABB"/>
    <w:rsid w:val="00F935EF"/>
    <w:rsid w:val="00FA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D6449"/>
    <w:rPr>
      <w:strike w:val="0"/>
      <w:dstrike w:val="0"/>
      <w:color w:val="F35C11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D64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B26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2654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26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2654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12CA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C12CA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CC12C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C12C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C12C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C12C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C1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ta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4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方蕾</dc:creator>
  <cp:keywords/>
  <dc:description/>
  <cp:lastModifiedBy>ZHONGM</cp:lastModifiedBy>
  <cp:revision>2</cp:revision>
  <cp:lastPrinted>2020-07-28T06:59:00Z</cp:lastPrinted>
  <dcterms:created xsi:type="dcterms:W3CDTF">2020-07-28T16:00:00Z</dcterms:created>
  <dcterms:modified xsi:type="dcterms:W3CDTF">2020-07-28T16:00:00Z</dcterms:modified>
</cp:coreProperties>
</file>