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AE" w:rsidRDefault="00A6686E">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CC32AE" w:rsidRDefault="00A6686E">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CC32AE" w:rsidRDefault="00A6686E" w:rsidP="00A6686E">
      <w:pPr>
        <w:spacing w:beforeLines="100" w:afterLines="100"/>
        <w:ind w:firstLineChars="200" w:firstLine="480"/>
        <w:rPr>
          <w:rFonts w:ascii="Times New Roman" w:eastAsia="楷体_GB2312" w:hAnsi="Times New Roman" w:cs="Times New Roman"/>
          <w:sz w:val="24"/>
          <w:szCs w:val="24"/>
          <w:highlight w:val="yellow"/>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北京赛科希德科技股份有限公司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“赛科希德”</w:t>
      </w:r>
      <w:r>
        <w:rPr>
          <w:rFonts w:ascii="Times New Roman" w:eastAsia="楷体_GB2312" w:hAnsi="Times New Roman" w:cs="Times New Roman"/>
          <w:sz w:val="24"/>
          <w:szCs w:val="24"/>
        </w:rPr>
        <w:t>）首次公开发行股票并在科创板上市（</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）的网下申购，本公司股东中国国际金融股份有限公司为本次发行的主承销商。本次发行价格为</w:t>
      </w:r>
      <w:r>
        <w:rPr>
          <w:rFonts w:ascii="Times New Roman" w:eastAsia="楷体_GB2312" w:hAnsi="Times New Roman" w:cs="Times New Roman" w:hint="eastAsia"/>
          <w:sz w:val="24"/>
          <w:szCs w:val="24"/>
        </w:rPr>
        <w:t>50.35</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，由发行人和主承销商</w:t>
      </w:r>
      <w:r>
        <w:rPr>
          <w:rFonts w:ascii="Times New Roman" w:eastAsia="楷体_GB2312" w:hAnsi="Times New Roman" w:cs="Times New Roman" w:hint="eastAsia"/>
          <w:sz w:val="24"/>
          <w:szCs w:val="24"/>
        </w:rPr>
        <w:t>根据初步询价结果，综合考虑发行人基本面、市场情况、同行业上市公司估值水平、募集资金需求及承销风险等因素</w:t>
      </w:r>
      <w:r>
        <w:rPr>
          <w:rFonts w:ascii="Times New Roman" w:eastAsia="楷体_GB2312" w:hAnsi="Times New Roman" w:cs="Times New Roman"/>
          <w:sz w:val="24"/>
          <w:szCs w:val="24"/>
        </w:rPr>
        <w:t>后协商确定。</w:t>
      </w:r>
    </w:p>
    <w:p w:rsidR="00CC32AE" w:rsidRDefault="00A6686E" w:rsidP="00A6686E">
      <w:pPr>
        <w:spacing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及赛科希德于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7</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27</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北京赛科希德科技股份有限公司首次公开发行股票并在科创板上市网下初步配售结果及网上中签结果公告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0" w:type="auto"/>
        <w:jc w:val="center"/>
        <w:tblLook w:val="04A0"/>
      </w:tblPr>
      <w:tblGrid>
        <w:gridCol w:w="5131"/>
        <w:gridCol w:w="948"/>
        <w:gridCol w:w="1311"/>
        <w:gridCol w:w="1132"/>
      </w:tblGrid>
      <w:tr w:rsidR="00CC32AE">
        <w:trPr>
          <w:jc w:val="center"/>
        </w:trPr>
        <w:tc>
          <w:tcPr>
            <w:tcW w:w="5131" w:type="dxa"/>
            <w:shd w:val="clear" w:color="auto" w:fill="D9D9D9" w:themeFill="background1" w:themeFillShade="D9"/>
            <w:vAlign w:val="center"/>
          </w:tcPr>
          <w:p w:rsidR="00CC32AE" w:rsidRDefault="00A6686E">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948" w:type="dxa"/>
            <w:shd w:val="clear" w:color="auto" w:fill="D9D9D9" w:themeFill="background1" w:themeFillShade="D9"/>
            <w:vAlign w:val="center"/>
          </w:tcPr>
          <w:p w:rsidR="00CC32AE" w:rsidRDefault="00A6686E">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1311" w:type="dxa"/>
            <w:shd w:val="clear" w:color="auto" w:fill="D9D9D9" w:themeFill="background1" w:themeFillShade="D9"/>
            <w:vAlign w:val="center"/>
          </w:tcPr>
          <w:p w:rsidR="00CC32AE" w:rsidRDefault="00A6686E">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获配金额（元，不含佣金）</w:t>
            </w:r>
          </w:p>
        </w:tc>
        <w:tc>
          <w:tcPr>
            <w:tcW w:w="1132" w:type="dxa"/>
            <w:shd w:val="clear" w:color="auto" w:fill="D9D9D9" w:themeFill="background1" w:themeFillShade="D9"/>
          </w:tcPr>
          <w:p w:rsidR="00CC32AE" w:rsidRDefault="00A6686E">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相应新股配售经纪佣金（元）</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中金中证沪港深优选消费</w:t>
            </w:r>
            <w:r>
              <w:rPr>
                <w:rFonts w:ascii="Times New Roman" w:eastAsia="楷体_GB2312" w:hAnsi="Times New Roman" w:cs="Times New Roman" w:hint="eastAsia"/>
                <w:sz w:val="24"/>
                <w:szCs w:val="24"/>
              </w:rPr>
              <w:t>50</w:t>
            </w:r>
            <w:r>
              <w:rPr>
                <w:rFonts w:ascii="Times New Roman" w:eastAsia="楷体_GB2312" w:hAnsi="Times New Roman" w:cs="Times New Roman" w:hint="eastAsia"/>
                <w:sz w:val="24"/>
                <w:szCs w:val="24"/>
              </w:rPr>
              <w:t>指数证券投资基金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1,778</w:t>
            </w:r>
          </w:p>
        </w:tc>
        <w:tc>
          <w:tcPr>
            <w:tcW w:w="1311"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89,522.30</w:t>
            </w:r>
          </w:p>
        </w:tc>
        <w:tc>
          <w:tcPr>
            <w:tcW w:w="1132"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447.61</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中金瑞祥灵活配置混合型证券投资基金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1,591</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80,106.85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400.53</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中金科创主题</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年封闭运作灵活配置混合型证券投资基金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3,041</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153,114.35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765.57</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中金瑞和灵活配置混合型</w:t>
            </w:r>
            <w:bookmarkStart w:id="0" w:name="_GoBack"/>
            <w:bookmarkEnd w:id="0"/>
            <w:r>
              <w:rPr>
                <w:rFonts w:ascii="Times New Roman" w:eastAsia="楷体_GB2312" w:hAnsi="Times New Roman" w:cs="Times New Roman" w:hint="eastAsia"/>
                <w:sz w:val="24"/>
                <w:szCs w:val="24"/>
              </w:rPr>
              <w:t>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3,041</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153,114.35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765.57</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w:t>
            </w:r>
            <w:r>
              <w:rPr>
                <w:rFonts w:ascii="Times New Roman" w:eastAsia="楷体_GB2312" w:hAnsi="Times New Roman" w:cs="Times New Roman" w:hint="eastAsia"/>
                <w:sz w:val="24"/>
                <w:szCs w:val="24"/>
              </w:rPr>
              <w:t>MSCI</w:t>
            </w:r>
            <w:r>
              <w:rPr>
                <w:rFonts w:ascii="Times New Roman" w:eastAsia="楷体_GB2312" w:hAnsi="Times New Roman" w:cs="Times New Roman" w:hint="eastAsia"/>
                <w:sz w:val="24"/>
                <w:szCs w:val="24"/>
              </w:rPr>
              <w:t>中国</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股国际质量指数发起式证券投资基金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1,403</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70,641.05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353.21</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中金中证优选</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指数证券投资基金</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LOF</w:t>
            </w:r>
            <w:r>
              <w:rPr>
                <w:rFonts w:ascii="Times New Roman" w:eastAsia="楷体_GB2312" w:hAnsi="Times New Roman" w:cs="Times New Roman"/>
                <w:sz w:val="24"/>
                <w:szCs w:val="24"/>
              </w:rPr>
              <w:t>）</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1,731</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87,155.85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435.78</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中金金序量化蓝筹混合型证券投资基金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1,684</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84,789.40</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423.95</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中金丰硕混合型证券投资基金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1,497</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75,373.95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376.87</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中金金泽量化精选混合型发起式证券投资基金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3,041</w:t>
            </w:r>
          </w:p>
        </w:tc>
        <w:tc>
          <w:tcPr>
            <w:tcW w:w="1311"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153,114.35</w:t>
            </w:r>
          </w:p>
        </w:tc>
        <w:tc>
          <w:tcPr>
            <w:tcW w:w="1132" w:type="dxa"/>
            <w:vAlign w:val="center"/>
          </w:tcPr>
          <w:p w:rsidR="00CC32AE" w:rsidRDefault="00A6686E">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765.57</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2,105</w:t>
            </w:r>
          </w:p>
        </w:tc>
        <w:tc>
          <w:tcPr>
            <w:tcW w:w="1311"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105,986.75</w:t>
            </w:r>
          </w:p>
        </w:tc>
        <w:tc>
          <w:tcPr>
            <w:tcW w:w="1132"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529.93</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 xml:space="preserve">2,854 </w:t>
            </w:r>
          </w:p>
        </w:tc>
        <w:tc>
          <w:tcPr>
            <w:tcW w:w="1311"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143,698.90</w:t>
            </w:r>
          </w:p>
        </w:tc>
        <w:tc>
          <w:tcPr>
            <w:tcW w:w="1132"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718.49</w:t>
            </w:r>
          </w:p>
        </w:tc>
      </w:tr>
      <w:tr w:rsidR="00CC32AE">
        <w:trPr>
          <w:jc w:val="center"/>
        </w:trPr>
        <w:tc>
          <w:tcPr>
            <w:tcW w:w="5131" w:type="dxa"/>
            <w:vAlign w:val="center"/>
          </w:tcPr>
          <w:p w:rsidR="00CC32AE" w:rsidRDefault="00A6686E">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中金量化多策略灵活配置混合型证券投资基金</w:t>
            </w:r>
          </w:p>
        </w:tc>
        <w:tc>
          <w:tcPr>
            <w:tcW w:w="948" w:type="dxa"/>
            <w:vAlign w:val="center"/>
          </w:tcPr>
          <w:p w:rsidR="00CC32AE" w:rsidRDefault="00A6686E">
            <w:pPr>
              <w:jc w:val="center"/>
              <w:rPr>
                <w:rFonts w:ascii="Times New Roman" w:hAnsi="Times New Roman" w:cs="Times New Roman"/>
              </w:rPr>
            </w:pPr>
            <w:r>
              <w:rPr>
                <w:rFonts w:ascii="Times New Roman" w:hAnsi="Times New Roman" w:cs="Times New Roman" w:hint="eastAsia"/>
              </w:rPr>
              <w:t>1,544</w:t>
            </w:r>
          </w:p>
        </w:tc>
        <w:tc>
          <w:tcPr>
            <w:tcW w:w="1311"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77,740.40</w:t>
            </w:r>
          </w:p>
        </w:tc>
        <w:tc>
          <w:tcPr>
            <w:tcW w:w="1132" w:type="dxa"/>
            <w:vAlign w:val="center"/>
          </w:tcPr>
          <w:p w:rsidR="00CC32AE" w:rsidRDefault="00A6686E">
            <w:pPr>
              <w:jc w:val="center"/>
              <w:rPr>
                <w:rFonts w:ascii="Times New Roman" w:eastAsia="楷体" w:hAnsi="Times New Roman" w:cs="Times New Roman"/>
                <w:color w:val="000000"/>
              </w:rPr>
            </w:pPr>
            <w:r>
              <w:rPr>
                <w:rFonts w:ascii="Times New Roman" w:eastAsia="楷体" w:hAnsi="Times New Roman" w:cs="Times New Roman" w:hint="eastAsia"/>
                <w:color w:val="000000"/>
              </w:rPr>
              <w:t>388.70</w:t>
            </w:r>
          </w:p>
        </w:tc>
      </w:tr>
    </w:tbl>
    <w:p w:rsidR="00CC32AE" w:rsidRDefault="00A6686E">
      <w:pPr>
        <w:autoSpaceDE w:val="0"/>
        <w:autoSpaceDN w:val="0"/>
        <w:adjustRightInd w:val="0"/>
        <w:spacing w:before="120" w:line="276" w:lineRule="auto"/>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注：上述基金新股配售经纪佣金费率为其获配金额的</w:t>
      </w:r>
      <w:r>
        <w:rPr>
          <w:rFonts w:ascii="Times New Roman" w:eastAsia="楷体_GB2312" w:hAnsi="Times New Roman" w:cs="Times New Roman"/>
          <w:kern w:val="0"/>
          <w:szCs w:val="24"/>
        </w:rPr>
        <w:t>0.5%</w:t>
      </w:r>
      <w:r>
        <w:rPr>
          <w:rFonts w:ascii="Times New Roman" w:eastAsia="楷体_GB2312" w:hAnsi="Times New Roman" w:cs="Times New Roman"/>
          <w:kern w:val="0"/>
          <w:szCs w:val="24"/>
        </w:rPr>
        <w:t>。</w:t>
      </w:r>
    </w:p>
    <w:p w:rsidR="00CC32AE" w:rsidRDefault="00A6686E" w:rsidP="00A6686E">
      <w:pPr>
        <w:autoSpaceDE w:val="0"/>
        <w:autoSpaceDN w:val="0"/>
        <w:adjustRightInd w:val="0"/>
        <w:spacing w:beforeLines="50" w:line="360" w:lineRule="auto"/>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CC32AE" w:rsidRDefault="00A6686E">
      <w:pPr>
        <w:autoSpaceDE w:val="0"/>
        <w:autoSpaceDN w:val="0"/>
        <w:adjustRightInd w:val="0"/>
        <w:spacing w:line="360" w:lineRule="auto"/>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CC32AE" w:rsidRDefault="00A6686E">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7</w:t>
      </w:r>
      <w:r>
        <w:rPr>
          <w:rFonts w:ascii="Times New Roman" w:eastAsia="楷体_GB2312" w:hAnsi="Times New Roman" w:cs="Times New Roman"/>
          <w:kern w:val="0"/>
          <w:sz w:val="24"/>
          <w:szCs w:val="24"/>
        </w:rPr>
        <w:t>月</w:t>
      </w:r>
      <w:r>
        <w:rPr>
          <w:rFonts w:ascii="Times New Roman" w:eastAsia="楷体_GB2312" w:hAnsi="Times New Roman" w:cs="Times New Roman"/>
          <w:kern w:val="0"/>
          <w:sz w:val="24"/>
          <w:szCs w:val="24"/>
        </w:rPr>
        <w:t>28</w:t>
      </w:r>
      <w:r>
        <w:rPr>
          <w:rFonts w:ascii="Times New Roman" w:eastAsia="楷体_GB2312" w:hAnsi="Times New Roman" w:cs="Times New Roman"/>
          <w:kern w:val="0"/>
          <w:sz w:val="24"/>
          <w:szCs w:val="24"/>
        </w:rPr>
        <w:t>日</w:t>
      </w:r>
    </w:p>
    <w:sectPr w:rsidR="00CC32AE" w:rsidSect="00CC32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6E" w:rsidRDefault="00A6686E" w:rsidP="00A6686E">
      <w:r>
        <w:separator/>
      </w:r>
    </w:p>
  </w:endnote>
  <w:endnote w:type="continuationSeparator" w:id="0">
    <w:p w:rsidR="00A6686E" w:rsidRDefault="00A6686E" w:rsidP="00A66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6E" w:rsidRDefault="00A6686E" w:rsidP="00A6686E">
      <w:r>
        <w:separator/>
      </w:r>
    </w:p>
  </w:footnote>
  <w:footnote w:type="continuationSeparator" w:id="0">
    <w:p w:rsidR="00A6686E" w:rsidRDefault="00A6686E" w:rsidP="00A66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FB755DE"/>
    <w:rsid w:val="FFFEE57B"/>
    <w:rsid w:val="00002C5D"/>
    <w:rsid w:val="000476E7"/>
    <w:rsid w:val="00052929"/>
    <w:rsid w:val="00097A2E"/>
    <w:rsid w:val="00156FEE"/>
    <w:rsid w:val="00163C7B"/>
    <w:rsid w:val="001643C7"/>
    <w:rsid w:val="00164CA7"/>
    <w:rsid w:val="001729E7"/>
    <w:rsid w:val="00172A27"/>
    <w:rsid w:val="001E01E1"/>
    <w:rsid w:val="00211571"/>
    <w:rsid w:val="002E4436"/>
    <w:rsid w:val="002E57C9"/>
    <w:rsid w:val="00336A2F"/>
    <w:rsid w:val="00351B6D"/>
    <w:rsid w:val="0037307F"/>
    <w:rsid w:val="003730B8"/>
    <w:rsid w:val="00383D43"/>
    <w:rsid w:val="00387283"/>
    <w:rsid w:val="003B0326"/>
    <w:rsid w:val="003C49CF"/>
    <w:rsid w:val="003D07E5"/>
    <w:rsid w:val="003E2578"/>
    <w:rsid w:val="003E25DA"/>
    <w:rsid w:val="004343C7"/>
    <w:rsid w:val="00454743"/>
    <w:rsid w:val="00495039"/>
    <w:rsid w:val="004B4629"/>
    <w:rsid w:val="0052668A"/>
    <w:rsid w:val="00580073"/>
    <w:rsid w:val="006A36E9"/>
    <w:rsid w:val="006F0B07"/>
    <w:rsid w:val="00722DD4"/>
    <w:rsid w:val="007D083F"/>
    <w:rsid w:val="007F1F31"/>
    <w:rsid w:val="008320EA"/>
    <w:rsid w:val="00851B64"/>
    <w:rsid w:val="0097486C"/>
    <w:rsid w:val="009D070A"/>
    <w:rsid w:val="009F73EF"/>
    <w:rsid w:val="00A331EB"/>
    <w:rsid w:val="00A6528A"/>
    <w:rsid w:val="00A6686E"/>
    <w:rsid w:val="00A87330"/>
    <w:rsid w:val="00AC6C51"/>
    <w:rsid w:val="00B50C25"/>
    <w:rsid w:val="00B91A14"/>
    <w:rsid w:val="00B96288"/>
    <w:rsid w:val="00BB5965"/>
    <w:rsid w:val="00BB6854"/>
    <w:rsid w:val="00C10FD9"/>
    <w:rsid w:val="00C47181"/>
    <w:rsid w:val="00CA4101"/>
    <w:rsid w:val="00CB753C"/>
    <w:rsid w:val="00CC32AE"/>
    <w:rsid w:val="00CD0251"/>
    <w:rsid w:val="00D26D4A"/>
    <w:rsid w:val="00D61AF3"/>
    <w:rsid w:val="00DC3E7B"/>
    <w:rsid w:val="00EF1EDA"/>
    <w:rsid w:val="00F72146"/>
    <w:rsid w:val="00F9044B"/>
    <w:rsid w:val="00FF635E"/>
    <w:rsid w:val="0B7F0D7B"/>
    <w:rsid w:val="2FFFF582"/>
    <w:rsid w:val="5FE7FB47"/>
    <w:rsid w:val="67F934C8"/>
    <w:rsid w:val="7FC00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C32AE"/>
    <w:rPr>
      <w:b/>
      <w:bCs/>
    </w:rPr>
  </w:style>
  <w:style w:type="paragraph" w:styleId="a4">
    <w:name w:val="annotation text"/>
    <w:basedOn w:val="a"/>
    <w:link w:val="Char0"/>
    <w:uiPriority w:val="99"/>
    <w:unhideWhenUsed/>
    <w:qFormat/>
    <w:rsid w:val="00CC32AE"/>
    <w:pPr>
      <w:jc w:val="left"/>
    </w:pPr>
  </w:style>
  <w:style w:type="paragraph" w:styleId="a5">
    <w:name w:val="Balloon Text"/>
    <w:basedOn w:val="a"/>
    <w:link w:val="Char1"/>
    <w:uiPriority w:val="99"/>
    <w:unhideWhenUsed/>
    <w:qFormat/>
    <w:rsid w:val="00CC32AE"/>
    <w:rPr>
      <w:sz w:val="18"/>
      <w:szCs w:val="18"/>
    </w:rPr>
  </w:style>
  <w:style w:type="paragraph" w:styleId="a6">
    <w:name w:val="footer"/>
    <w:basedOn w:val="a"/>
    <w:link w:val="Char2"/>
    <w:uiPriority w:val="99"/>
    <w:unhideWhenUsed/>
    <w:qFormat/>
    <w:rsid w:val="00CC32A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C32AE"/>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C32AE"/>
    <w:rPr>
      <w:sz w:val="21"/>
      <w:szCs w:val="21"/>
    </w:rPr>
  </w:style>
  <w:style w:type="table" w:styleId="a9">
    <w:name w:val="Table Grid"/>
    <w:basedOn w:val="a1"/>
    <w:uiPriority w:val="59"/>
    <w:qFormat/>
    <w:rsid w:val="00CC3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CC32AE"/>
    <w:rPr>
      <w:sz w:val="18"/>
      <w:szCs w:val="18"/>
    </w:rPr>
  </w:style>
  <w:style w:type="character" w:customStyle="1" w:styleId="Char3">
    <w:name w:val="页眉 Char"/>
    <w:basedOn w:val="a0"/>
    <w:link w:val="a7"/>
    <w:uiPriority w:val="99"/>
    <w:qFormat/>
    <w:rsid w:val="00CC32AE"/>
    <w:rPr>
      <w:sz w:val="18"/>
      <w:szCs w:val="18"/>
    </w:rPr>
  </w:style>
  <w:style w:type="character" w:customStyle="1" w:styleId="Char2">
    <w:name w:val="页脚 Char"/>
    <w:basedOn w:val="a0"/>
    <w:link w:val="a6"/>
    <w:uiPriority w:val="99"/>
    <w:qFormat/>
    <w:rsid w:val="00CC32AE"/>
    <w:rPr>
      <w:sz w:val="18"/>
      <w:szCs w:val="18"/>
    </w:rPr>
  </w:style>
  <w:style w:type="character" w:customStyle="1" w:styleId="Char0">
    <w:name w:val="批注文字 Char"/>
    <w:basedOn w:val="a0"/>
    <w:link w:val="a4"/>
    <w:uiPriority w:val="99"/>
    <w:semiHidden/>
    <w:qFormat/>
    <w:rsid w:val="00CC32AE"/>
  </w:style>
  <w:style w:type="character" w:customStyle="1" w:styleId="Char">
    <w:name w:val="批注主题 Char"/>
    <w:basedOn w:val="Char0"/>
    <w:link w:val="a3"/>
    <w:uiPriority w:val="99"/>
    <w:semiHidden/>
    <w:qFormat/>
    <w:rsid w:val="00CC32A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4</DocSecurity>
  <Lines>7</Lines>
  <Paragraphs>2</Paragraphs>
  <ScaleCrop>false</ScaleCrop>
  <Company>HP Inc.</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2020-01-10T09:55:00Z</cp:lastPrinted>
  <dcterms:created xsi:type="dcterms:W3CDTF">2020-07-27T16:00:00Z</dcterms:created>
  <dcterms:modified xsi:type="dcterms:W3CDTF">2020-07-27T16:00:00Z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