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F0F" w:rsidRDefault="00F94F0F">
      <w:pPr>
        <w:adjustRightInd w:val="0"/>
        <w:snapToGrid w:val="0"/>
        <w:spacing w:line="360" w:lineRule="auto"/>
        <w:jc w:val="center"/>
        <w:rPr>
          <w:rFonts w:hint="eastAsia"/>
          <w:b/>
          <w:sz w:val="28"/>
          <w:szCs w:val="28"/>
        </w:rPr>
      </w:pPr>
      <w:r>
        <w:rPr>
          <w:rFonts w:hint="eastAsia"/>
          <w:b/>
          <w:sz w:val="28"/>
          <w:szCs w:val="28"/>
        </w:rPr>
        <w:t>银华中债</w:t>
      </w:r>
      <w:r>
        <w:rPr>
          <w:rFonts w:hint="eastAsia"/>
          <w:b/>
          <w:sz w:val="28"/>
          <w:szCs w:val="28"/>
        </w:rPr>
        <w:t>-5</w:t>
      </w:r>
      <w:r>
        <w:rPr>
          <w:rFonts w:hint="eastAsia"/>
          <w:b/>
          <w:sz w:val="28"/>
          <w:szCs w:val="28"/>
        </w:rPr>
        <w:t>年期国债期货期限匹配金融债指数证券投资基金</w:t>
      </w:r>
    </w:p>
    <w:p w:rsidR="00F94F0F" w:rsidRDefault="00F94F0F">
      <w:pPr>
        <w:adjustRightInd w:val="0"/>
        <w:snapToGrid w:val="0"/>
        <w:spacing w:line="360" w:lineRule="auto"/>
        <w:jc w:val="center"/>
        <w:rPr>
          <w:rFonts w:hint="eastAsia"/>
          <w:b/>
          <w:sz w:val="28"/>
          <w:szCs w:val="28"/>
        </w:rPr>
      </w:pPr>
      <w:r>
        <w:rPr>
          <w:rFonts w:hint="eastAsia"/>
          <w:b/>
          <w:sz w:val="28"/>
          <w:szCs w:val="28"/>
        </w:rPr>
        <w:t>基金份额持有人大会表决结果暨决议生效公告</w:t>
      </w:r>
    </w:p>
    <w:p w:rsidR="00F94F0F" w:rsidRDefault="00F94F0F">
      <w:pPr>
        <w:adjustRightInd w:val="0"/>
        <w:snapToGrid w:val="0"/>
        <w:spacing w:line="360" w:lineRule="auto"/>
        <w:ind w:firstLineChars="200" w:firstLine="420"/>
        <w:rPr>
          <w:rFonts w:hint="eastAsia"/>
        </w:rPr>
      </w:pPr>
    </w:p>
    <w:p w:rsidR="00F94F0F" w:rsidRDefault="00F94F0F">
      <w:pPr>
        <w:adjustRightInd w:val="0"/>
        <w:snapToGrid w:val="0"/>
        <w:spacing w:line="360" w:lineRule="auto"/>
        <w:ind w:firstLineChars="200" w:firstLine="420"/>
        <w:rPr>
          <w:rFonts w:hint="eastAsia"/>
        </w:rPr>
      </w:pPr>
      <w:r>
        <w:rPr>
          <w:rFonts w:hint="eastAsia"/>
        </w:rPr>
        <w:t>根据《中华人民共和国证券投资基金法》（以下简称“《基金法》”）、《公开募集证券投资基金运作管理办法》（以下简称“《运作办法》”）和《银华中债</w:t>
      </w:r>
      <w:r>
        <w:rPr>
          <w:rFonts w:hint="eastAsia"/>
        </w:rPr>
        <w:t>-5</w:t>
      </w:r>
      <w:r>
        <w:rPr>
          <w:rFonts w:hint="eastAsia"/>
        </w:rPr>
        <w:t>年期国债期货期限匹配金融债指数证券投资基金基金合同》（以下简称《基金合同》）的有关规定，现将银华中债</w:t>
      </w:r>
      <w:r>
        <w:rPr>
          <w:rFonts w:hint="eastAsia"/>
        </w:rPr>
        <w:t>-5</w:t>
      </w:r>
      <w:r>
        <w:rPr>
          <w:rFonts w:hint="eastAsia"/>
        </w:rPr>
        <w:t>年期国债期货期限匹配金融债指数证券投资基金（以下简称“本基金”）基金份额持有人大会的决议及相关事项公告如下：</w:t>
      </w:r>
    </w:p>
    <w:p w:rsidR="00F94F0F" w:rsidRDefault="00F94F0F">
      <w:pPr>
        <w:adjustRightInd w:val="0"/>
        <w:snapToGrid w:val="0"/>
        <w:spacing w:line="360" w:lineRule="auto"/>
        <w:ind w:firstLineChars="200" w:firstLine="420"/>
        <w:outlineLvl w:val="0"/>
        <w:rPr>
          <w:rFonts w:hint="eastAsia"/>
        </w:rPr>
      </w:pPr>
      <w:r>
        <w:rPr>
          <w:rFonts w:hint="eastAsia"/>
        </w:rPr>
        <w:t>一、基金份额持有人大会会议情况</w:t>
      </w:r>
    </w:p>
    <w:p w:rsidR="00F94F0F" w:rsidRDefault="00F94F0F">
      <w:pPr>
        <w:adjustRightInd w:val="0"/>
        <w:snapToGrid w:val="0"/>
        <w:spacing w:line="360" w:lineRule="auto"/>
        <w:ind w:firstLineChars="200" w:firstLine="420"/>
        <w:rPr>
          <w:rFonts w:hint="eastAsia"/>
        </w:rPr>
      </w:pPr>
      <w:r>
        <w:rPr>
          <w:rFonts w:hint="eastAsia"/>
        </w:rPr>
        <w:t>银华基金管理股份有限公司（以下简称“基金管理人”）以通讯方式组织召开了本基金基金份额持有人大会，审议《关于终止银华中债</w:t>
      </w:r>
      <w:r>
        <w:rPr>
          <w:rFonts w:hint="eastAsia"/>
        </w:rPr>
        <w:t>-5</w:t>
      </w:r>
      <w:r>
        <w:rPr>
          <w:rFonts w:hint="eastAsia"/>
        </w:rPr>
        <w:t>年期国债期货期限匹配金融债指数证券投资基金基金合同有关事项的议案》（以下简称“本次会议议案”），会议表决票收取时间为</w:t>
      </w:r>
      <w:r>
        <w:rPr>
          <w:rFonts w:hint="eastAsia"/>
        </w:rPr>
        <w:t>2020</w:t>
      </w:r>
      <w:r>
        <w:rPr>
          <w:rFonts w:hint="eastAsia"/>
        </w:rPr>
        <w:t>年</w:t>
      </w:r>
      <w:r>
        <w:rPr>
          <w:rFonts w:hint="eastAsia"/>
        </w:rPr>
        <w:t>6</w:t>
      </w:r>
      <w:r>
        <w:rPr>
          <w:rFonts w:hint="eastAsia"/>
        </w:rPr>
        <w:t>月</w:t>
      </w:r>
      <w:r>
        <w:rPr>
          <w:rFonts w:hint="eastAsia"/>
        </w:rPr>
        <w:t>29</w:t>
      </w:r>
      <w:r>
        <w:rPr>
          <w:rFonts w:hint="eastAsia"/>
        </w:rPr>
        <w:t>日</w:t>
      </w:r>
      <w:r>
        <w:rPr>
          <w:rFonts w:hint="eastAsia"/>
        </w:rPr>
        <w:t>15:00</w:t>
      </w:r>
      <w:r>
        <w:rPr>
          <w:rFonts w:hint="eastAsia"/>
        </w:rPr>
        <w:t>起至</w:t>
      </w:r>
      <w:r>
        <w:rPr>
          <w:rFonts w:hint="eastAsia"/>
        </w:rPr>
        <w:t>2020</w:t>
      </w:r>
      <w:r>
        <w:rPr>
          <w:rFonts w:hint="eastAsia"/>
        </w:rPr>
        <w:t>年</w:t>
      </w:r>
      <w:r>
        <w:rPr>
          <w:rFonts w:hint="eastAsia"/>
        </w:rPr>
        <w:t>7</w:t>
      </w:r>
      <w:r>
        <w:rPr>
          <w:rFonts w:hint="eastAsia"/>
        </w:rPr>
        <w:t>月</w:t>
      </w:r>
      <w:r>
        <w:rPr>
          <w:rFonts w:hint="eastAsia"/>
        </w:rPr>
        <w:t>24</w:t>
      </w:r>
      <w:r>
        <w:rPr>
          <w:rFonts w:hint="eastAsia"/>
        </w:rPr>
        <w:t>日</w:t>
      </w:r>
      <w:r>
        <w:rPr>
          <w:rFonts w:hint="eastAsia"/>
        </w:rPr>
        <w:t>17:00</w:t>
      </w:r>
      <w:r>
        <w:rPr>
          <w:rFonts w:hint="eastAsia"/>
        </w:rPr>
        <w:t>止，计票时间为</w:t>
      </w:r>
      <w:r>
        <w:rPr>
          <w:rFonts w:hint="eastAsia"/>
        </w:rPr>
        <w:t>2020</w:t>
      </w:r>
      <w:r>
        <w:rPr>
          <w:rFonts w:hint="eastAsia"/>
        </w:rPr>
        <w:t>年</w:t>
      </w:r>
      <w:r>
        <w:rPr>
          <w:rFonts w:hint="eastAsia"/>
        </w:rPr>
        <w:t>7</w:t>
      </w:r>
      <w:r>
        <w:rPr>
          <w:rFonts w:hint="eastAsia"/>
        </w:rPr>
        <w:t>月</w:t>
      </w:r>
      <w:r>
        <w:rPr>
          <w:rFonts w:hint="eastAsia"/>
        </w:rPr>
        <w:t>27</w:t>
      </w:r>
      <w:r>
        <w:rPr>
          <w:rFonts w:hint="eastAsia"/>
        </w:rPr>
        <w:t>日，本次计票由基金管理人授权的两名监督员在基金托管人中国工商银行股份有限公司授权代表的监督下进行，北京市方圆公证处对计票过程</w:t>
      </w:r>
      <w:r w:rsidR="00DF0972">
        <w:rPr>
          <w:rFonts w:hint="eastAsia"/>
        </w:rPr>
        <w:t>及结果</w:t>
      </w:r>
      <w:r>
        <w:rPr>
          <w:rFonts w:hint="eastAsia"/>
        </w:rPr>
        <w:t>进行了公证，上海市通力律师事务所对计票过程进行了见证。</w:t>
      </w:r>
    </w:p>
    <w:p w:rsidR="00F94F0F" w:rsidRDefault="00F94F0F">
      <w:pPr>
        <w:adjustRightInd w:val="0"/>
        <w:snapToGrid w:val="0"/>
        <w:spacing w:line="360" w:lineRule="auto"/>
        <w:ind w:firstLineChars="200" w:firstLine="420"/>
        <w:rPr>
          <w:rFonts w:hint="eastAsia"/>
        </w:rPr>
      </w:pPr>
      <w:r>
        <w:rPr>
          <w:rFonts w:hint="eastAsia"/>
        </w:rPr>
        <w:t>截</w:t>
      </w:r>
      <w:r>
        <w:t>至权益登记日</w:t>
      </w:r>
      <w:r>
        <w:rPr>
          <w:rFonts w:hint="eastAsia"/>
        </w:rPr>
        <w:t>2020</w:t>
      </w:r>
      <w:r>
        <w:rPr>
          <w:rFonts w:hint="eastAsia"/>
        </w:rPr>
        <w:t>年</w:t>
      </w:r>
      <w:r>
        <w:rPr>
          <w:rFonts w:hint="eastAsia"/>
        </w:rPr>
        <w:t>6</w:t>
      </w:r>
      <w:r>
        <w:rPr>
          <w:rFonts w:hint="eastAsia"/>
        </w:rPr>
        <w:t>月</w:t>
      </w:r>
      <w:r>
        <w:rPr>
          <w:rFonts w:hint="eastAsia"/>
        </w:rPr>
        <w:t>29</w:t>
      </w:r>
      <w:r>
        <w:rPr>
          <w:rFonts w:hint="eastAsia"/>
        </w:rPr>
        <w:t>日本</w:t>
      </w:r>
      <w:r>
        <w:t>基金</w:t>
      </w:r>
      <w:r>
        <w:rPr>
          <w:rFonts w:hint="eastAsia"/>
        </w:rPr>
        <w:t>登记在册的基金份额总数为</w:t>
      </w:r>
      <w:r>
        <w:t>66,449,832.16</w:t>
      </w:r>
      <w:r>
        <w:rPr>
          <w:rFonts w:hint="eastAsia"/>
        </w:rPr>
        <w:t>份。本基金基金份额持有人直接出具</w:t>
      </w:r>
      <w:r w:rsidR="00277E58">
        <w:rPr>
          <w:rFonts w:hint="eastAsia"/>
        </w:rPr>
        <w:t>表决</w:t>
      </w:r>
      <w:r>
        <w:rPr>
          <w:rFonts w:hint="eastAsia"/>
        </w:rPr>
        <w:t>意见或授权他人代表出具</w:t>
      </w:r>
      <w:r w:rsidR="00277E58">
        <w:rPr>
          <w:rFonts w:hint="eastAsia"/>
        </w:rPr>
        <w:t>表决</w:t>
      </w:r>
      <w:r>
        <w:rPr>
          <w:rFonts w:hint="eastAsia"/>
        </w:rPr>
        <w:t>意见的基金份额持有人所持有的基金份额共计</w:t>
      </w:r>
      <w:r w:rsidR="0070188A" w:rsidRPr="0070188A">
        <w:rPr>
          <w:szCs w:val="21"/>
        </w:rPr>
        <w:t>51</w:t>
      </w:r>
      <w:r w:rsidR="0070188A">
        <w:rPr>
          <w:rFonts w:hint="eastAsia"/>
          <w:szCs w:val="21"/>
        </w:rPr>
        <w:t>,</w:t>
      </w:r>
      <w:r w:rsidR="0070188A" w:rsidRPr="0070188A">
        <w:rPr>
          <w:szCs w:val="21"/>
        </w:rPr>
        <w:t>000</w:t>
      </w:r>
      <w:r w:rsidR="0070188A">
        <w:rPr>
          <w:rFonts w:hint="eastAsia"/>
          <w:szCs w:val="21"/>
        </w:rPr>
        <w:t>,</w:t>
      </w:r>
      <w:r w:rsidR="0070188A" w:rsidRPr="0070188A">
        <w:rPr>
          <w:szCs w:val="21"/>
        </w:rPr>
        <w:t>000.0</w:t>
      </w:r>
      <w:r w:rsidR="0070188A">
        <w:rPr>
          <w:rFonts w:hint="eastAsia"/>
          <w:szCs w:val="21"/>
        </w:rPr>
        <w:t>0</w:t>
      </w:r>
      <w:r>
        <w:rPr>
          <w:rFonts w:hint="eastAsia"/>
        </w:rPr>
        <w:t>份，占本基金权益登记日基金总份额的</w:t>
      </w:r>
      <w:r w:rsidR="0070188A">
        <w:rPr>
          <w:rFonts w:hint="eastAsia"/>
          <w:szCs w:val="21"/>
        </w:rPr>
        <w:t>76.75</w:t>
      </w:r>
      <w:r>
        <w:rPr>
          <w:szCs w:val="21"/>
        </w:rPr>
        <w:t>%</w:t>
      </w:r>
      <w:r>
        <w:rPr>
          <w:rFonts w:hint="eastAsia"/>
        </w:rPr>
        <w:t>，达到基金份额持有人大会召开条件，符合《基金法》、《运作办法》和《基金合同》的有关规定。</w:t>
      </w:r>
    </w:p>
    <w:p w:rsidR="00F94F0F" w:rsidRDefault="00F94F0F">
      <w:pPr>
        <w:adjustRightInd w:val="0"/>
        <w:snapToGrid w:val="0"/>
        <w:spacing w:line="360" w:lineRule="auto"/>
        <w:ind w:firstLineChars="200" w:firstLine="420"/>
        <w:rPr>
          <w:rFonts w:hint="eastAsia"/>
        </w:rPr>
      </w:pPr>
      <w:r>
        <w:rPr>
          <w:rFonts w:hint="eastAsia"/>
        </w:rPr>
        <w:t>本次基金份额持有人大会由提交有效表决票的基金份额持有人或其代理人对本次会议议案进行了表决。提交有效表决票的基金份额持有人或其代理人所持表决权对应的基金份额共计</w:t>
      </w:r>
      <w:r w:rsidR="0070188A" w:rsidRPr="0070188A">
        <w:rPr>
          <w:szCs w:val="21"/>
        </w:rPr>
        <w:t>51</w:t>
      </w:r>
      <w:r w:rsidR="0070188A">
        <w:rPr>
          <w:rFonts w:hint="eastAsia"/>
          <w:szCs w:val="21"/>
        </w:rPr>
        <w:t>,</w:t>
      </w:r>
      <w:r w:rsidR="0070188A" w:rsidRPr="0070188A">
        <w:rPr>
          <w:szCs w:val="21"/>
        </w:rPr>
        <w:t>000</w:t>
      </w:r>
      <w:r w:rsidR="0070188A">
        <w:rPr>
          <w:rFonts w:hint="eastAsia"/>
          <w:szCs w:val="21"/>
        </w:rPr>
        <w:t>,</w:t>
      </w:r>
      <w:r w:rsidR="0070188A" w:rsidRPr="0070188A">
        <w:rPr>
          <w:szCs w:val="21"/>
        </w:rPr>
        <w:t>000.0</w:t>
      </w:r>
      <w:r w:rsidR="0070188A">
        <w:rPr>
          <w:rFonts w:hint="eastAsia"/>
          <w:szCs w:val="21"/>
        </w:rPr>
        <w:t>0</w:t>
      </w:r>
      <w:r>
        <w:rPr>
          <w:rFonts w:hint="eastAsia"/>
        </w:rPr>
        <w:t>份，表决结果为：</w:t>
      </w:r>
      <w:r w:rsidR="0070188A" w:rsidRPr="0070188A">
        <w:rPr>
          <w:szCs w:val="21"/>
        </w:rPr>
        <w:t>51,000,000.00</w:t>
      </w:r>
      <w:r>
        <w:rPr>
          <w:rFonts w:hint="eastAsia"/>
        </w:rPr>
        <w:t>份基金份额同意，</w:t>
      </w:r>
      <w:r w:rsidR="0070188A">
        <w:rPr>
          <w:rFonts w:hint="eastAsia"/>
        </w:rPr>
        <w:t>0</w:t>
      </w:r>
      <w:r>
        <w:rPr>
          <w:rFonts w:hint="eastAsia"/>
        </w:rPr>
        <w:t>份基金份额反对，</w:t>
      </w:r>
      <w:r w:rsidR="0070188A">
        <w:rPr>
          <w:rFonts w:hint="eastAsia"/>
        </w:rPr>
        <w:t>0</w:t>
      </w:r>
      <w:r>
        <w:rPr>
          <w:rFonts w:hint="eastAsia"/>
        </w:rPr>
        <w:t>份基金份额弃权。同意本次会议议案的基金份额占提交有效表决票的基金份额持有人或其代理人所持表决权对应的基金份额的</w:t>
      </w:r>
      <w:r w:rsidR="0070188A">
        <w:rPr>
          <w:rFonts w:hint="eastAsia"/>
        </w:rPr>
        <w:t>100</w:t>
      </w:r>
      <w:r>
        <w:rPr>
          <w:rFonts w:hint="eastAsia"/>
        </w:rPr>
        <w:t>%</w:t>
      </w:r>
      <w:r>
        <w:rPr>
          <w:rFonts w:hint="eastAsia"/>
        </w:rPr>
        <w:t>，符合《基金法》、《运作办法》和《基金合同》的有关规定，本次会议议案获得通过。</w:t>
      </w:r>
    </w:p>
    <w:p w:rsidR="00F94F0F" w:rsidRDefault="00F94F0F">
      <w:pPr>
        <w:adjustRightInd w:val="0"/>
        <w:snapToGrid w:val="0"/>
        <w:spacing w:line="360" w:lineRule="auto"/>
        <w:ind w:firstLineChars="200" w:firstLine="420"/>
        <w:rPr>
          <w:rFonts w:hint="eastAsia"/>
        </w:rPr>
      </w:pPr>
      <w:r>
        <w:rPr>
          <w:rFonts w:hint="eastAsia"/>
        </w:rPr>
        <w:t>本次基金份额持有人大会的公证费</w:t>
      </w:r>
      <w:r>
        <w:rPr>
          <w:rFonts w:hint="eastAsia"/>
        </w:rPr>
        <w:t>0.75</w:t>
      </w:r>
      <w:r>
        <w:rPr>
          <w:rFonts w:hint="eastAsia"/>
        </w:rPr>
        <w:t>万元，律师费</w:t>
      </w:r>
      <w:r>
        <w:rPr>
          <w:rFonts w:hint="eastAsia"/>
        </w:rPr>
        <w:t>2</w:t>
      </w:r>
      <w:r>
        <w:t>.5</w:t>
      </w:r>
      <w:r>
        <w:rPr>
          <w:rFonts w:hint="eastAsia"/>
        </w:rPr>
        <w:t>万元，共计</w:t>
      </w:r>
      <w:r>
        <w:rPr>
          <w:rFonts w:hint="eastAsia"/>
        </w:rPr>
        <w:t>3.25</w:t>
      </w:r>
      <w:r>
        <w:rPr>
          <w:rFonts w:hint="eastAsia"/>
        </w:rPr>
        <w:t>万元。为了</w:t>
      </w:r>
      <w:r>
        <w:t>保护持有人的利益</w:t>
      </w:r>
      <w:r>
        <w:rPr>
          <w:rFonts w:hint="eastAsia"/>
        </w:rPr>
        <w:t>，以上费用由</w:t>
      </w:r>
      <w:r>
        <w:t>基金管理人</w:t>
      </w:r>
      <w:r>
        <w:rPr>
          <w:rFonts w:hint="eastAsia"/>
        </w:rPr>
        <w:t>承担。</w:t>
      </w:r>
    </w:p>
    <w:p w:rsidR="00F94F0F" w:rsidRDefault="00F94F0F">
      <w:pPr>
        <w:adjustRightInd w:val="0"/>
        <w:snapToGrid w:val="0"/>
        <w:spacing w:line="360" w:lineRule="auto"/>
        <w:rPr>
          <w:rFonts w:hint="eastAsia"/>
        </w:rPr>
      </w:pPr>
    </w:p>
    <w:p w:rsidR="00F94F0F" w:rsidRDefault="00F94F0F">
      <w:pPr>
        <w:adjustRightInd w:val="0"/>
        <w:snapToGrid w:val="0"/>
        <w:spacing w:line="360" w:lineRule="auto"/>
        <w:ind w:firstLineChars="200" w:firstLine="420"/>
        <w:outlineLvl w:val="0"/>
        <w:rPr>
          <w:rFonts w:hint="eastAsia"/>
        </w:rPr>
      </w:pPr>
      <w:r>
        <w:rPr>
          <w:rFonts w:hint="eastAsia"/>
        </w:rPr>
        <w:t>二、基金份额持有人大会决议生效情况</w:t>
      </w:r>
    </w:p>
    <w:p w:rsidR="00F94F0F" w:rsidRDefault="00F94F0F">
      <w:pPr>
        <w:adjustRightInd w:val="0"/>
        <w:snapToGrid w:val="0"/>
        <w:spacing w:line="360" w:lineRule="auto"/>
        <w:ind w:firstLineChars="200" w:firstLine="420"/>
        <w:rPr>
          <w:rFonts w:hint="eastAsia"/>
        </w:rPr>
      </w:pPr>
      <w:r>
        <w:rPr>
          <w:rFonts w:hint="eastAsia"/>
        </w:rPr>
        <w:t>根据《运作办法》关于“基金份额持有人大会决定的事项自表决通过之日起生效”的规定，本次基金份额持有人大会决议自</w:t>
      </w:r>
      <w:r>
        <w:rPr>
          <w:rFonts w:hint="eastAsia"/>
        </w:rPr>
        <w:t>2020</w:t>
      </w:r>
      <w:r>
        <w:rPr>
          <w:rFonts w:hint="eastAsia"/>
        </w:rPr>
        <w:t>年</w:t>
      </w:r>
      <w:r>
        <w:rPr>
          <w:rFonts w:hint="eastAsia"/>
        </w:rPr>
        <w:t>7</w:t>
      </w:r>
      <w:r>
        <w:rPr>
          <w:rFonts w:hint="eastAsia"/>
        </w:rPr>
        <w:t>月</w:t>
      </w:r>
      <w:r>
        <w:rPr>
          <w:rFonts w:hint="eastAsia"/>
        </w:rPr>
        <w:t>27</w:t>
      </w:r>
      <w:r>
        <w:rPr>
          <w:rFonts w:hint="eastAsia"/>
        </w:rPr>
        <w:t>日起生效，基金管理人将自该日起五日内向中国证监会履行备案手续。本次基金份额持有人大会决议内容如下：</w:t>
      </w:r>
    </w:p>
    <w:p w:rsidR="00F94F0F" w:rsidRDefault="00F94F0F">
      <w:pPr>
        <w:adjustRightInd w:val="0"/>
        <w:snapToGrid w:val="0"/>
        <w:spacing w:line="360" w:lineRule="auto"/>
        <w:ind w:firstLineChars="200" w:firstLine="420"/>
        <w:rPr>
          <w:rFonts w:hint="eastAsia"/>
        </w:rPr>
      </w:pPr>
      <w:r>
        <w:rPr>
          <w:rFonts w:hint="eastAsia"/>
        </w:rPr>
        <w:t>根据《基金法》、《运作办法》和《基金合同》的有关规定，终止《基金合同》。</w:t>
      </w:r>
    </w:p>
    <w:p w:rsidR="00F94F0F" w:rsidRDefault="00F94F0F">
      <w:pPr>
        <w:adjustRightInd w:val="0"/>
        <w:snapToGrid w:val="0"/>
        <w:spacing w:line="360" w:lineRule="auto"/>
        <w:ind w:firstLineChars="200" w:firstLine="420"/>
        <w:rPr>
          <w:rFonts w:hint="eastAsia"/>
        </w:rPr>
      </w:pPr>
    </w:p>
    <w:p w:rsidR="00F94F0F" w:rsidRDefault="00F94F0F">
      <w:pPr>
        <w:adjustRightInd w:val="0"/>
        <w:snapToGrid w:val="0"/>
        <w:spacing w:line="360" w:lineRule="auto"/>
        <w:ind w:firstLineChars="200" w:firstLine="420"/>
        <w:outlineLvl w:val="0"/>
        <w:rPr>
          <w:rFonts w:hint="eastAsia"/>
        </w:rPr>
      </w:pPr>
      <w:r>
        <w:rPr>
          <w:rFonts w:hint="eastAsia"/>
        </w:rPr>
        <w:t>三、基金份额持有人大会决议生效后续安排</w:t>
      </w:r>
    </w:p>
    <w:p w:rsidR="00F94F0F" w:rsidRDefault="00F94F0F">
      <w:pPr>
        <w:adjustRightInd w:val="0"/>
        <w:snapToGrid w:val="0"/>
        <w:spacing w:line="360" w:lineRule="auto"/>
        <w:ind w:firstLineChars="200" w:firstLine="420"/>
        <w:rPr>
          <w:rFonts w:hint="eastAsia"/>
        </w:rPr>
      </w:pPr>
      <w:r>
        <w:rPr>
          <w:rFonts w:hint="eastAsia"/>
        </w:rPr>
        <w:t>本次</w:t>
      </w:r>
      <w:r w:rsidR="00353B92">
        <w:rPr>
          <w:rFonts w:hint="eastAsia"/>
        </w:rPr>
        <w:t>基金份额</w:t>
      </w:r>
      <w:r>
        <w:rPr>
          <w:rFonts w:hint="eastAsia"/>
        </w:rPr>
        <w:t>持有人大会决议生效后，根据</w:t>
      </w:r>
      <w:r w:rsidR="00BB65D7">
        <w:rPr>
          <w:rFonts w:hint="eastAsia"/>
        </w:rPr>
        <w:t>基金份额</w:t>
      </w:r>
      <w:r>
        <w:rPr>
          <w:rFonts w:hint="eastAsia"/>
        </w:rPr>
        <w:t>持有人大会通过的议案及方案说明，本基金将相应安排赎回选择期，以更好地满足投资者的退出需求。</w:t>
      </w:r>
    </w:p>
    <w:p w:rsidR="00F94F0F" w:rsidRDefault="00F94F0F">
      <w:pPr>
        <w:adjustRightInd w:val="0"/>
        <w:snapToGrid w:val="0"/>
        <w:spacing w:line="360" w:lineRule="auto"/>
        <w:ind w:firstLineChars="200" w:firstLine="420"/>
        <w:rPr>
          <w:rFonts w:hint="eastAsia"/>
        </w:rPr>
      </w:pPr>
      <w:r>
        <w:rPr>
          <w:rFonts w:hint="eastAsia"/>
        </w:rPr>
        <w:lastRenderedPageBreak/>
        <w:t>本基金自</w:t>
      </w:r>
      <w:r>
        <w:rPr>
          <w:rFonts w:hint="eastAsia"/>
        </w:rPr>
        <w:t>2020</w:t>
      </w:r>
      <w:r>
        <w:rPr>
          <w:rFonts w:hint="eastAsia"/>
        </w:rPr>
        <w:t>年</w:t>
      </w:r>
      <w:r>
        <w:rPr>
          <w:rFonts w:hint="eastAsia"/>
        </w:rPr>
        <w:t>7</w:t>
      </w:r>
      <w:r>
        <w:rPr>
          <w:rFonts w:hint="eastAsia"/>
        </w:rPr>
        <w:t>月</w:t>
      </w:r>
      <w:r>
        <w:rPr>
          <w:rFonts w:hint="eastAsia"/>
        </w:rPr>
        <w:t>28</w:t>
      </w:r>
      <w:r>
        <w:rPr>
          <w:rFonts w:hint="eastAsia"/>
        </w:rPr>
        <w:t>日至</w:t>
      </w:r>
      <w:r>
        <w:rPr>
          <w:rFonts w:hint="eastAsia"/>
        </w:rPr>
        <w:t>2020</w:t>
      </w:r>
      <w:r>
        <w:rPr>
          <w:rFonts w:hint="eastAsia"/>
        </w:rPr>
        <w:t>年</w:t>
      </w:r>
      <w:r>
        <w:rPr>
          <w:rFonts w:hint="eastAsia"/>
        </w:rPr>
        <w:t>8</w:t>
      </w:r>
      <w:r>
        <w:rPr>
          <w:rFonts w:hint="eastAsia"/>
        </w:rPr>
        <w:t>月</w:t>
      </w:r>
      <w:r>
        <w:rPr>
          <w:rFonts w:hint="eastAsia"/>
        </w:rPr>
        <w:t>3</w:t>
      </w:r>
      <w:r>
        <w:rPr>
          <w:rFonts w:hint="eastAsia"/>
        </w:rPr>
        <w:t>日为赎回选择期。在赎回选择期内，本基金的赎回业务正常办理。基金份额持有人可以选择赎回所持有的本基金基金份额。</w:t>
      </w:r>
      <w:r>
        <w:t>本基金</w:t>
      </w:r>
      <w:r>
        <w:rPr>
          <w:rFonts w:hint="eastAsia"/>
        </w:rPr>
        <w:t>的</w:t>
      </w:r>
      <w:r>
        <w:t>基金份额持有人</w:t>
      </w:r>
      <w:r>
        <w:rPr>
          <w:rFonts w:hint="eastAsia"/>
        </w:rPr>
        <w:t>在赎回</w:t>
      </w:r>
      <w:r>
        <w:t>选择期内</w:t>
      </w:r>
      <w:r>
        <w:rPr>
          <w:rFonts w:hint="eastAsia"/>
        </w:rPr>
        <w:t>选择</w:t>
      </w:r>
      <w:r>
        <w:t>赎回</w:t>
      </w:r>
      <w:r>
        <w:rPr>
          <w:rFonts w:hint="eastAsia"/>
        </w:rPr>
        <w:t>本基金基金份额</w:t>
      </w:r>
      <w:r>
        <w:t>的，</w:t>
      </w:r>
      <w:r>
        <w:rPr>
          <w:rFonts w:hint="eastAsia"/>
        </w:rPr>
        <w:t>对于持续持有期不少于</w:t>
      </w:r>
      <w:r>
        <w:rPr>
          <w:rFonts w:hint="eastAsia"/>
        </w:rPr>
        <w:t>7</w:t>
      </w:r>
      <w:r>
        <w:rPr>
          <w:rFonts w:hint="eastAsia"/>
        </w:rPr>
        <w:t>日的投资者</w:t>
      </w:r>
      <w:r>
        <w:t>不收取赎回费用</w:t>
      </w:r>
      <w:r>
        <w:rPr>
          <w:rFonts w:hint="eastAsia"/>
        </w:rPr>
        <w:t>，对于持续持有期少于</w:t>
      </w:r>
      <w:r>
        <w:t>7</w:t>
      </w:r>
      <w:r>
        <w:t>日的投资者收取</w:t>
      </w:r>
      <w:r>
        <w:t>1.5%</w:t>
      </w:r>
      <w:r>
        <w:t>的赎回费，并将上述赎回费全额计入基金财产。</w:t>
      </w:r>
    </w:p>
    <w:p w:rsidR="00F94F0F" w:rsidRDefault="00F94F0F">
      <w:pPr>
        <w:adjustRightInd w:val="0"/>
        <w:snapToGrid w:val="0"/>
        <w:spacing w:line="360" w:lineRule="auto"/>
        <w:ind w:firstLineChars="200" w:firstLine="420"/>
        <w:rPr>
          <w:rFonts w:hint="eastAsia"/>
        </w:rPr>
      </w:pPr>
      <w:r>
        <w:rPr>
          <w:rFonts w:hint="eastAsia"/>
        </w:rPr>
        <w:t>在本基金进入清算程序前，基金份额持有人申请赎回其持有的基金份额仍需按照《基金合同》约定的方式进行。如果发生了巨额赎回或可以暂停赎回的情形，基金管理人仍然可以根据本基金当时的资产组合状况决定全额赎回或部分延期赎回，或暂停接受基金的赎回申请。同时，基金管理人也会提前做好流动性安排，对资产进行变现以应对可能的赎回。</w:t>
      </w:r>
    </w:p>
    <w:p w:rsidR="00F94F0F" w:rsidRDefault="00F94F0F">
      <w:pPr>
        <w:adjustRightInd w:val="0"/>
        <w:snapToGrid w:val="0"/>
        <w:spacing w:line="360" w:lineRule="auto"/>
        <w:ind w:firstLineChars="200" w:firstLine="420"/>
        <w:rPr>
          <w:rFonts w:hint="eastAsia"/>
        </w:rPr>
      </w:pPr>
      <w:r>
        <w:rPr>
          <w:rFonts w:hint="eastAsia"/>
        </w:rPr>
        <w:t>本基金将从</w:t>
      </w:r>
      <w:r>
        <w:rPr>
          <w:rFonts w:hint="eastAsia"/>
        </w:rPr>
        <w:t>2020</w:t>
      </w:r>
      <w:r>
        <w:rPr>
          <w:rFonts w:hint="eastAsia"/>
        </w:rPr>
        <w:t>年</w:t>
      </w:r>
      <w:r>
        <w:rPr>
          <w:rFonts w:hint="eastAsia"/>
        </w:rPr>
        <w:t>8</w:t>
      </w:r>
      <w:r>
        <w:rPr>
          <w:rFonts w:hint="eastAsia"/>
        </w:rPr>
        <w:t>月</w:t>
      </w:r>
      <w:r>
        <w:rPr>
          <w:rFonts w:hint="eastAsia"/>
        </w:rPr>
        <w:t>4</w:t>
      </w:r>
      <w:r>
        <w:rPr>
          <w:rFonts w:hint="eastAsia"/>
        </w:rPr>
        <w:t>日进入清算程序。自该日</w:t>
      </w:r>
      <w:r>
        <w:t>起，本基金将终止办理申购、赎回、定期定额投资及转换业务，不再</w:t>
      </w:r>
      <w:r>
        <w:rPr>
          <w:rFonts w:hint="eastAsia"/>
        </w:rPr>
        <w:t>计提</w:t>
      </w:r>
      <w:r>
        <w:t>基金管理费</w:t>
      </w:r>
      <w:r>
        <w:rPr>
          <w:rFonts w:hint="eastAsia"/>
        </w:rPr>
        <w:t>、</w:t>
      </w:r>
      <w:r>
        <w:t>基金托管费</w:t>
      </w:r>
      <w:r>
        <w:rPr>
          <w:rFonts w:hint="eastAsia"/>
        </w:rPr>
        <w:t>、</w:t>
      </w:r>
      <w:r>
        <w:t>销售服务费和</w:t>
      </w:r>
      <w:r>
        <w:rPr>
          <w:rFonts w:hint="eastAsia"/>
        </w:rPr>
        <w:t>指数许可使用费</w:t>
      </w:r>
      <w:r>
        <w:t>。</w:t>
      </w:r>
      <w:r>
        <w:rPr>
          <w:rFonts w:hint="eastAsia"/>
        </w:rPr>
        <w:t>基金管理人将按照《基金合同》的有关约定，组织成立基金财产清算小组履行基金财产清算程序，并及时予以公告。</w:t>
      </w:r>
    </w:p>
    <w:p w:rsidR="00F94F0F" w:rsidRDefault="00F94F0F">
      <w:pPr>
        <w:adjustRightInd w:val="0"/>
        <w:snapToGrid w:val="0"/>
        <w:spacing w:line="360" w:lineRule="auto"/>
        <w:ind w:firstLineChars="200" w:firstLine="420"/>
        <w:rPr>
          <w:rFonts w:hint="eastAsia"/>
        </w:rPr>
      </w:pPr>
    </w:p>
    <w:p w:rsidR="00F94F0F" w:rsidRDefault="00F94F0F">
      <w:pPr>
        <w:adjustRightInd w:val="0"/>
        <w:snapToGrid w:val="0"/>
        <w:spacing w:line="360" w:lineRule="auto"/>
        <w:ind w:firstLineChars="200" w:firstLine="420"/>
        <w:outlineLvl w:val="0"/>
        <w:rPr>
          <w:rFonts w:hint="eastAsia"/>
        </w:rPr>
      </w:pPr>
      <w:r>
        <w:rPr>
          <w:rFonts w:hint="eastAsia"/>
        </w:rPr>
        <w:t>四、备查文件</w:t>
      </w:r>
    </w:p>
    <w:p w:rsidR="00F94F0F" w:rsidRDefault="00F94F0F">
      <w:pPr>
        <w:adjustRightInd w:val="0"/>
        <w:snapToGrid w:val="0"/>
        <w:spacing w:line="360" w:lineRule="auto"/>
        <w:ind w:firstLineChars="200" w:firstLine="420"/>
        <w:rPr>
          <w:rFonts w:hint="eastAsia"/>
        </w:rPr>
      </w:pPr>
      <w:r>
        <w:rPr>
          <w:rFonts w:hint="eastAsia"/>
        </w:rPr>
        <w:t>1</w:t>
      </w:r>
      <w:r>
        <w:rPr>
          <w:rFonts w:hint="eastAsia"/>
        </w:rPr>
        <w:t>、《银华基金管理股份有限公司关于以通讯方式召开银华中债</w:t>
      </w:r>
      <w:r>
        <w:rPr>
          <w:rFonts w:hint="eastAsia"/>
        </w:rPr>
        <w:t>-5</w:t>
      </w:r>
      <w:r>
        <w:rPr>
          <w:rFonts w:hint="eastAsia"/>
        </w:rPr>
        <w:t>年期国债期货期限匹配金融债指数证券投资基金基金份额持有人大会的公告》</w:t>
      </w:r>
    </w:p>
    <w:p w:rsidR="00F94F0F" w:rsidRDefault="00F94F0F">
      <w:pPr>
        <w:adjustRightInd w:val="0"/>
        <w:snapToGrid w:val="0"/>
        <w:spacing w:line="360" w:lineRule="auto"/>
        <w:ind w:firstLineChars="200" w:firstLine="420"/>
        <w:rPr>
          <w:rFonts w:hint="eastAsia"/>
        </w:rPr>
      </w:pPr>
      <w:r>
        <w:rPr>
          <w:rFonts w:hint="eastAsia"/>
        </w:rPr>
        <w:t>2</w:t>
      </w:r>
      <w:r>
        <w:rPr>
          <w:rFonts w:hint="eastAsia"/>
        </w:rPr>
        <w:t>、《银华基金管理股份有限公司关于以通讯方式召开银华中债</w:t>
      </w:r>
      <w:r>
        <w:rPr>
          <w:rFonts w:hint="eastAsia"/>
        </w:rPr>
        <w:t>-5</w:t>
      </w:r>
      <w:r>
        <w:rPr>
          <w:rFonts w:hint="eastAsia"/>
        </w:rPr>
        <w:t>年期国债期货期限匹配金融债指数证券投资基金基金份额持有人大会的第一次提示性公告》</w:t>
      </w:r>
    </w:p>
    <w:p w:rsidR="00F94F0F" w:rsidRDefault="00F94F0F">
      <w:pPr>
        <w:adjustRightInd w:val="0"/>
        <w:snapToGrid w:val="0"/>
        <w:spacing w:line="360" w:lineRule="auto"/>
        <w:ind w:firstLineChars="200" w:firstLine="420"/>
        <w:rPr>
          <w:rFonts w:hint="eastAsia"/>
        </w:rPr>
      </w:pPr>
      <w:r>
        <w:rPr>
          <w:rFonts w:hint="eastAsia"/>
        </w:rPr>
        <w:t>3</w:t>
      </w:r>
      <w:r>
        <w:rPr>
          <w:rFonts w:hint="eastAsia"/>
        </w:rPr>
        <w:t>、《银华基金管理股份有限公司关于以通讯方式召开银华中债</w:t>
      </w:r>
      <w:r>
        <w:rPr>
          <w:rFonts w:hint="eastAsia"/>
        </w:rPr>
        <w:t>-5</w:t>
      </w:r>
      <w:r>
        <w:rPr>
          <w:rFonts w:hint="eastAsia"/>
        </w:rPr>
        <w:t>年期国债期货期限匹配金融债指数证券投资基金基金份额持有人大会的第二次提示性公告》</w:t>
      </w:r>
    </w:p>
    <w:p w:rsidR="00F94F0F" w:rsidRDefault="00F94F0F">
      <w:pPr>
        <w:adjustRightInd w:val="0"/>
        <w:snapToGrid w:val="0"/>
        <w:spacing w:line="360" w:lineRule="auto"/>
        <w:ind w:firstLineChars="200" w:firstLine="420"/>
        <w:outlineLvl w:val="0"/>
        <w:rPr>
          <w:rFonts w:hint="eastAsia"/>
        </w:rPr>
      </w:pPr>
      <w:r>
        <w:rPr>
          <w:rFonts w:hint="eastAsia"/>
        </w:rPr>
        <w:t>4</w:t>
      </w:r>
      <w:r>
        <w:rPr>
          <w:rFonts w:hint="eastAsia"/>
        </w:rPr>
        <w:t>、银华中债</w:t>
      </w:r>
      <w:r>
        <w:rPr>
          <w:rFonts w:hint="eastAsia"/>
        </w:rPr>
        <w:t>-5</w:t>
      </w:r>
      <w:r>
        <w:rPr>
          <w:rFonts w:hint="eastAsia"/>
        </w:rPr>
        <w:t>年期国债期货期限匹配金融债指数证券投资基金基金份额持有人大会计票结果</w:t>
      </w:r>
    </w:p>
    <w:p w:rsidR="00F94F0F" w:rsidRDefault="00F94F0F">
      <w:pPr>
        <w:adjustRightInd w:val="0"/>
        <w:snapToGrid w:val="0"/>
        <w:spacing w:line="360" w:lineRule="auto"/>
        <w:ind w:firstLineChars="200" w:firstLine="420"/>
        <w:rPr>
          <w:rFonts w:hint="eastAsia"/>
        </w:rPr>
      </w:pPr>
      <w:r>
        <w:rPr>
          <w:rFonts w:hint="eastAsia"/>
        </w:rPr>
        <w:t>5</w:t>
      </w:r>
      <w:r>
        <w:rPr>
          <w:rFonts w:hint="eastAsia"/>
        </w:rPr>
        <w:t>、北京市方圆公证处出具的公证书</w:t>
      </w:r>
    </w:p>
    <w:p w:rsidR="00F94F0F" w:rsidRDefault="00F94F0F">
      <w:pPr>
        <w:adjustRightInd w:val="0"/>
        <w:snapToGrid w:val="0"/>
        <w:spacing w:line="360" w:lineRule="auto"/>
        <w:ind w:firstLineChars="200" w:firstLine="420"/>
        <w:rPr>
          <w:rFonts w:hint="eastAsia"/>
        </w:rPr>
      </w:pPr>
      <w:r>
        <w:rPr>
          <w:rFonts w:hint="eastAsia"/>
        </w:rPr>
        <w:t>6</w:t>
      </w:r>
      <w:r>
        <w:rPr>
          <w:rFonts w:hint="eastAsia"/>
        </w:rPr>
        <w:t>、上海市通力律师事务所出具的法律意见书</w:t>
      </w:r>
    </w:p>
    <w:p w:rsidR="00F94F0F" w:rsidRDefault="00F94F0F">
      <w:pPr>
        <w:adjustRightInd w:val="0"/>
        <w:snapToGrid w:val="0"/>
        <w:spacing w:line="360" w:lineRule="auto"/>
        <w:ind w:firstLineChars="200" w:firstLine="420"/>
        <w:rPr>
          <w:rFonts w:hint="eastAsia"/>
        </w:rPr>
      </w:pPr>
    </w:p>
    <w:p w:rsidR="00F94F0F" w:rsidRDefault="00F94F0F">
      <w:pPr>
        <w:adjustRightInd w:val="0"/>
        <w:snapToGrid w:val="0"/>
        <w:spacing w:line="360" w:lineRule="auto"/>
        <w:ind w:firstLineChars="200" w:firstLine="420"/>
        <w:rPr>
          <w:rFonts w:hint="eastAsia"/>
        </w:rPr>
      </w:pPr>
      <w:r>
        <w:rPr>
          <w:rFonts w:hint="eastAsia"/>
        </w:rPr>
        <w:t>特此公告。</w:t>
      </w:r>
    </w:p>
    <w:p w:rsidR="00F94F0F" w:rsidRDefault="00F94F0F">
      <w:pPr>
        <w:adjustRightInd w:val="0"/>
        <w:snapToGrid w:val="0"/>
        <w:spacing w:line="360" w:lineRule="auto"/>
        <w:ind w:firstLineChars="200" w:firstLine="420"/>
        <w:rPr>
          <w:rFonts w:hint="eastAsia"/>
        </w:rPr>
      </w:pPr>
    </w:p>
    <w:p w:rsidR="00F94F0F" w:rsidRDefault="00F94F0F">
      <w:pPr>
        <w:adjustRightInd w:val="0"/>
        <w:snapToGrid w:val="0"/>
        <w:spacing w:line="360" w:lineRule="auto"/>
        <w:ind w:firstLineChars="200" w:firstLine="420"/>
        <w:jc w:val="right"/>
        <w:rPr>
          <w:rFonts w:hint="eastAsia"/>
        </w:rPr>
      </w:pPr>
      <w:r>
        <w:rPr>
          <w:rFonts w:hint="eastAsia"/>
        </w:rPr>
        <w:t>银华基金管理股份有限公司</w:t>
      </w:r>
    </w:p>
    <w:p w:rsidR="008A5D32" w:rsidRDefault="00F94F0F">
      <w:pPr>
        <w:adjustRightInd w:val="0"/>
        <w:snapToGrid w:val="0"/>
        <w:spacing w:line="360" w:lineRule="auto"/>
        <w:ind w:firstLineChars="200" w:firstLine="420"/>
        <w:jc w:val="right"/>
      </w:pPr>
      <w:r>
        <w:rPr>
          <w:rFonts w:hint="eastAsia"/>
        </w:rPr>
        <w:t>2020</w:t>
      </w:r>
      <w:r>
        <w:rPr>
          <w:rFonts w:hint="eastAsia"/>
        </w:rPr>
        <w:t>年</w:t>
      </w:r>
      <w:r>
        <w:rPr>
          <w:rFonts w:hint="eastAsia"/>
        </w:rPr>
        <w:t>7</w:t>
      </w:r>
      <w:r>
        <w:rPr>
          <w:rFonts w:hint="eastAsia"/>
        </w:rPr>
        <w:t>月</w:t>
      </w:r>
      <w:r>
        <w:rPr>
          <w:rFonts w:hint="eastAsia"/>
        </w:rPr>
        <w:t>28</w:t>
      </w:r>
      <w:r>
        <w:rPr>
          <w:rFonts w:hint="eastAsia"/>
        </w:rPr>
        <w:t>日</w:t>
      </w:r>
      <w:bookmarkStart w:id="0" w:name="a1"/>
      <w:bookmarkStart w:id="1" w:name="a2"/>
      <w:bookmarkStart w:id="2" w:name="a3"/>
      <w:bookmarkStart w:id="3" w:name="a4"/>
      <w:bookmarkEnd w:id="0"/>
      <w:bookmarkEnd w:id="1"/>
      <w:bookmarkEnd w:id="2"/>
      <w:bookmarkEnd w:id="3"/>
    </w:p>
    <w:p w:rsidR="00F94F0F" w:rsidRDefault="008A5D32" w:rsidP="00B9130E">
      <w:pPr>
        <w:adjustRightInd w:val="0"/>
        <w:snapToGrid w:val="0"/>
        <w:spacing w:line="360" w:lineRule="auto"/>
        <w:ind w:firstLineChars="200" w:firstLine="420"/>
        <w:jc w:val="right"/>
      </w:pPr>
      <w:r>
        <w:br w:type="page"/>
      </w: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6.4pt;margin-top:-56.3pt;width:595.5pt;height:841.5pt;z-index:-251661824" wrapcoords="-27 0 -27 21581 21600 21581 21600 0 -27 0">
            <v:imagedata r:id="rId6" o:title="5年_页面_1"/>
            <w10:wrap type="tight"/>
          </v:shape>
        </w:pict>
      </w:r>
      <w:r>
        <w:br w:type="page"/>
      </w:r>
      <w:r>
        <w:rPr>
          <w:noProof/>
        </w:rPr>
        <w:pict>
          <v:shape id="_x0000_s1028" type="#_x0000_t75" style="position:absolute;left:0;text-align:left;margin-left:.3pt;margin-top:.35pt;width:595.5pt;height:841.5pt;z-index:-251660800" wrapcoords="-27 0 -27 21581 21600 21581 21600 0 -27 0">
            <v:imagedata r:id="rId7" o:title="5年_页面_2"/>
            <w10:wrap type="tight"/>
          </v:shape>
        </w:pict>
      </w:r>
      <w:r>
        <w:br w:type="page"/>
      </w:r>
      <w:r>
        <w:rPr>
          <w:noProof/>
        </w:rPr>
        <w:pict>
          <v:shape id="_x0000_s1029" type="#_x0000_t75" style="position:absolute;left:0;text-align:left;margin-left:.3pt;margin-top:.35pt;width:595.5pt;height:841.5pt;z-index:-251659776" wrapcoords="-27 0 -27 21581 21600 21581 21600 0 -27 0">
            <v:imagedata r:id="rId8" o:title="5年_页面_3"/>
            <w10:wrap type="tight"/>
          </v:shape>
        </w:pict>
      </w:r>
      <w:r>
        <w:br w:type="page"/>
      </w:r>
      <w:r>
        <w:rPr>
          <w:noProof/>
        </w:rPr>
        <w:pict>
          <v:shape id="_x0000_s1030" type="#_x0000_t75" style="position:absolute;left:0;text-align:left;margin-left:.3pt;margin-top:.35pt;width:595.5pt;height:841.5pt;z-index:-251658752" wrapcoords="-27 0 -27 21581 21600 21581 21600 0 -27 0">
            <v:imagedata r:id="rId9" o:title="5年_页面_4"/>
            <w10:wrap type="tight"/>
          </v:shape>
        </w:pict>
      </w:r>
      <w:r>
        <w:br w:type="page"/>
      </w:r>
      <w:r>
        <w:rPr>
          <w:noProof/>
        </w:rPr>
        <w:pict>
          <v:shape id="_x0000_s1031" type="#_x0000_t75" style="position:absolute;left:0;text-align:left;margin-left:.3pt;margin-top:.35pt;width:595.5pt;height:841.5pt;z-index:-251657728" wrapcoords="-27 0 -27 21581 21600 21581 21600 0 -27 0">
            <v:imagedata r:id="rId10" o:title="5年_页面_5"/>
            <w10:wrap type="tight"/>
          </v:shape>
        </w:pict>
      </w:r>
      <w:r>
        <w:br w:type="page"/>
      </w:r>
      <w:r>
        <w:rPr>
          <w:noProof/>
        </w:rPr>
        <w:pict>
          <v:shape id="_x0000_s1032" type="#_x0000_t75" style="position:absolute;left:0;text-align:left;margin-left:.3pt;margin-top:.35pt;width:595.5pt;height:841.5pt;z-index:-251656704" wrapcoords="-27 0 -27 21581 21600 21581 21600 0 -27 0">
            <v:imagedata r:id="rId11" o:title="5年_页面_6"/>
            <w10:wrap type="tight"/>
          </v:shape>
        </w:pict>
      </w:r>
      <w:r>
        <w:br w:type="page"/>
      </w:r>
      <w:r>
        <w:rPr>
          <w:noProof/>
        </w:rPr>
        <w:pict>
          <v:shape id="_x0000_s1033" type="#_x0000_t75" style="position:absolute;left:0;text-align:left;margin-left:21.3pt;margin-top:.35pt;width:595.5pt;height:841.5pt;z-index:-251655680" wrapcoords="-27 0 -27 21581 21600 21581 21600 0 -27 0">
            <v:imagedata r:id="rId12" o:title="5年_页面_7"/>
            <w10:wrap type="tight"/>
          </v:shape>
        </w:pict>
      </w:r>
    </w:p>
    <w:sectPr w:rsidR="00F94F0F">
      <w:footerReference w:type="even" r:id="rId13"/>
      <w:footerReference w:type="default" r:id="rId14"/>
      <w:pgSz w:w="11906" w:h="16838"/>
      <w:pgMar w:top="1134" w:right="1134" w:bottom="1134" w:left="1134"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6BCA" w:rsidRDefault="00016BCA">
      <w:r>
        <w:separator/>
      </w:r>
    </w:p>
  </w:endnote>
  <w:endnote w:type="continuationSeparator" w:id="0">
    <w:p w:rsidR="00016BCA" w:rsidRDefault="00016B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F0F" w:rsidRDefault="00F94F0F">
    <w:pPr>
      <w:pStyle w:val="ac"/>
      <w:framePr w:wrap="around" w:vAnchor="text" w:hAnchor="margin" w:xAlign="center" w:y="1"/>
      <w:rPr>
        <w:rStyle w:val="a4"/>
      </w:rPr>
    </w:pPr>
    <w:r>
      <w:fldChar w:fldCharType="begin"/>
    </w:r>
    <w:r>
      <w:rPr>
        <w:rStyle w:val="a4"/>
      </w:rPr>
      <w:instrText xml:space="preserve">PAGE  </w:instrText>
    </w:r>
    <w:r>
      <w:fldChar w:fldCharType="end"/>
    </w:r>
  </w:p>
  <w:p w:rsidR="00F94F0F" w:rsidRDefault="00F94F0F">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F0F" w:rsidRDefault="00F94F0F">
    <w:pPr>
      <w:pStyle w:val="ac"/>
      <w:framePr w:wrap="around" w:vAnchor="text" w:hAnchor="margin" w:xAlign="center" w:y="1"/>
      <w:rPr>
        <w:rStyle w:val="a4"/>
      </w:rPr>
    </w:pPr>
    <w:r>
      <w:fldChar w:fldCharType="begin"/>
    </w:r>
    <w:r>
      <w:rPr>
        <w:rStyle w:val="a4"/>
      </w:rPr>
      <w:instrText xml:space="preserve">PAGE  </w:instrText>
    </w:r>
    <w:r>
      <w:fldChar w:fldCharType="separate"/>
    </w:r>
    <w:r w:rsidR="003551E9">
      <w:rPr>
        <w:rStyle w:val="a4"/>
        <w:noProof/>
      </w:rPr>
      <w:t>1</w:t>
    </w:r>
    <w:r>
      <w:fldChar w:fldCharType="end"/>
    </w:r>
  </w:p>
  <w:p w:rsidR="00F94F0F" w:rsidRDefault="00F94F0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6BCA" w:rsidRDefault="00016BCA">
      <w:r>
        <w:separator/>
      </w:r>
    </w:p>
  </w:footnote>
  <w:footnote w:type="continuationSeparator" w:id="0">
    <w:p w:rsidR="00016BCA" w:rsidRDefault="00016BC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attachedTemplate r:id="rId1"/>
  <w:stylePaneFormatFilter w:val="3F01"/>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72A27"/>
    <w:rsid w:val="00000AD8"/>
    <w:rsid w:val="0000354A"/>
    <w:rsid w:val="00003582"/>
    <w:rsid w:val="0000610F"/>
    <w:rsid w:val="00006221"/>
    <w:rsid w:val="00006635"/>
    <w:rsid w:val="0001150F"/>
    <w:rsid w:val="000125CC"/>
    <w:rsid w:val="00014CE0"/>
    <w:rsid w:val="000162F1"/>
    <w:rsid w:val="00016BCA"/>
    <w:rsid w:val="00016E7E"/>
    <w:rsid w:val="000176D7"/>
    <w:rsid w:val="00027A31"/>
    <w:rsid w:val="00027D90"/>
    <w:rsid w:val="00031207"/>
    <w:rsid w:val="00035FEF"/>
    <w:rsid w:val="00036452"/>
    <w:rsid w:val="00036870"/>
    <w:rsid w:val="000376D8"/>
    <w:rsid w:val="00037CC3"/>
    <w:rsid w:val="000430BC"/>
    <w:rsid w:val="00043EA7"/>
    <w:rsid w:val="00044D2A"/>
    <w:rsid w:val="000450C4"/>
    <w:rsid w:val="00045BDD"/>
    <w:rsid w:val="0004600E"/>
    <w:rsid w:val="0004627A"/>
    <w:rsid w:val="000543E5"/>
    <w:rsid w:val="00056159"/>
    <w:rsid w:val="00062BC6"/>
    <w:rsid w:val="000634B2"/>
    <w:rsid w:val="000651F2"/>
    <w:rsid w:val="00067F54"/>
    <w:rsid w:val="00070241"/>
    <w:rsid w:val="00070ED3"/>
    <w:rsid w:val="000710AD"/>
    <w:rsid w:val="0007336F"/>
    <w:rsid w:val="00073BBA"/>
    <w:rsid w:val="00073F8C"/>
    <w:rsid w:val="00074AD9"/>
    <w:rsid w:val="00076296"/>
    <w:rsid w:val="00077473"/>
    <w:rsid w:val="00077B1A"/>
    <w:rsid w:val="000806A7"/>
    <w:rsid w:val="000831EE"/>
    <w:rsid w:val="00084878"/>
    <w:rsid w:val="00084E18"/>
    <w:rsid w:val="00084EC5"/>
    <w:rsid w:val="0008596A"/>
    <w:rsid w:val="000866C2"/>
    <w:rsid w:val="000931E2"/>
    <w:rsid w:val="00094296"/>
    <w:rsid w:val="00097712"/>
    <w:rsid w:val="000A08C7"/>
    <w:rsid w:val="000A1378"/>
    <w:rsid w:val="000A226C"/>
    <w:rsid w:val="000A3205"/>
    <w:rsid w:val="000A3A14"/>
    <w:rsid w:val="000A5E75"/>
    <w:rsid w:val="000A6BE0"/>
    <w:rsid w:val="000A6FD5"/>
    <w:rsid w:val="000B01E9"/>
    <w:rsid w:val="000B06C5"/>
    <w:rsid w:val="000B4ECE"/>
    <w:rsid w:val="000C1707"/>
    <w:rsid w:val="000C65DA"/>
    <w:rsid w:val="000D0E61"/>
    <w:rsid w:val="000D1B4B"/>
    <w:rsid w:val="000D1BDC"/>
    <w:rsid w:val="000D7E99"/>
    <w:rsid w:val="000E288D"/>
    <w:rsid w:val="000E37C8"/>
    <w:rsid w:val="000E7095"/>
    <w:rsid w:val="000F0500"/>
    <w:rsid w:val="000F0BF3"/>
    <w:rsid w:val="000F3CA1"/>
    <w:rsid w:val="000F50D9"/>
    <w:rsid w:val="000F6921"/>
    <w:rsid w:val="000F79A6"/>
    <w:rsid w:val="0010059A"/>
    <w:rsid w:val="00100ACB"/>
    <w:rsid w:val="00101697"/>
    <w:rsid w:val="0010233B"/>
    <w:rsid w:val="00103D23"/>
    <w:rsid w:val="001105B0"/>
    <w:rsid w:val="001173C2"/>
    <w:rsid w:val="001227D2"/>
    <w:rsid w:val="00125C9E"/>
    <w:rsid w:val="00127C71"/>
    <w:rsid w:val="001338B1"/>
    <w:rsid w:val="00134710"/>
    <w:rsid w:val="001440D9"/>
    <w:rsid w:val="00154A29"/>
    <w:rsid w:val="00155548"/>
    <w:rsid w:val="00155550"/>
    <w:rsid w:val="00156EFB"/>
    <w:rsid w:val="00163611"/>
    <w:rsid w:val="0016372E"/>
    <w:rsid w:val="001673DC"/>
    <w:rsid w:val="001678E7"/>
    <w:rsid w:val="00170E99"/>
    <w:rsid w:val="001747A5"/>
    <w:rsid w:val="00174905"/>
    <w:rsid w:val="00176162"/>
    <w:rsid w:val="00177AA2"/>
    <w:rsid w:val="001800C4"/>
    <w:rsid w:val="001802F7"/>
    <w:rsid w:val="001847FB"/>
    <w:rsid w:val="00190138"/>
    <w:rsid w:val="00190815"/>
    <w:rsid w:val="00191B97"/>
    <w:rsid w:val="00194E9C"/>
    <w:rsid w:val="0019605C"/>
    <w:rsid w:val="001A1DDC"/>
    <w:rsid w:val="001A6BB0"/>
    <w:rsid w:val="001A7F66"/>
    <w:rsid w:val="001B157E"/>
    <w:rsid w:val="001B4AC0"/>
    <w:rsid w:val="001B60CD"/>
    <w:rsid w:val="001B68F4"/>
    <w:rsid w:val="001C2990"/>
    <w:rsid w:val="001C429D"/>
    <w:rsid w:val="001D27E9"/>
    <w:rsid w:val="001D4FB7"/>
    <w:rsid w:val="001D540E"/>
    <w:rsid w:val="001D6C09"/>
    <w:rsid w:val="001D7F63"/>
    <w:rsid w:val="001E169F"/>
    <w:rsid w:val="001E31A1"/>
    <w:rsid w:val="001E36BE"/>
    <w:rsid w:val="001E4785"/>
    <w:rsid w:val="001F032F"/>
    <w:rsid w:val="001F0D23"/>
    <w:rsid w:val="001F1038"/>
    <w:rsid w:val="001F56AD"/>
    <w:rsid w:val="001F571D"/>
    <w:rsid w:val="001F61DF"/>
    <w:rsid w:val="001F6F38"/>
    <w:rsid w:val="002001A3"/>
    <w:rsid w:val="00200FC4"/>
    <w:rsid w:val="00201BA7"/>
    <w:rsid w:val="0021302A"/>
    <w:rsid w:val="0021305D"/>
    <w:rsid w:val="00213514"/>
    <w:rsid w:val="002143F2"/>
    <w:rsid w:val="00214A5F"/>
    <w:rsid w:val="0021600B"/>
    <w:rsid w:val="00222D7B"/>
    <w:rsid w:val="0022347B"/>
    <w:rsid w:val="002238F7"/>
    <w:rsid w:val="00224EC0"/>
    <w:rsid w:val="00234A32"/>
    <w:rsid w:val="002375DC"/>
    <w:rsid w:val="00237AA7"/>
    <w:rsid w:val="00237C20"/>
    <w:rsid w:val="00241CCC"/>
    <w:rsid w:val="002450D7"/>
    <w:rsid w:val="002553B6"/>
    <w:rsid w:val="00256872"/>
    <w:rsid w:val="00262D57"/>
    <w:rsid w:val="00263EC6"/>
    <w:rsid w:val="002659CE"/>
    <w:rsid w:val="00265CB2"/>
    <w:rsid w:val="002700C1"/>
    <w:rsid w:val="00273B43"/>
    <w:rsid w:val="002747BD"/>
    <w:rsid w:val="00274A42"/>
    <w:rsid w:val="00276248"/>
    <w:rsid w:val="00277E58"/>
    <w:rsid w:val="002829C6"/>
    <w:rsid w:val="00284DAF"/>
    <w:rsid w:val="00290DE4"/>
    <w:rsid w:val="00294E42"/>
    <w:rsid w:val="00294F58"/>
    <w:rsid w:val="00294FF4"/>
    <w:rsid w:val="002A12D9"/>
    <w:rsid w:val="002A1371"/>
    <w:rsid w:val="002A2F83"/>
    <w:rsid w:val="002A5CBD"/>
    <w:rsid w:val="002A7D50"/>
    <w:rsid w:val="002A7D8B"/>
    <w:rsid w:val="002B11B9"/>
    <w:rsid w:val="002B2702"/>
    <w:rsid w:val="002B4824"/>
    <w:rsid w:val="002B5874"/>
    <w:rsid w:val="002B68A7"/>
    <w:rsid w:val="002B6ACE"/>
    <w:rsid w:val="002B71EE"/>
    <w:rsid w:val="002C6180"/>
    <w:rsid w:val="002C7E4D"/>
    <w:rsid w:val="002D1387"/>
    <w:rsid w:val="002D35BB"/>
    <w:rsid w:val="002D366A"/>
    <w:rsid w:val="002D45F6"/>
    <w:rsid w:val="002E3EE1"/>
    <w:rsid w:val="002E6ECC"/>
    <w:rsid w:val="002F035A"/>
    <w:rsid w:val="002F42E3"/>
    <w:rsid w:val="002F49E2"/>
    <w:rsid w:val="002F5042"/>
    <w:rsid w:val="00300DD2"/>
    <w:rsid w:val="00301588"/>
    <w:rsid w:val="0030344A"/>
    <w:rsid w:val="00304F39"/>
    <w:rsid w:val="003060C2"/>
    <w:rsid w:val="00306606"/>
    <w:rsid w:val="00307875"/>
    <w:rsid w:val="00316E6E"/>
    <w:rsid w:val="00320A4D"/>
    <w:rsid w:val="00320B95"/>
    <w:rsid w:val="003275C1"/>
    <w:rsid w:val="00332D68"/>
    <w:rsid w:val="00336451"/>
    <w:rsid w:val="00336CD1"/>
    <w:rsid w:val="003379B4"/>
    <w:rsid w:val="00337DCC"/>
    <w:rsid w:val="003428AF"/>
    <w:rsid w:val="00342B2A"/>
    <w:rsid w:val="003441D8"/>
    <w:rsid w:val="00345809"/>
    <w:rsid w:val="00345D11"/>
    <w:rsid w:val="00347AF2"/>
    <w:rsid w:val="00350531"/>
    <w:rsid w:val="003506D3"/>
    <w:rsid w:val="003519BA"/>
    <w:rsid w:val="00353A0A"/>
    <w:rsid w:val="00353B92"/>
    <w:rsid w:val="003542A7"/>
    <w:rsid w:val="003551E9"/>
    <w:rsid w:val="003566EC"/>
    <w:rsid w:val="0035740A"/>
    <w:rsid w:val="003612B3"/>
    <w:rsid w:val="003636F4"/>
    <w:rsid w:val="003655EC"/>
    <w:rsid w:val="003704F8"/>
    <w:rsid w:val="003715E8"/>
    <w:rsid w:val="00371B0B"/>
    <w:rsid w:val="00375227"/>
    <w:rsid w:val="00375959"/>
    <w:rsid w:val="003818C3"/>
    <w:rsid w:val="00382428"/>
    <w:rsid w:val="003842BB"/>
    <w:rsid w:val="0038442D"/>
    <w:rsid w:val="003872FE"/>
    <w:rsid w:val="0038762F"/>
    <w:rsid w:val="0039065B"/>
    <w:rsid w:val="003938F2"/>
    <w:rsid w:val="003953CD"/>
    <w:rsid w:val="0039771A"/>
    <w:rsid w:val="003A0F75"/>
    <w:rsid w:val="003A1329"/>
    <w:rsid w:val="003A196E"/>
    <w:rsid w:val="003A35C4"/>
    <w:rsid w:val="003A7528"/>
    <w:rsid w:val="003B284B"/>
    <w:rsid w:val="003B4697"/>
    <w:rsid w:val="003B47EB"/>
    <w:rsid w:val="003B5146"/>
    <w:rsid w:val="003B6799"/>
    <w:rsid w:val="003B75C7"/>
    <w:rsid w:val="003C0E54"/>
    <w:rsid w:val="003C6596"/>
    <w:rsid w:val="003C7A98"/>
    <w:rsid w:val="003D0277"/>
    <w:rsid w:val="003D0591"/>
    <w:rsid w:val="003D0747"/>
    <w:rsid w:val="003E0124"/>
    <w:rsid w:val="003E0C29"/>
    <w:rsid w:val="003E74A7"/>
    <w:rsid w:val="003F1F4D"/>
    <w:rsid w:val="003F3D59"/>
    <w:rsid w:val="003F7BE7"/>
    <w:rsid w:val="004025D2"/>
    <w:rsid w:val="00402B54"/>
    <w:rsid w:val="004043AD"/>
    <w:rsid w:val="00407F63"/>
    <w:rsid w:val="00410A0E"/>
    <w:rsid w:val="00410C68"/>
    <w:rsid w:val="0041269E"/>
    <w:rsid w:val="00416103"/>
    <w:rsid w:val="0041616D"/>
    <w:rsid w:val="00416A2B"/>
    <w:rsid w:val="0041730D"/>
    <w:rsid w:val="004201A7"/>
    <w:rsid w:val="0042227E"/>
    <w:rsid w:val="00424A0A"/>
    <w:rsid w:val="004309C5"/>
    <w:rsid w:val="004321E3"/>
    <w:rsid w:val="00441110"/>
    <w:rsid w:val="00443BE4"/>
    <w:rsid w:val="00444E82"/>
    <w:rsid w:val="004504CB"/>
    <w:rsid w:val="00450AAB"/>
    <w:rsid w:val="0045115B"/>
    <w:rsid w:val="00461CA2"/>
    <w:rsid w:val="004640E5"/>
    <w:rsid w:val="00471505"/>
    <w:rsid w:val="0047302B"/>
    <w:rsid w:val="004740BF"/>
    <w:rsid w:val="00474695"/>
    <w:rsid w:val="004770DD"/>
    <w:rsid w:val="00484830"/>
    <w:rsid w:val="00487956"/>
    <w:rsid w:val="00491B9F"/>
    <w:rsid w:val="004A1850"/>
    <w:rsid w:val="004A485C"/>
    <w:rsid w:val="004A4EEE"/>
    <w:rsid w:val="004A6257"/>
    <w:rsid w:val="004A6B3D"/>
    <w:rsid w:val="004B0AE2"/>
    <w:rsid w:val="004B2764"/>
    <w:rsid w:val="004B5F46"/>
    <w:rsid w:val="004B6B20"/>
    <w:rsid w:val="004B7858"/>
    <w:rsid w:val="004C2357"/>
    <w:rsid w:val="004C4A9C"/>
    <w:rsid w:val="004C5252"/>
    <w:rsid w:val="004D0339"/>
    <w:rsid w:val="004D1F25"/>
    <w:rsid w:val="004D27AC"/>
    <w:rsid w:val="004D2D4E"/>
    <w:rsid w:val="004D36C9"/>
    <w:rsid w:val="004D46F8"/>
    <w:rsid w:val="004E0780"/>
    <w:rsid w:val="004E3FFA"/>
    <w:rsid w:val="004E6602"/>
    <w:rsid w:val="004E6714"/>
    <w:rsid w:val="004F61F7"/>
    <w:rsid w:val="00513572"/>
    <w:rsid w:val="0051450D"/>
    <w:rsid w:val="0052363E"/>
    <w:rsid w:val="00523794"/>
    <w:rsid w:val="00525098"/>
    <w:rsid w:val="00525B98"/>
    <w:rsid w:val="00525F9A"/>
    <w:rsid w:val="00526835"/>
    <w:rsid w:val="0052689D"/>
    <w:rsid w:val="00527A3A"/>
    <w:rsid w:val="0053022F"/>
    <w:rsid w:val="0053134A"/>
    <w:rsid w:val="00532779"/>
    <w:rsid w:val="00534816"/>
    <w:rsid w:val="005358C0"/>
    <w:rsid w:val="00536882"/>
    <w:rsid w:val="005370E4"/>
    <w:rsid w:val="00537CE2"/>
    <w:rsid w:val="00540EFE"/>
    <w:rsid w:val="005425C8"/>
    <w:rsid w:val="00544302"/>
    <w:rsid w:val="005466AB"/>
    <w:rsid w:val="005468A7"/>
    <w:rsid w:val="00546B73"/>
    <w:rsid w:val="00550674"/>
    <w:rsid w:val="005536CC"/>
    <w:rsid w:val="00553F9A"/>
    <w:rsid w:val="0055511B"/>
    <w:rsid w:val="00555592"/>
    <w:rsid w:val="00561306"/>
    <w:rsid w:val="00562511"/>
    <w:rsid w:val="00562A0A"/>
    <w:rsid w:val="00563F3C"/>
    <w:rsid w:val="00567646"/>
    <w:rsid w:val="0056777E"/>
    <w:rsid w:val="005736CA"/>
    <w:rsid w:val="00575749"/>
    <w:rsid w:val="005809FB"/>
    <w:rsid w:val="00581325"/>
    <w:rsid w:val="0058235F"/>
    <w:rsid w:val="0058446B"/>
    <w:rsid w:val="00586CDC"/>
    <w:rsid w:val="00591C6A"/>
    <w:rsid w:val="0059219C"/>
    <w:rsid w:val="0059238F"/>
    <w:rsid w:val="005A07EE"/>
    <w:rsid w:val="005B21D9"/>
    <w:rsid w:val="005B4DFB"/>
    <w:rsid w:val="005B4EEA"/>
    <w:rsid w:val="005B581B"/>
    <w:rsid w:val="005B6595"/>
    <w:rsid w:val="005B6B10"/>
    <w:rsid w:val="005B7670"/>
    <w:rsid w:val="005B7B82"/>
    <w:rsid w:val="005C07A4"/>
    <w:rsid w:val="005C0ADE"/>
    <w:rsid w:val="005C1F92"/>
    <w:rsid w:val="005C2A5B"/>
    <w:rsid w:val="005D0BF1"/>
    <w:rsid w:val="005D0D1F"/>
    <w:rsid w:val="005D4495"/>
    <w:rsid w:val="005D725D"/>
    <w:rsid w:val="005E13E7"/>
    <w:rsid w:val="005E3821"/>
    <w:rsid w:val="005E46EA"/>
    <w:rsid w:val="005E4E82"/>
    <w:rsid w:val="005F2649"/>
    <w:rsid w:val="005F2D39"/>
    <w:rsid w:val="005F4A81"/>
    <w:rsid w:val="005F50C4"/>
    <w:rsid w:val="005F58EA"/>
    <w:rsid w:val="005F7BE0"/>
    <w:rsid w:val="006023EF"/>
    <w:rsid w:val="00602A4B"/>
    <w:rsid w:val="00610478"/>
    <w:rsid w:val="00610CF2"/>
    <w:rsid w:val="006114A9"/>
    <w:rsid w:val="00611547"/>
    <w:rsid w:val="00621BB1"/>
    <w:rsid w:val="0062294C"/>
    <w:rsid w:val="006234FE"/>
    <w:rsid w:val="00623966"/>
    <w:rsid w:val="0062409E"/>
    <w:rsid w:val="006306E2"/>
    <w:rsid w:val="00632C7A"/>
    <w:rsid w:val="00634F15"/>
    <w:rsid w:val="00635B2D"/>
    <w:rsid w:val="00636937"/>
    <w:rsid w:val="006370F2"/>
    <w:rsid w:val="006376A0"/>
    <w:rsid w:val="006376EE"/>
    <w:rsid w:val="0064080C"/>
    <w:rsid w:val="00640E68"/>
    <w:rsid w:val="00641405"/>
    <w:rsid w:val="00641D36"/>
    <w:rsid w:val="00642266"/>
    <w:rsid w:val="00650F98"/>
    <w:rsid w:val="0065335F"/>
    <w:rsid w:val="006536E8"/>
    <w:rsid w:val="006559EA"/>
    <w:rsid w:val="00656332"/>
    <w:rsid w:val="00656B55"/>
    <w:rsid w:val="00660184"/>
    <w:rsid w:val="006654F0"/>
    <w:rsid w:val="006662A8"/>
    <w:rsid w:val="00670359"/>
    <w:rsid w:val="0067149C"/>
    <w:rsid w:val="00673A53"/>
    <w:rsid w:val="00674AC0"/>
    <w:rsid w:val="00677983"/>
    <w:rsid w:val="006833AE"/>
    <w:rsid w:val="00685785"/>
    <w:rsid w:val="006859CF"/>
    <w:rsid w:val="00690714"/>
    <w:rsid w:val="00695651"/>
    <w:rsid w:val="006A09F3"/>
    <w:rsid w:val="006A1B17"/>
    <w:rsid w:val="006A26BB"/>
    <w:rsid w:val="006A38F0"/>
    <w:rsid w:val="006A4708"/>
    <w:rsid w:val="006A579E"/>
    <w:rsid w:val="006A67EA"/>
    <w:rsid w:val="006A7103"/>
    <w:rsid w:val="006C0354"/>
    <w:rsid w:val="006C0B43"/>
    <w:rsid w:val="006C3532"/>
    <w:rsid w:val="006C424A"/>
    <w:rsid w:val="006D103F"/>
    <w:rsid w:val="006D33E0"/>
    <w:rsid w:val="006D6FBB"/>
    <w:rsid w:val="006E36EF"/>
    <w:rsid w:val="006E5814"/>
    <w:rsid w:val="006E7951"/>
    <w:rsid w:val="006F1911"/>
    <w:rsid w:val="006F3EAC"/>
    <w:rsid w:val="006F405E"/>
    <w:rsid w:val="006F556D"/>
    <w:rsid w:val="006F6D2E"/>
    <w:rsid w:val="00701447"/>
    <w:rsid w:val="0070188A"/>
    <w:rsid w:val="00703F3D"/>
    <w:rsid w:val="00705023"/>
    <w:rsid w:val="00705FB5"/>
    <w:rsid w:val="0070667D"/>
    <w:rsid w:val="007109F4"/>
    <w:rsid w:val="00715D7E"/>
    <w:rsid w:val="00722671"/>
    <w:rsid w:val="00723516"/>
    <w:rsid w:val="00724E48"/>
    <w:rsid w:val="00730538"/>
    <w:rsid w:val="00731B4B"/>
    <w:rsid w:val="00732379"/>
    <w:rsid w:val="00732BA6"/>
    <w:rsid w:val="0073500D"/>
    <w:rsid w:val="00737B9B"/>
    <w:rsid w:val="00740B34"/>
    <w:rsid w:val="00741332"/>
    <w:rsid w:val="00746C26"/>
    <w:rsid w:val="00750BF0"/>
    <w:rsid w:val="00752AA5"/>
    <w:rsid w:val="00753B13"/>
    <w:rsid w:val="00753F87"/>
    <w:rsid w:val="00755FA4"/>
    <w:rsid w:val="00756576"/>
    <w:rsid w:val="00760249"/>
    <w:rsid w:val="00760C78"/>
    <w:rsid w:val="00760D2F"/>
    <w:rsid w:val="007637FC"/>
    <w:rsid w:val="007658AF"/>
    <w:rsid w:val="00767ED1"/>
    <w:rsid w:val="00771899"/>
    <w:rsid w:val="0077302C"/>
    <w:rsid w:val="0077420F"/>
    <w:rsid w:val="00774CBF"/>
    <w:rsid w:val="007801C1"/>
    <w:rsid w:val="007804F6"/>
    <w:rsid w:val="00781821"/>
    <w:rsid w:val="007826A3"/>
    <w:rsid w:val="00782C3A"/>
    <w:rsid w:val="0078425B"/>
    <w:rsid w:val="007872C1"/>
    <w:rsid w:val="00791B3F"/>
    <w:rsid w:val="00794C9F"/>
    <w:rsid w:val="00794F93"/>
    <w:rsid w:val="0079512B"/>
    <w:rsid w:val="0079541E"/>
    <w:rsid w:val="00797A6E"/>
    <w:rsid w:val="007A03AF"/>
    <w:rsid w:val="007A4A4E"/>
    <w:rsid w:val="007A6A2E"/>
    <w:rsid w:val="007B1B8A"/>
    <w:rsid w:val="007B2E6F"/>
    <w:rsid w:val="007B635C"/>
    <w:rsid w:val="007B70FC"/>
    <w:rsid w:val="007C05C6"/>
    <w:rsid w:val="007C1718"/>
    <w:rsid w:val="007C2210"/>
    <w:rsid w:val="007C649D"/>
    <w:rsid w:val="007C6E24"/>
    <w:rsid w:val="007C7211"/>
    <w:rsid w:val="007C786F"/>
    <w:rsid w:val="007D62D4"/>
    <w:rsid w:val="007D6C6D"/>
    <w:rsid w:val="007F19AA"/>
    <w:rsid w:val="007F41BB"/>
    <w:rsid w:val="007F51D8"/>
    <w:rsid w:val="007F581B"/>
    <w:rsid w:val="008017BB"/>
    <w:rsid w:val="0080446B"/>
    <w:rsid w:val="008044C9"/>
    <w:rsid w:val="00813953"/>
    <w:rsid w:val="00813960"/>
    <w:rsid w:val="00816D28"/>
    <w:rsid w:val="00816F09"/>
    <w:rsid w:val="008172E7"/>
    <w:rsid w:val="00817DBE"/>
    <w:rsid w:val="0082067B"/>
    <w:rsid w:val="00821D83"/>
    <w:rsid w:val="00824BAA"/>
    <w:rsid w:val="00825866"/>
    <w:rsid w:val="00826511"/>
    <w:rsid w:val="0082736E"/>
    <w:rsid w:val="008275C9"/>
    <w:rsid w:val="008327B5"/>
    <w:rsid w:val="008328F2"/>
    <w:rsid w:val="008333E9"/>
    <w:rsid w:val="00834008"/>
    <w:rsid w:val="0083499F"/>
    <w:rsid w:val="00834F79"/>
    <w:rsid w:val="0084447D"/>
    <w:rsid w:val="008447FC"/>
    <w:rsid w:val="00850BEB"/>
    <w:rsid w:val="00855D54"/>
    <w:rsid w:val="00856237"/>
    <w:rsid w:val="00856CBB"/>
    <w:rsid w:val="0086132C"/>
    <w:rsid w:val="00863230"/>
    <w:rsid w:val="00864758"/>
    <w:rsid w:val="008666C2"/>
    <w:rsid w:val="008670C2"/>
    <w:rsid w:val="00867B75"/>
    <w:rsid w:val="00871BDC"/>
    <w:rsid w:val="00872C8B"/>
    <w:rsid w:val="00873998"/>
    <w:rsid w:val="0087399F"/>
    <w:rsid w:val="00873BDD"/>
    <w:rsid w:val="00873D6F"/>
    <w:rsid w:val="00873FCF"/>
    <w:rsid w:val="008751A9"/>
    <w:rsid w:val="0087610B"/>
    <w:rsid w:val="0088126B"/>
    <w:rsid w:val="00881469"/>
    <w:rsid w:val="00883E43"/>
    <w:rsid w:val="00886638"/>
    <w:rsid w:val="00887F56"/>
    <w:rsid w:val="00891FF6"/>
    <w:rsid w:val="008937C8"/>
    <w:rsid w:val="00894CD6"/>
    <w:rsid w:val="008A083F"/>
    <w:rsid w:val="008A5472"/>
    <w:rsid w:val="008A568D"/>
    <w:rsid w:val="008A5D32"/>
    <w:rsid w:val="008A698A"/>
    <w:rsid w:val="008A6F52"/>
    <w:rsid w:val="008B086A"/>
    <w:rsid w:val="008B1143"/>
    <w:rsid w:val="008B22B1"/>
    <w:rsid w:val="008B3288"/>
    <w:rsid w:val="008B48B9"/>
    <w:rsid w:val="008B4BDD"/>
    <w:rsid w:val="008C0216"/>
    <w:rsid w:val="008C16CD"/>
    <w:rsid w:val="008C1C2C"/>
    <w:rsid w:val="008C2087"/>
    <w:rsid w:val="008C24EB"/>
    <w:rsid w:val="008C2D79"/>
    <w:rsid w:val="008C5643"/>
    <w:rsid w:val="008C732A"/>
    <w:rsid w:val="008D09E2"/>
    <w:rsid w:val="008D17F3"/>
    <w:rsid w:val="008D1862"/>
    <w:rsid w:val="008D4BC7"/>
    <w:rsid w:val="008D6673"/>
    <w:rsid w:val="008D6675"/>
    <w:rsid w:val="008E3A09"/>
    <w:rsid w:val="008F2258"/>
    <w:rsid w:val="008F3DC3"/>
    <w:rsid w:val="008F50BB"/>
    <w:rsid w:val="008F75EC"/>
    <w:rsid w:val="008F7BF6"/>
    <w:rsid w:val="00900D0A"/>
    <w:rsid w:val="0090171F"/>
    <w:rsid w:val="009107E2"/>
    <w:rsid w:val="00914364"/>
    <w:rsid w:val="0091655B"/>
    <w:rsid w:val="009254ED"/>
    <w:rsid w:val="00925723"/>
    <w:rsid w:val="009269C6"/>
    <w:rsid w:val="00927D61"/>
    <w:rsid w:val="009300B5"/>
    <w:rsid w:val="00932655"/>
    <w:rsid w:val="00932721"/>
    <w:rsid w:val="00934693"/>
    <w:rsid w:val="00935E4F"/>
    <w:rsid w:val="0093692F"/>
    <w:rsid w:val="00936E8A"/>
    <w:rsid w:val="009402C3"/>
    <w:rsid w:val="009403A0"/>
    <w:rsid w:val="00940936"/>
    <w:rsid w:val="00942DC3"/>
    <w:rsid w:val="00942F4E"/>
    <w:rsid w:val="009435DB"/>
    <w:rsid w:val="0094390A"/>
    <w:rsid w:val="00944021"/>
    <w:rsid w:val="00953631"/>
    <w:rsid w:val="00961B81"/>
    <w:rsid w:val="00964750"/>
    <w:rsid w:val="00964CAD"/>
    <w:rsid w:val="009652F9"/>
    <w:rsid w:val="00967B6A"/>
    <w:rsid w:val="0097098B"/>
    <w:rsid w:val="0097229F"/>
    <w:rsid w:val="009741C2"/>
    <w:rsid w:val="00976007"/>
    <w:rsid w:val="009775B7"/>
    <w:rsid w:val="00977A69"/>
    <w:rsid w:val="0098278A"/>
    <w:rsid w:val="00985C27"/>
    <w:rsid w:val="00986D99"/>
    <w:rsid w:val="00992287"/>
    <w:rsid w:val="009926E4"/>
    <w:rsid w:val="0099547D"/>
    <w:rsid w:val="009968BF"/>
    <w:rsid w:val="009A2138"/>
    <w:rsid w:val="009A3AA0"/>
    <w:rsid w:val="009B091F"/>
    <w:rsid w:val="009B16FB"/>
    <w:rsid w:val="009B1C41"/>
    <w:rsid w:val="009B779C"/>
    <w:rsid w:val="009C26CC"/>
    <w:rsid w:val="009C5CAB"/>
    <w:rsid w:val="009C60D4"/>
    <w:rsid w:val="009D01DE"/>
    <w:rsid w:val="009D044C"/>
    <w:rsid w:val="009D201D"/>
    <w:rsid w:val="009D2AEF"/>
    <w:rsid w:val="009D4501"/>
    <w:rsid w:val="009D538D"/>
    <w:rsid w:val="009D6C56"/>
    <w:rsid w:val="009E0300"/>
    <w:rsid w:val="009E0A3C"/>
    <w:rsid w:val="009E0D37"/>
    <w:rsid w:val="009E274A"/>
    <w:rsid w:val="009E301E"/>
    <w:rsid w:val="009E38FC"/>
    <w:rsid w:val="009E43EF"/>
    <w:rsid w:val="009E5870"/>
    <w:rsid w:val="009E5EE4"/>
    <w:rsid w:val="009F14E7"/>
    <w:rsid w:val="009F2412"/>
    <w:rsid w:val="009F5886"/>
    <w:rsid w:val="00A029B9"/>
    <w:rsid w:val="00A043C4"/>
    <w:rsid w:val="00A06773"/>
    <w:rsid w:val="00A125F5"/>
    <w:rsid w:val="00A153FC"/>
    <w:rsid w:val="00A20687"/>
    <w:rsid w:val="00A21149"/>
    <w:rsid w:val="00A246FC"/>
    <w:rsid w:val="00A25F9E"/>
    <w:rsid w:val="00A30B53"/>
    <w:rsid w:val="00A32D62"/>
    <w:rsid w:val="00A32DC2"/>
    <w:rsid w:val="00A3781B"/>
    <w:rsid w:val="00A50646"/>
    <w:rsid w:val="00A5351B"/>
    <w:rsid w:val="00A53BF0"/>
    <w:rsid w:val="00A622E0"/>
    <w:rsid w:val="00A6314C"/>
    <w:rsid w:val="00A70B4D"/>
    <w:rsid w:val="00A71EDB"/>
    <w:rsid w:val="00A833A8"/>
    <w:rsid w:val="00A8392B"/>
    <w:rsid w:val="00A854DB"/>
    <w:rsid w:val="00A90183"/>
    <w:rsid w:val="00A95465"/>
    <w:rsid w:val="00A96007"/>
    <w:rsid w:val="00AA4F6A"/>
    <w:rsid w:val="00AA5494"/>
    <w:rsid w:val="00AB4DBC"/>
    <w:rsid w:val="00AC619F"/>
    <w:rsid w:val="00AD0672"/>
    <w:rsid w:val="00AD0FD3"/>
    <w:rsid w:val="00AD19DF"/>
    <w:rsid w:val="00AD2203"/>
    <w:rsid w:val="00AD53A4"/>
    <w:rsid w:val="00AD7697"/>
    <w:rsid w:val="00AE3290"/>
    <w:rsid w:val="00AE7E31"/>
    <w:rsid w:val="00AF3D23"/>
    <w:rsid w:val="00AF48A0"/>
    <w:rsid w:val="00AF6E97"/>
    <w:rsid w:val="00AF762A"/>
    <w:rsid w:val="00AF79C0"/>
    <w:rsid w:val="00AF7E02"/>
    <w:rsid w:val="00B04903"/>
    <w:rsid w:val="00B050DE"/>
    <w:rsid w:val="00B0628F"/>
    <w:rsid w:val="00B126B9"/>
    <w:rsid w:val="00B13060"/>
    <w:rsid w:val="00B142BE"/>
    <w:rsid w:val="00B151CA"/>
    <w:rsid w:val="00B1537B"/>
    <w:rsid w:val="00B26159"/>
    <w:rsid w:val="00B268A7"/>
    <w:rsid w:val="00B31CF8"/>
    <w:rsid w:val="00B3311F"/>
    <w:rsid w:val="00B3772F"/>
    <w:rsid w:val="00B41C10"/>
    <w:rsid w:val="00B41D9D"/>
    <w:rsid w:val="00B45203"/>
    <w:rsid w:val="00B45D1F"/>
    <w:rsid w:val="00B4601E"/>
    <w:rsid w:val="00B46EF9"/>
    <w:rsid w:val="00B51386"/>
    <w:rsid w:val="00B52861"/>
    <w:rsid w:val="00B54C5F"/>
    <w:rsid w:val="00B5739B"/>
    <w:rsid w:val="00B60066"/>
    <w:rsid w:val="00B60C6C"/>
    <w:rsid w:val="00B60C7D"/>
    <w:rsid w:val="00B70004"/>
    <w:rsid w:val="00B72D56"/>
    <w:rsid w:val="00B8192B"/>
    <w:rsid w:val="00B823AF"/>
    <w:rsid w:val="00B83E6C"/>
    <w:rsid w:val="00B9130E"/>
    <w:rsid w:val="00B94382"/>
    <w:rsid w:val="00B95CAB"/>
    <w:rsid w:val="00B97E67"/>
    <w:rsid w:val="00BA4BA1"/>
    <w:rsid w:val="00BA6064"/>
    <w:rsid w:val="00BA7945"/>
    <w:rsid w:val="00BB657C"/>
    <w:rsid w:val="00BB65D7"/>
    <w:rsid w:val="00BB68F9"/>
    <w:rsid w:val="00BC284B"/>
    <w:rsid w:val="00BC4E3F"/>
    <w:rsid w:val="00BD1926"/>
    <w:rsid w:val="00BD553F"/>
    <w:rsid w:val="00BD5A21"/>
    <w:rsid w:val="00BD6E34"/>
    <w:rsid w:val="00BD6EF0"/>
    <w:rsid w:val="00BD7C2D"/>
    <w:rsid w:val="00BE18E8"/>
    <w:rsid w:val="00BE1E14"/>
    <w:rsid w:val="00BE2A94"/>
    <w:rsid w:val="00BE2D23"/>
    <w:rsid w:val="00BE66FB"/>
    <w:rsid w:val="00BF31A9"/>
    <w:rsid w:val="00BF3306"/>
    <w:rsid w:val="00BF3B36"/>
    <w:rsid w:val="00BF6D64"/>
    <w:rsid w:val="00C0051A"/>
    <w:rsid w:val="00C00B2D"/>
    <w:rsid w:val="00C0125A"/>
    <w:rsid w:val="00C01CBA"/>
    <w:rsid w:val="00C02FA1"/>
    <w:rsid w:val="00C0328A"/>
    <w:rsid w:val="00C0451E"/>
    <w:rsid w:val="00C066F4"/>
    <w:rsid w:val="00C0752E"/>
    <w:rsid w:val="00C10ED9"/>
    <w:rsid w:val="00C12687"/>
    <w:rsid w:val="00C129A8"/>
    <w:rsid w:val="00C2054E"/>
    <w:rsid w:val="00C20BE2"/>
    <w:rsid w:val="00C22725"/>
    <w:rsid w:val="00C24255"/>
    <w:rsid w:val="00C268FD"/>
    <w:rsid w:val="00C2707D"/>
    <w:rsid w:val="00C2743C"/>
    <w:rsid w:val="00C32850"/>
    <w:rsid w:val="00C34187"/>
    <w:rsid w:val="00C35017"/>
    <w:rsid w:val="00C35E21"/>
    <w:rsid w:val="00C35FE4"/>
    <w:rsid w:val="00C426F9"/>
    <w:rsid w:val="00C42D6D"/>
    <w:rsid w:val="00C433AA"/>
    <w:rsid w:val="00C43725"/>
    <w:rsid w:val="00C4674E"/>
    <w:rsid w:val="00C55F6B"/>
    <w:rsid w:val="00C61E1C"/>
    <w:rsid w:val="00C676C3"/>
    <w:rsid w:val="00C72FD6"/>
    <w:rsid w:val="00C766FC"/>
    <w:rsid w:val="00C768BE"/>
    <w:rsid w:val="00C76D98"/>
    <w:rsid w:val="00C83792"/>
    <w:rsid w:val="00C84685"/>
    <w:rsid w:val="00C86C55"/>
    <w:rsid w:val="00C87559"/>
    <w:rsid w:val="00C923D0"/>
    <w:rsid w:val="00C9269A"/>
    <w:rsid w:val="00C928BA"/>
    <w:rsid w:val="00C94FF2"/>
    <w:rsid w:val="00C96D6A"/>
    <w:rsid w:val="00C9717E"/>
    <w:rsid w:val="00C97579"/>
    <w:rsid w:val="00CA0D6A"/>
    <w:rsid w:val="00CA0FEC"/>
    <w:rsid w:val="00CA1AAC"/>
    <w:rsid w:val="00CA2496"/>
    <w:rsid w:val="00CA5406"/>
    <w:rsid w:val="00CA6B2E"/>
    <w:rsid w:val="00CB3253"/>
    <w:rsid w:val="00CB7F8A"/>
    <w:rsid w:val="00CC4153"/>
    <w:rsid w:val="00CC49FA"/>
    <w:rsid w:val="00CC4FE7"/>
    <w:rsid w:val="00CC52A5"/>
    <w:rsid w:val="00CD0D8B"/>
    <w:rsid w:val="00CE32A9"/>
    <w:rsid w:val="00CE3544"/>
    <w:rsid w:val="00CE4858"/>
    <w:rsid w:val="00CE6FFD"/>
    <w:rsid w:val="00CE709A"/>
    <w:rsid w:val="00CF2779"/>
    <w:rsid w:val="00CF2D92"/>
    <w:rsid w:val="00CF2EE4"/>
    <w:rsid w:val="00CF3F1B"/>
    <w:rsid w:val="00CF4E22"/>
    <w:rsid w:val="00CF5579"/>
    <w:rsid w:val="00CF5B73"/>
    <w:rsid w:val="00CF63C6"/>
    <w:rsid w:val="00CF7B4B"/>
    <w:rsid w:val="00D0061D"/>
    <w:rsid w:val="00D00761"/>
    <w:rsid w:val="00D01A9A"/>
    <w:rsid w:val="00D03F78"/>
    <w:rsid w:val="00D04A20"/>
    <w:rsid w:val="00D07CFC"/>
    <w:rsid w:val="00D137D3"/>
    <w:rsid w:val="00D22A50"/>
    <w:rsid w:val="00D2527D"/>
    <w:rsid w:val="00D25F78"/>
    <w:rsid w:val="00D272C4"/>
    <w:rsid w:val="00D33386"/>
    <w:rsid w:val="00D36811"/>
    <w:rsid w:val="00D41AAD"/>
    <w:rsid w:val="00D41BC5"/>
    <w:rsid w:val="00D42B14"/>
    <w:rsid w:val="00D46204"/>
    <w:rsid w:val="00D46BA7"/>
    <w:rsid w:val="00D47F1F"/>
    <w:rsid w:val="00D514D8"/>
    <w:rsid w:val="00D51C67"/>
    <w:rsid w:val="00D54B32"/>
    <w:rsid w:val="00D54FFD"/>
    <w:rsid w:val="00D56D37"/>
    <w:rsid w:val="00D57817"/>
    <w:rsid w:val="00D60D91"/>
    <w:rsid w:val="00D63DF8"/>
    <w:rsid w:val="00D64129"/>
    <w:rsid w:val="00D64429"/>
    <w:rsid w:val="00D65EBE"/>
    <w:rsid w:val="00D70460"/>
    <w:rsid w:val="00D7139E"/>
    <w:rsid w:val="00D7219D"/>
    <w:rsid w:val="00D75068"/>
    <w:rsid w:val="00D769C3"/>
    <w:rsid w:val="00D7701B"/>
    <w:rsid w:val="00D80B9F"/>
    <w:rsid w:val="00D811C7"/>
    <w:rsid w:val="00D83DB2"/>
    <w:rsid w:val="00D84D6B"/>
    <w:rsid w:val="00D85FE2"/>
    <w:rsid w:val="00D86867"/>
    <w:rsid w:val="00D86F49"/>
    <w:rsid w:val="00D86F9D"/>
    <w:rsid w:val="00D87136"/>
    <w:rsid w:val="00D9170A"/>
    <w:rsid w:val="00D96DF5"/>
    <w:rsid w:val="00DA167E"/>
    <w:rsid w:val="00DA429F"/>
    <w:rsid w:val="00DA4639"/>
    <w:rsid w:val="00DA74F9"/>
    <w:rsid w:val="00DA7EF9"/>
    <w:rsid w:val="00DB0587"/>
    <w:rsid w:val="00DB410A"/>
    <w:rsid w:val="00DB4A84"/>
    <w:rsid w:val="00DB50D9"/>
    <w:rsid w:val="00DB5C87"/>
    <w:rsid w:val="00DB6148"/>
    <w:rsid w:val="00DC13AF"/>
    <w:rsid w:val="00DC28ED"/>
    <w:rsid w:val="00DD2C16"/>
    <w:rsid w:val="00DD4EAA"/>
    <w:rsid w:val="00DD4F21"/>
    <w:rsid w:val="00DE0CE6"/>
    <w:rsid w:val="00DE1257"/>
    <w:rsid w:val="00DE6ED1"/>
    <w:rsid w:val="00DE7127"/>
    <w:rsid w:val="00DE7CA6"/>
    <w:rsid w:val="00DE7E77"/>
    <w:rsid w:val="00DF0972"/>
    <w:rsid w:val="00DF19E4"/>
    <w:rsid w:val="00DF377E"/>
    <w:rsid w:val="00DF5536"/>
    <w:rsid w:val="00DF5904"/>
    <w:rsid w:val="00DF69E0"/>
    <w:rsid w:val="00E00575"/>
    <w:rsid w:val="00E0473C"/>
    <w:rsid w:val="00E06246"/>
    <w:rsid w:val="00E1197E"/>
    <w:rsid w:val="00E12EB2"/>
    <w:rsid w:val="00E132EE"/>
    <w:rsid w:val="00E201E5"/>
    <w:rsid w:val="00E20506"/>
    <w:rsid w:val="00E2395A"/>
    <w:rsid w:val="00E23E7B"/>
    <w:rsid w:val="00E30406"/>
    <w:rsid w:val="00E31F5B"/>
    <w:rsid w:val="00E32D4C"/>
    <w:rsid w:val="00E343E6"/>
    <w:rsid w:val="00E43958"/>
    <w:rsid w:val="00E4694D"/>
    <w:rsid w:val="00E50AE2"/>
    <w:rsid w:val="00E52AE1"/>
    <w:rsid w:val="00E5683E"/>
    <w:rsid w:val="00E60F1B"/>
    <w:rsid w:val="00E61613"/>
    <w:rsid w:val="00E625B1"/>
    <w:rsid w:val="00E65C87"/>
    <w:rsid w:val="00E70252"/>
    <w:rsid w:val="00E714C0"/>
    <w:rsid w:val="00E71F0A"/>
    <w:rsid w:val="00E72FE6"/>
    <w:rsid w:val="00E73BA2"/>
    <w:rsid w:val="00E73DF5"/>
    <w:rsid w:val="00E767D0"/>
    <w:rsid w:val="00E76EFD"/>
    <w:rsid w:val="00E77DD8"/>
    <w:rsid w:val="00E8222B"/>
    <w:rsid w:val="00E85360"/>
    <w:rsid w:val="00E86226"/>
    <w:rsid w:val="00E87990"/>
    <w:rsid w:val="00E92E32"/>
    <w:rsid w:val="00E9453D"/>
    <w:rsid w:val="00E945BA"/>
    <w:rsid w:val="00E960B4"/>
    <w:rsid w:val="00E96987"/>
    <w:rsid w:val="00E97B8C"/>
    <w:rsid w:val="00EA2DB8"/>
    <w:rsid w:val="00EA3243"/>
    <w:rsid w:val="00EA32A2"/>
    <w:rsid w:val="00EA3565"/>
    <w:rsid w:val="00EA37B2"/>
    <w:rsid w:val="00EA6D7B"/>
    <w:rsid w:val="00EB04FC"/>
    <w:rsid w:val="00EB139C"/>
    <w:rsid w:val="00EB4F9A"/>
    <w:rsid w:val="00EB665D"/>
    <w:rsid w:val="00EC5F73"/>
    <w:rsid w:val="00EC666A"/>
    <w:rsid w:val="00ED0124"/>
    <w:rsid w:val="00ED24ED"/>
    <w:rsid w:val="00ED6249"/>
    <w:rsid w:val="00ED7AFE"/>
    <w:rsid w:val="00ED7CEC"/>
    <w:rsid w:val="00ED7D2A"/>
    <w:rsid w:val="00EE15A3"/>
    <w:rsid w:val="00EE33CD"/>
    <w:rsid w:val="00EE3D4C"/>
    <w:rsid w:val="00EE416A"/>
    <w:rsid w:val="00EE5BDA"/>
    <w:rsid w:val="00EE7FD8"/>
    <w:rsid w:val="00EF09A0"/>
    <w:rsid w:val="00EF23E2"/>
    <w:rsid w:val="00F005A3"/>
    <w:rsid w:val="00F016FD"/>
    <w:rsid w:val="00F0181E"/>
    <w:rsid w:val="00F0484C"/>
    <w:rsid w:val="00F04C0C"/>
    <w:rsid w:val="00F077BE"/>
    <w:rsid w:val="00F10E2D"/>
    <w:rsid w:val="00F1234B"/>
    <w:rsid w:val="00F16356"/>
    <w:rsid w:val="00F16BB7"/>
    <w:rsid w:val="00F205C4"/>
    <w:rsid w:val="00F212A1"/>
    <w:rsid w:val="00F23184"/>
    <w:rsid w:val="00F231FB"/>
    <w:rsid w:val="00F2594F"/>
    <w:rsid w:val="00F261C7"/>
    <w:rsid w:val="00F27633"/>
    <w:rsid w:val="00F27DB1"/>
    <w:rsid w:val="00F30A25"/>
    <w:rsid w:val="00F32D51"/>
    <w:rsid w:val="00F34F5B"/>
    <w:rsid w:val="00F36D5A"/>
    <w:rsid w:val="00F36D9D"/>
    <w:rsid w:val="00F37BD6"/>
    <w:rsid w:val="00F41736"/>
    <w:rsid w:val="00F425E5"/>
    <w:rsid w:val="00F4478F"/>
    <w:rsid w:val="00F44807"/>
    <w:rsid w:val="00F4547C"/>
    <w:rsid w:val="00F47106"/>
    <w:rsid w:val="00F50518"/>
    <w:rsid w:val="00F50897"/>
    <w:rsid w:val="00F5159B"/>
    <w:rsid w:val="00F566BA"/>
    <w:rsid w:val="00F602C0"/>
    <w:rsid w:val="00F62AB1"/>
    <w:rsid w:val="00F65BC0"/>
    <w:rsid w:val="00F66E60"/>
    <w:rsid w:val="00F715A4"/>
    <w:rsid w:val="00F72381"/>
    <w:rsid w:val="00F73A5F"/>
    <w:rsid w:val="00F75770"/>
    <w:rsid w:val="00F770E3"/>
    <w:rsid w:val="00F82907"/>
    <w:rsid w:val="00F8592E"/>
    <w:rsid w:val="00F86EBB"/>
    <w:rsid w:val="00F901AB"/>
    <w:rsid w:val="00F903D6"/>
    <w:rsid w:val="00F90B01"/>
    <w:rsid w:val="00F90DAF"/>
    <w:rsid w:val="00F91181"/>
    <w:rsid w:val="00F91E44"/>
    <w:rsid w:val="00F92A5B"/>
    <w:rsid w:val="00F938F4"/>
    <w:rsid w:val="00F94F0F"/>
    <w:rsid w:val="00FA600E"/>
    <w:rsid w:val="00FA7A03"/>
    <w:rsid w:val="00FB00CD"/>
    <w:rsid w:val="00FB4936"/>
    <w:rsid w:val="00FB6AAD"/>
    <w:rsid w:val="00FC1782"/>
    <w:rsid w:val="00FC2A8D"/>
    <w:rsid w:val="00FC3389"/>
    <w:rsid w:val="00FC58C8"/>
    <w:rsid w:val="00FD34E6"/>
    <w:rsid w:val="00FD5048"/>
    <w:rsid w:val="00FD5D9B"/>
    <w:rsid w:val="00FD7E95"/>
    <w:rsid w:val="00FE119A"/>
    <w:rsid w:val="00FE17B1"/>
    <w:rsid w:val="00FE28A4"/>
    <w:rsid w:val="00FE7701"/>
    <w:rsid w:val="00FF09B7"/>
    <w:rsid w:val="00FF375C"/>
    <w:rsid w:val="00FF48E2"/>
    <w:rsid w:val="2CC33D89"/>
    <w:rsid w:val="354B352E"/>
    <w:rsid w:val="4DA62D37"/>
    <w:rsid w:val="51DB07AC"/>
    <w:rsid w:val="64302FA9"/>
    <w:rsid w:val="679A28A9"/>
    <w:rsid w:val="68BB2307"/>
    <w:rsid w:val="6ECA7D88"/>
    <w:rsid w:val="718C681A"/>
    <w:rsid w:val="76680A48"/>
    <w:rsid w:val="773A1FE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lsdException w:name="annotation text" w:semiHidden="1"/>
    <w:lsdException w:name="caption" w:semiHidden="1" w:unhideWhenUsed="1" w:qFormat="1"/>
    <w:lsdException w:name="annotation reference" w:semiHidden="1" w:uiPriority="99"/>
    <w:lsdException w:name="Title" w:qFormat="1"/>
    <w:lsdException w:name="Subtitle"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uiPriority="99"/>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rPr>
  </w:style>
  <w:style w:type="character" w:default="1" w:styleId="a0">
    <w:name w:val="Default Paragraph Font"/>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Pr>
      <w:b/>
      <w:bCs/>
    </w:rPr>
  </w:style>
  <w:style w:type="character" w:styleId="a4">
    <w:name w:val="page number"/>
    <w:basedOn w:val="a0"/>
  </w:style>
  <w:style w:type="character" w:styleId="a5">
    <w:name w:val="annotation reference"/>
    <w:uiPriority w:val="99"/>
    <w:semiHidden/>
    <w:rPr>
      <w:sz w:val="21"/>
      <w:szCs w:val="21"/>
    </w:rPr>
  </w:style>
  <w:style w:type="character" w:styleId="a6">
    <w:name w:val="访问过的超链接"/>
    <w:rPr>
      <w:color w:val="800080"/>
      <w:u w:val="single"/>
    </w:rPr>
  </w:style>
  <w:style w:type="character" w:styleId="a7">
    <w:name w:val="Hyperlink"/>
    <w:rPr>
      <w:color w:val="0000FF"/>
      <w:u w:val="single"/>
    </w:rPr>
  </w:style>
  <w:style w:type="character" w:customStyle="1" w:styleId="Char">
    <w:name w:val="页眉 Char"/>
    <w:link w:val="a8"/>
    <w:rPr>
      <w:rFonts w:eastAsia="宋体"/>
      <w:kern w:val="2"/>
      <w:sz w:val="18"/>
      <w:szCs w:val="18"/>
      <w:lang w:val="en-US" w:eastAsia="zh-CN" w:bidi="ar-SA"/>
    </w:rPr>
  </w:style>
  <w:style w:type="character" w:customStyle="1" w:styleId="Char0">
    <w:name w:val="批注框文本 Char"/>
    <w:link w:val="a9"/>
    <w:uiPriority w:val="99"/>
    <w:semiHidden/>
    <w:rPr>
      <w:kern w:val="2"/>
      <w:sz w:val="18"/>
      <w:szCs w:val="18"/>
    </w:rPr>
  </w:style>
  <w:style w:type="paragraph" w:styleId="aa">
    <w:name w:val="Date"/>
    <w:basedOn w:val="a"/>
    <w:next w:val="a"/>
    <w:pPr>
      <w:ind w:leftChars="2500" w:left="100"/>
    </w:pPr>
  </w:style>
  <w:style w:type="paragraph" w:styleId="a8">
    <w:name w:val="header"/>
    <w:basedOn w:val="a"/>
    <w:link w:val="Char"/>
    <w:pPr>
      <w:pBdr>
        <w:bottom w:val="single" w:sz="6" w:space="1" w:color="auto"/>
      </w:pBdr>
      <w:tabs>
        <w:tab w:val="center" w:pos="4153"/>
        <w:tab w:val="right" w:pos="8306"/>
      </w:tabs>
      <w:snapToGrid w:val="0"/>
      <w:jc w:val="center"/>
    </w:pPr>
    <w:rPr>
      <w:sz w:val="18"/>
      <w:szCs w:val="18"/>
    </w:rPr>
  </w:style>
  <w:style w:type="paragraph" w:styleId="ab">
    <w:name w:val="annotation text"/>
    <w:basedOn w:val="a"/>
    <w:semiHidden/>
    <w:pPr>
      <w:jc w:val="left"/>
    </w:pPr>
  </w:style>
  <w:style w:type="paragraph" w:styleId="ac">
    <w:name w:val="footer"/>
    <w:basedOn w:val="a"/>
    <w:pPr>
      <w:tabs>
        <w:tab w:val="center" w:pos="4153"/>
        <w:tab w:val="right" w:pos="8306"/>
      </w:tabs>
      <w:snapToGrid w:val="0"/>
      <w:jc w:val="left"/>
    </w:pPr>
    <w:rPr>
      <w:sz w:val="18"/>
      <w:szCs w:val="18"/>
    </w:rPr>
  </w:style>
  <w:style w:type="paragraph" w:styleId="ad">
    <w:name w:val="Title"/>
    <w:basedOn w:val="a"/>
    <w:qFormat/>
    <w:pPr>
      <w:spacing w:before="240" w:after="60"/>
      <w:jc w:val="center"/>
      <w:outlineLvl w:val="0"/>
    </w:pPr>
    <w:rPr>
      <w:rFonts w:ascii="Arial" w:hAnsi="Arial"/>
      <w:b/>
      <w:bCs/>
      <w:sz w:val="32"/>
      <w:szCs w:val="32"/>
    </w:rPr>
  </w:style>
  <w:style w:type="paragraph" w:styleId="1">
    <w:name w:val="toc 1"/>
    <w:basedOn w:val="a"/>
    <w:next w:val="a"/>
    <w:semiHidden/>
    <w:pPr>
      <w:spacing w:before="120" w:after="120"/>
    </w:pPr>
    <w:rPr>
      <w:b/>
      <w:caps/>
      <w:szCs w:val="24"/>
    </w:rPr>
  </w:style>
  <w:style w:type="paragraph" w:styleId="ae">
    <w:name w:val="Body Text"/>
    <w:basedOn w:val="a"/>
    <w:pPr>
      <w:spacing w:after="120"/>
    </w:pPr>
  </w:style>
  <w:style w:type="paragraph" w:styleId="a9">
    <w:name w:val="Balloon Text"/>
    <w:basedOn w:val="a"/>
    <w:link w:val="Char0"/>
    <w:uiPriority w:val="99"/>
    <w:semiHidden/>
    <w:rPr>
      <w:sz w:val="18"/>
      <w:szCs w:val="18"/>
    </w:rPr>
  </w:style>
  <w:style w:type="paragraph" w:styleId="2">
    <w:name w:val="Body Text Indent 2"/>
    <w:basedOn w:val="a"/>
    <w:pPr>
      <w:spacing w:after="120" w:line="480" w:lineRule="auto"/>
      <w:ind w:leftChars="200" w:left="420"/>
    </w:pPr>
  </w:style>
  <w:style w:type="paragraph" w:styleId="af">
    <w:name w:val="Document Map"/>
    <w:basedOn w:val="a"/>
    <w:semiHidden/>
    <w:pPr>
      <w:shd w:val="clear" w:color="auto" w:fill="000080"/>
    </w:p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color w:val="000000"/>
      <w:kern w:val="0"/>
      <w:sz w:val="24"/>
      <w:szCs w:val="24"/>
    </w:rPr>
  </w:style>
  <w:style w:type="paragraph" w:styleId="af0">
    <w:name w:val="annotation subject"/>
    <w:basedOn w:val="ab"/>
    <w:next w:val="ab"/>
    <w:semiHidden/>
    <w:rPr>
      <w:b/>
      <w:bCs/>
    </w:rPr>
  </w:style>
  <w:style w:type="paragraph" w:customStyle="1" w:styleId="080320">
    <w:name w:val="申请报告正文080320"/>
    <w:basedOn w:val="2"/>
    <w:pPr>
      <w:spacing w:beforeLines="50" w:afterLines="50" w:line="360" w:lineRule="auto"/>
      <w:ind w:leftChars="0" w:left="0" w:firstLineChars="200" w:firstLine="420"/>
    </w:pPr>
    <w:rPr>
      <w:rFonts w:ascii="宋体" w:hAnsi="宋体"/>
      <w:szCs w:val="21"/>
    </w:rPr>
  </w:style>
  <w:style w:type="paragraph" w:styleId="af1">
    <w:name w:val="Revision"/>
    <w:uiPriority w:val="99"/>
    <w:semiHidden/>
    <w:rPr>
      <w:kern w:val="2"/>
      <w:sz w:val="21"/>
    </w:rPr>
  </w:style>
  <w:style w:type="paragraph" w:customStyle="1" w:styleId="20">
    <w:name w:val="列表2"/>
    <w:basedOn w:val="a"/>
    <w:next w:val="ad"/>
    <w:pPr>
      <w:tabs>
        <w:tab w:val="left" w:pos="360"/>
      </w:tabs>
      <w:spacing w:line="360" w:lineRule="auto"/>
    </w:pPr>
    <w:rPr>
      <w:rFonts w:ascii="宋体"/>
    </w:rPr>
  </w:style>
  <w:style w:type="paragraph" w:customStyle="1" w:styleId="Char1CharCharChar">
    <w:name w:val=" Char1 Char Char Char"/>
    <w:basedOn w:val="a"/>
    <w:rPr>
      <w:szCs w:val="24"/>
    </w:rPr>
  </w:style>
  <w:style w:type="paragraph" w:customStyle="1" w:styleId="CharCharCharChar1">
    <w:name w:val=" Char Char Char Char1"/>
    <w:basedOn w:val="a"/>
  </w:style>
  <w:style w:type="paragraph" w:customStyle="1" w:styleId="Default">
    <w:name w:val="Default"/>
    <w:pPr>
      <w:widowControl w:val="0"/>
      <w:autoSpaceDE w:val="0"/>
      <w:autoSpaceDN w:val="0"/>
      <w:adjustRightInd w:val="0"/>
    </w:pPr>
    <w:rPr>
      <w:rFonts w:ascii="宋体" w:cs="宋体"/>
      <w:color w:val="000000"/>
      <w:sz w:val="24"/>
      <w:szCs w:val="24"/>
    </w:rPr>
  </w:style>
  <w:style w:type="table" w:styleId="af2">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7483400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Normal.wpt</Template>
  <TotalTime>0</TotalTime>
  <Pages>3</Pages>
  <Words>305</Words>
  <Characters>1739</Characters>
  <Application>Microsoft Office Word</Application>
  <DocSecurity>4</DocSecurity>
  <Lines>14</Lines>
  <Paragraphs>4</Paragraphs>
  <ScaleCrop>false</ScaleCrop>
  <Company>Lenovo</Company>
  <LinksUpToDate>false</LinksUpToDate>
  <CharactersWithSpaces>2040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鸿飞证券投资基金以通讯方式召开基金份额持有人大会公告</dc:title>
  <dc:subject/>
  <dc:creator>1</dc:creator>
  <cp:keywords/>
  <cp:lastModifiedBy>ZHONGM</cp:lastModifiedBy>
  <cp:revision>2</cp:revision>
  <cp:lastPrinted>2016-02-18T05:25:00Z</cp:lastPrinted>
  <dcterms:created xsi:type="dcterms:W3CDTF">2020-07-27T16:01:00Z</dcterms:created>
  <dcterms:modified xsi:type="dcterms:W3CDTF">2020-07-27T16:01:00Z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