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25" w:rsidRPr="009F6E25" w:rsidRDefault="00EF0F55" w:rsidP="00A91E77">
      <w:pPr>
        <w:widowControl/>
        <w:adjustRightInd w:val="0"/>
        <w:snapToGrid w:val="0"/>
        <w:jc w:val="center"/>
        <w:rPr>
          <w:rFonts w:asciiTheme="minorEastAsia" w:hAnsiTheme="minorEastAsia" w:cstheme="minorHAnsi"/>
          <w:b/>
          <w:color w:val="000000"/>
          <w:kern w:val="0"/>
          <w:sz w:val="28"/>
          <w:szCs w:val="28"/>
        </w:rPr>
      </w:pPr>
      <w:r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信诚中证智能家居指数分级证券投资基金</w:t>
      </w:r>
    </w:p>
    <w:p w:rsidR="002511F2" w:rsidRPr="009F6E25" w:rsidRDefault="00EF0F55" w:rsidP="00A91E77">
      <w:pPr>
        <w:widowControl/>
        <w:adjustRightInd w:val="0"/>
        <w:snapToGrid w:val="0"/>
        <w:jc w:val="center"/>
        <w:rPr>
          <w:rFonts w:asciiTheme="minorEastAsia" w:hAnsiTheme="minorEastAsia" w:cstheme="minorHAnsi"/>
          <w:b/>
          <w:color w:val="000000"/>
          <w:kern w:val="0"/>
          <w:sz w:val="28"/>
          <w:szCs w:val="28"/>
        </w:rPr>
      </w:pPr>
      <w:r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之智能B</w:t>
      </w:r>
      <w:r w:rsidR="00A91E77"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溢价风险</w:t>
      </w:r>
      <w:r w:rsidR="00E83179"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提示</w:t>
      </w:r>
      <w:r w:rsidR="00AB4FDA" w:rsidRPr="00AB4FDA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及停复牌</w:t>
      </w:r>
      <w:r w:rsidR="00E83179" w:rsidRPr="009F6E25">
        <w:rPr>
          <w:rFonts w:asciiTheme="minorEastAsia" w:hAnsiTheme="minorEastAsia" w:cstheme="minorHAnsi" w:hint="eastAsia"/>
          <w:b/>
          <w:color w:val="000000"/>
          <w:kern w:val="0"/>
          <w:sz w:val="28"/>
          <w:szCs w:val="28"/>
        </w:rPr>
        <w:t>公告</w:t>
      </w:r>
    </w:p>
    <w:p w:rsidR="00EF0F55" w:rsidRPr="009F6E25" w:rsidRDefault="00EF0F55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</w:p>
    <w:p w:rsidR="00C64EC2" w:rsidRPr="009F6E25" w:rsidRDefault="002C0FD4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 w:hint="eastAsia"/>
          <w:kern w:val="0"/>
          <w:szCs w:val="21"/>
        </w:rPr>
        <w:t>近期，中信保诚基金管理有限公司（以下简称“本基金管理人”）旗下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信诚中证智能家居指数分级证券投资基金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B 份额（场内简称：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B，代码：150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312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）</w:t>
      </w:r>
      <w:r w:rsidR="009F6E25" w:rsidRPr="009F6E25">
        <w:rPr>
          <w:rFonts w:asciiTheme="minorEastAsia" w:hAnsiTheme="minorEastAsia" w:cstheme="minorHAnsi" w:hint="eastAsia"/>
          <w:kern w:val="0"/>
          <w:szCs w:val="21"/>
        </w:rPr>
        <w:t>二级市场交易价格较基金份额参考净值的溢价幅度较高，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20</w:t>
      </w:r>
      <w:r w:rsidR="009F6E25" w:rsidRPr="009F6E25">
        <w:rPr>
          <w:rFonts w:asciiTheme="minorEastAsia" w:hAnsiTheme="minorEastAsia" w:cstheme="minorHAnsi" w:hint="eastAsia"/>
          <w:kern w:val="0"/>
          <w:szCs w:val="21"/>
        </w:rPr>
        <w:t>20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月</w:t>
      </w:r>
      <w:r w:rsidR="00A1033E">
        <w:rPr>
          <w:rFonts w:asciiTheme="minorEastAsia" w:hAnsiTheme="minorEastAsia" w:cstheme="minorHAnsi" w:hint="eastAsia"/>
          <w:kern w:val="0"/>
          <w:szCs w:val="21"/>
        </w:rPr>
        <w:t>2</w:t>
      </w:r>
      <w:r w:rsidR="00F40E01">
        <w:rPr>
          <w:rFonts w:asciiTheme="minorEastAsia" w:hAnsiTheme="minorEastAsia" w:cstheme="minorHAnsi" w:hint="eastAsia"/>
          <w:kern w:val="0"/>
          <w:szCs w:val="21"/>
        </w:rPr>
        <w:t>4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日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二级市场收盘价为</w:t>
      </w:r>
      <w:r w:rsidR="00F40E01" w:rsidRPr="00A1033E">
        <w:rPr>
          <w:rFonts w:asciiTheme="minorEastAsia" w:hAnsiTheme="minorEastAsia" w:cstheme="minorHAnsi"/>
          <w:kern w:val="0"/>
          <w:szCs w:val="21"/>
        </w:rPr>
        <w:t>1.322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元，相对于当日</w:t>
      </w:r>
      <w:r w:rsidR="00F40E01">
        <w:rPr>
          <w:rFonts w:asciiTheme="minorEastAsia" w:hAnsiTheme="minorEastAsia" w:cstheme="minorHAnsi" w:hint="eastAsia"/>
          <w:kern w:val="0"/>
          <w:szCs w:val="21"/>
        </w:rPr>
        <w:t>0</w:t>
      </w:r>
      <w:r w:rsidR="00A1033E" w:rsidRPr="00A1033E">
        <w:rPr>
          <w:rFonts w:asciiTheme="minorEastAsia" w:hAnsiTheme="minorEastAsia" w:cstheme="minorHAnsi"/>
          <w:kern w:val="0"/>
          <w:szCs w:val="21"/>
        </w:rPr>
        <w:t>.</w:t>
      </w:r>
      <w:r w:rsidR="00F40E01">
        <w:rPr>
          <w:rFonts w:asciiTheme="minorEastAsia" w:hAnsiTheme="minorEastAsia" w:cstheme="minorHAnsi" w:hint="eastAsia"/>
          <w:kern w:val="0"/>
          <w:szCs w:val="21"/>
        </w:rPr>
        <w:t>963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元的基金份额净值，溢价幅度达到</w:t>
      </w:r>
      <w:r w:rsidR="00F40E01">
        <w:rPr>
          <w:rFonts w:asciiTheme="minorEastAsia" w:hAnsiTheme="minorEastAsia" w:cstheme="minorHAnsi" w:hint="eastAsia"/>
          <w:kern w:val="0"/>
          <w:szCs w:val="21"/>
        </w:rPr>
        <w:t>3</w:t>
      </w:r>
      <w:r w:rsidR="00A1033E" w:rsidRPr="00A1033E">
        <w:rPr>
          <w:rFonts w:asciiTheme="minorEastAsia" w:hAnsiTheme="minorEastAsia" w:cstheme="minorHAnsi"/>
          <w:kern w:val="0"/>
          <w:szCs w:val="21"/>
        </w:rPr>
        <w:t>7.</w:t>
      </w:r>
      <w:r w:rsidR="00F40E01">
        <w:rPr>
          <w:rFonts w:asciiTheme="minorEastAsia" w:hAnsiTheme="minorEastAsia" w:cstheme="minorHAnsi" w:hint="eastAsia"/>
          <w:kern w:val="0"/>
          <w:szCs w:val="21"/>
        </w:rPr>
        <w:t>28</w:t>
      </w:r>
      <w:r w:rsidR="00A1033E" w:rsidRPr="00A1033E">
        <w:rPr>
          <w:rFonts w:asciiTheme="minorEastAsia" w:hAnsiTheme="minorEastAsia" w:cstheme="minorHAnsi"/>
          <w:kern w:val="0"/>
          <w:szCs w:val="21"/>
        </w:rPr>
        <w:t>%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。截止</w:t>
      </w:r>
      <w:r w:rsidR="009F6E25" w:rsidRPr="009F6E25">
        <w:rPr>
          <w:rFonts w:asciiTheme="minorEastAsia" w:hAnsiTheme="minorEastAsia" w:cstheme="minorHAnsi" w:hint="eastAsia"/>
          <w:kern w:val="0"/>
          <w:szCs w:val="21"/>
        </w:rPr>
        <w:t>2020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月</w:t>
      </w:r>
      <w:r w:rsidR="00A1033E">
        <w:rPr>
          <w:rFonts w:asciiTheme="minorEastAsia" w:hAnsiTheme="minorEastAsia" w:cstheme="minorHAnsi" w:hint="eastAsia"/>
          <w:kern w:val="0"/>
          <w:szCs w:val="21"/>
        </w:rPr>
        <w:t>2</w:t>
      </w:r>
      <w:r w:rsidR="00F40E01">
        <w:rPr>
          <w:rFonts w:asciiTheme="minorEastAsia" w:hAnsiTheme="minorEastAsia" w:cstheme="minorHAnsi" w:hint="eastAsia"/>
          <w:kern w:val="0"/>
          <w:szCs w:val="21"/>
        </w:rPr>
        <w:t>7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日，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二级市场收盘价为</w:t>
      </w:r>
      <w:r w:rsidR="00F40E01" w:rsidRPr="00F40E01">
        <w:rPr>
          <w:rFonts w:asciiTheme="minorEastAsia" w:hAnsiTheme="minorEastAsia" w:cstheme="minorHAnsi"/>
          <w:kern w:val="0"/>
          <w:szCs w:val="21"/>
        </w:rPr>
        <w:t>1.322</w:t>
      </w:r>
      <w:r w:rsidRPr="009F6E25">
        <w:rPr>
          <w:rFonts w:asciiTheme="minorEastAsia" w:hAnsiTheme="minorEastAsia" w:cstheme="minorHAnsi" w:hint="eastAsia"/>
          <w:kern w:val="0"/>
          <w:szCs w:val="21"/>
        </w:rPr>
        <w:t>元，明显高于基金份额参考净值，投资者如果盲目投资，可能遭受重大损失。</w:t>
      </w:r>
    </w:p>
    <w:p w:rsidR="00944CE9" w:rsidRPr="00944CE9" w:rsidRDefault="00944CE9" w:rsidP="00944CE9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>
        <w:rPr>
          <w:rFonts w:asciiTheme="minorEastAsia" w:hAnsiTheme="minorEastAsia" w:cstheme="minorHAnsi" w:hint="eastAsia"/>
          <w:kern w:val="0"/>
          <w:szCs w:val="21"/>
        </w:rPr>
        <w:t>为保护基金份额持有人的利益，智能B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将于2020年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月</w:t>
      </w:r>
      <w:r w:rsidR="00A843BA">
        <w:rPr>
          <w:rFonts w:asciiTheme="minorEastAsia" w:hAnsiTheme="minorEastAsia" w:cstheme="minorHAnsi" w:hint="eastAsia"/>
          <w:kern w:val="0"/>
          <w:szCs w:val="21"/>
        </w:rPr>
        <w:t>2</w:t>
      </w:r>
      <w:r w:rsidR="00F40E01">
        <w:rPr>
          <w:rFonts w:asciiTheme="minorEastAsia" w:hAnsiTheme="minorEastAsia" w:cstheme="minorHAnsi" w:hint="eastAsia"/>
          <w:kern w:val="0"/>
          <w:szCs w:val="21"/>
        </w:rPr>
        <w:t>8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日开市起至当日10：30停牌，自2020年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月</w:t>
      </w:r>
      <w:r w:rsidR="00A843BA">
        <w:rPr>
          <w:rFonts w:asciiTheme="minorEastAsia" w:hAnsiTheme="minorEastAsia" w:cstheme="minorHAnsi" w:hint="eastAsia"/>
          <w:kern w:val="0"/>
          <w:szCs w:val="21"/>
        </w:rPr>
        <w:t>2</w:t>
      </w:r>
      <w:r w:rsidR="00F40E01">
        <w:rPr>
          <w:rFonts w:asciiTheme="minorEastAsia" w:hAnsiTheme="minorEastAsia" w:cstheme="minorHAnsi" w:hint="eastAsia"/>
          <w:kern w:val="0"/>
          <w:szCs w:val="21"/>
        </w:rPr>
        <w:t>8</w:t>
      </w:r>
      <w:r w:rsidRPr="00944CE9">
        <w:rPr>
          <w:rFonts w:asciiTheme="minorEastAsia" w:hAnsiTheme="minorEastAsia" w:cstheme="minorHAnsi" w:hint="eastAsia"/>
          <w:kern w:val="0"/>
          <w:szCs w:val="21"/>
        </w:rPr>
        <w:t>日10：30起复牌，恢复正常交易。</w:t>
      </w:r>
    </w:p>
    <w:p w:rsidR="002511F2" w:rsidRPr="009F6E25" w:rsidRDefault="00944CE9" w:rsidP="00944CE9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44CE9">
        <w:rPr>
          <w:rFonts w:asciiTheme="minorEastAsia" w:hAnsiTheme="minorEastAsia" w:cstheme="minorHAnsi" w:hint="eastAsia"/>
          <w:kern w:val="0"/>
          <w:szCs w:val="21"/>
        </w:rPr>
        <w:t>特此提醒投资者密切关注基金份额净值及二级市场交易价格，注意投资风险。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为此，本基金管理人提示如下：</w:t>
      </w:r>
    </w:p>
    <w:p w:rsidR="00566E70" w:rsidRPr="009F6E25" w:rsidRDefault="00566E70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 w:hint="eastAsia"/>
          <w:kern w:val="0"/>
          <w:szCs w:val="21"/>
        </w:rPr>
        <w:t>1、根据《关于规范金融机构资产管理业务的指导意见》（以下简称《资管新规》）要求，公募产品不得进行份额分级，应在《资管新规》规定的过渡期结束前进行整改规范，请投资者关注相关风险，如溢价买入可能造成较大损失等。</w:t>
      </w:r>
    </w:p>
    <w:p w:rsidR="002511F2" w:rsidRPr="009F6E25" w:rsidRDefault="00566E70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 w:hint="eastAsia"/>
          <w:kern w:val="0"/>
          <w:szCs w:val="21"/>
        </w:rPr>
        <w:t>2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、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具有预期风险、预期收益较高的特征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。 由于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内含杠杆机制的设计，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基金份额参考净值的变动幅度将大于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信诚中证智能家居指数分级证券投资基金之基础份额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（场内</w:t>
      </w:r>
      <w:r w:rsidR="00492731" w:rsidRPr="009F6E25">
        <w:rPr>
          <w:rFonts w:asciiTheme="minorEastAsia" w:hAnsiTheme="minorEastAsia" w:cstheme="minorHAnsi"/>
          <w:kern w:val="0"/>
          <w:szCs w:val="21"/>
        </w:rPr>
        <w:t>简称：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智能家居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代码：165524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）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净值和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信诚中证智能家居指数分级证券投资基金A份额</w:t>
      </w:r>
      <w:r w:rsidR="00492731" w:rsidRPr="009F6E25">
        <w:rPr>
          <w:rFonts w:asciiTheme="minorEastAsia" w:hAnsiTheme="minorEastAsia" w:cstheme="minorHAnsi"/>
          <w:kern w:val="0"/>
          <w:szCs w:val="21"/>
        </w:rPr>
        <w:t>（场内简称：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A，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代码：150311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）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参考净值的变动幅度，即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的波动性要高于其他两类份额，其承担的风险也较高。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的持有人会因杠杆倍数的变化而承担不同程度的投资风险。</w:t>
      </w:r>
    </w:p>
    <w:p w:rsidR="002511F2" w:rsidRPr="009F6E25" w:rsidRDefault="00566E70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 w:hint="eastAsia"/>
          <w:kern w:val="0"/>
          <w:szCs w:val="21"/>
        </w:rPr>
        <w:t>3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、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智能B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的交易价格，除了有份额参考净值变化的风险外，还会受到市场的系统性风险、流动性风险等其他风险影响，可能使投资人面临损失。</w:t>
      </w:r>
    </w:p>
    <w:p w:rsidR="002511F2" w:rsidRPr="009F6E25" w:rsidRDefault="002511F2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4、截至本公告披露日，</w:t>
      </w:r>
      <w:r w:rsidR="00492731" w:rsidRPr="009F6E25">
        <w:rPr>
          <w:rFonts w:asciiTheme="minorEastAsia" w:hAnsiTheme="minorEastAsia" w:cstheme="minorHAnsi"/>
          <w:kern w:val="0"/>
          <w:szCs w:val="21"/>
        </w:rPr>
        <w:t>信诚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中证智能家居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指数分级证券投资基金</w:t>
      </w:r>
      <w:r w:rsidRPr="009F6E25">
        <w:rPr>
          <w:rFonts w:asciiTheme="minorEastAsia" w:hAnsiTheme="minorEastAsia" w:cstheme="minorHAnsi"/>
          <w:kern w:val="0"/>
          <w:szCs w:val="21"/>
        </w:rPr>
        <w:t>运作正常。本基金管理人仍将严格按照法律法规及基金合同进行投资运作。</w:t>
      </w:r>
    </w:p>
    <w:p w:rsidR="002511F2" w:rsidRPr="009F6E25" w:rsidRDefault="002511F2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5、截至本公告披露日，</w:t>
      </w:r>
      <w:r w:rsidR="00EF0F55" w:rsidRPr="009F6E25">
        <w:rPr>
          <w:rFonts w:asciiTheme="minorEastAsia" w:hAnsiTheme="minorEastAsia" w:cstheme="minorHAnsi"/>
          <w:kern w:val="0"/>
          <w:szCs w:val="21"/>
        </w:rPr>
        <w:t>信诚</w:t>
      </w:r>
      <w:r w:rsidR="00EF0F55" w:rsidRPr="009F6E25">
        <w:rPr>
          <w:rFonts w:asciiTheme="minorEastAsia" w:hAnsiTheme="minorEastAsia" w:cstheme="minorHAnsi" w:hint="eastAsia"/>
          <w:kern w:val="0"/>
          <w:szCs w:val="21"/>
        </w:rPr>
        <w:t>中证智能家居</w:t>
      </w:r>
      <w:r w:rsidR="00EF0F55" w:rsidRPr="009F6E25">
        <w:rPr>
          <w:rFonts w:asciiTheme="minorEastAsia" w:hAnsiTheme="minorEastAsia" w:cstheme="minorHAnsi"/>
          <w:kern w:val="0"/>
          <w:szCs w:val="21"/>
        </w:rPr>
        <w:t>指数分级证券投资基金</w:t>
      </w:r>
      <w:r w:rsidRPr="009F6E25">
        <w:rPr>
          <w:rFonts w:asciiTheme="minorEastAsia" w:hAnsiTheme="minorEastAsia" w:cstheme="minorHAnsi"/>
          <w:kern w:val="0"/>
          <w:szCs w:val="21"/>
        </w:rPr>
        <w:t>无其他应披露而未披露的重大信息。本基金管理人仍将严格按照有关规定和要求，及时做好信息披露工作。</w:t>
      </w:r>
    </w:p>
    <w:p w:rsidR="002511F2" w:rsidRPr="009F6E25" w:rsidRDefault="002511F2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6、基金管理人承诺以诚实信用、勤勉尽责的原则管理和运用基金资产，但不保证基金一定盈利，也不保证最低收益。投资者投资于本基金前应认真阅读本基金的基金合同和招募</w:t>
      </w:r>
      <w:r w:rsidRPr="009F6E25">
        <w:rPr>
          <w:rFonts w:asciiTheme="minorEastAsia" w:hAnsiTheme="minorEastAsia" w:cstheme="minorHAnsi"/>
          <w:kern w:val="0"/>
          <w:szCs w:val="21"/>
        </w:rPr>
        <w:lastRenderedPageBreak/>
        <w:t>说明书等相关法律文件</w:t>
      </w:r>
      <w:r w:rsidR="00566E70" w:rsidRPr="009F6E25">
        <w:rPr>
          <w:rFonts w:asciiTheme="minorEastAsia" w:hAnsiTheme="minorEastAsia" w:cstheme="minorHAnsi" w:hint="eastAsia"/>
          <w:kern w:val="0"/>
          <w:szCs w:val="21"/>
        </w:rPr>
        <w:t>，了解基金产品的详细情况，选择与自己风险识别能力和风险承受能力相匹配的基金，并注意投资风险</w:t>
      </w:r>
      <w:r w:rsidRPr="009F6E25">
        <w:rPr>
          <w:rFonts w:asciiTheme="minorEastAsia" w:hAnsiTheme="minorEastAsia" w:cstheme="minorHAnsi"/>
          <w:kern w:val="0"/>
          <w:szCs w:val="21"/>
        </w:rPr>
        <w:t>。</w:t>
      </w:r>
    </w:p>
    <w:p w:rsidR="002511F2" w:rsidRDefault="002511F2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特此公告。</w:t>
      </w:r>
    </w:p>
    <w:p w:rsidR="004C5E06" w:rsidRDefault="004C5E06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</w:p>
    <w:p w:rsidR="004C5E06" w:rsidRPr="009F6E25" w:rsidRDefault="004C5E06" w:rsidP="00080742">
      <w:pPr>
        <w:spacing w:line="360" w:lineRule="auto"/>
        <w:ind w:firstLineChars="200" w:firstLine="420"/>
        <w:rPr>
          <w:rFonts w:asciiTheme="minorEastAsia" w:hAnsiTheme="minorEastAsia" w:cstheme="minorHAnsi"/>
          <w:kern w:val="0"/>
          <w:szCs w:val="21"/>
        </w:rPr>
      </w:pPr>
    </w:p>
    <w:p w:rsidR="002511F2" w:rsidRPr="009F6E25" w:rsidRDefault="00567AFF" w:rsidP="00567AFF">
      <w:pPr>
        <w:wordWrap w:val="0"/>
        <w:spacing w:line="360" w:lineRule="auto"/>
        <w:ind w:right="210" w:firstLineChars="200" w:firstLine="420"/>
        <w:jc w:val="right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中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信</w:t>
      </w:r>
      <w:r w:rsidRPr="009F6E25">
        <w:rPr>
          <w:rFonts w:asciiTheme="minorEastAsia" w:hAnsiTheme="minorEastAsia" w:cstheme="minorHAnsi"/>
          <w:kern w:val="0"/>
          <w:szCs w:val="21"/>
        </w:rPr>
        <w:t>保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诚</w:t>
      </w:r>
      <w:r w:rsidR="002511F2" w:rsidRPr="009F6E25">
        <w:rPr>
          <w:rFonts w:asciiTheme="minorEastAsia" w:hAnsiTheme="minorEastAsia" w:cstheme="minorHAnsi"/>
          <w:kern w:val="0"/>
          <w:szCs w:val="21"/>
        </w:rPr>
        <w:t>基金管理有限公司</w:t>
      </w:r>
    </w:p>
    <w:p w:rsidR="00D26D8E" w:rsidRPr="009F6E25" w:rsidRDefault="002511F2" w:rsidP="00572BF4">
      <w:pPr>
        <w:wordWrap w:val="0"/>
        <w:spacing w:line="360" w:lineRule="auto"/>
        <w:ind w:firstLineChars="200" w:firstLine="420"/>
        <w:jc w:val="right"/>
        <w:rPr>
          <w:rFonts w:asciiTheme="minorEastAsia" w:hAnsiTheme="minorEastAsia" w:cstheme="minorHAnsi"/>
          <w:kern w:val="0"/>
          <w:szCs w:val="21"/>
        </w:rPr>
      </w:pPr>
      <w:r w:rsidRPr="009F6E25">
        <w:rPr>
          <w:rFonts w:asciiTheme="minorEastAsia" w:hAnsiTheme="minorEastAsia" w:cstheme="minorHAnsi"/>
          <w:kern w:val="0"/>
          <w:szCs w:val="21"/>
        </w:rPr>
        <w:t>20</w:t>
      </w:r>
      <w:r w:rsidR="009F6E25" w:rsidRPr="009F6E25">
        <w:rPr>
          <w:rFonts w:asciiTheme="minorEastAsia" w:hAnsiTheme="minorEastAsia" w:cstheme="minorHAnsi" w:hint="eastAsia"/>
          <w:kern w:val="0"/>
          <w:szCs w:val="21"/>
        </w:rPr>
        <w:t>20</w:t>
      </w:r>
      <w:r w:rsidRPr="009F6E25">
        <w:rPr>
          <w:rFonts w:asciiTheme="minorEastAsia" w:hAnsiTheme="minorEastAsia" w:cstheme="minorHAnsi"/>
          <w:kern w:val="0"/>
          <w:szCs w:val="21"/>
        </w:rPr>
        <w:t>年</w:t>
      </w:r>
      <w:r w:rsidR="00A843BA">
        <w:rPr>
          <w:rFonts w:asciiTheme="minorEastAsia" w:hAnsiTheme="minorEastAsia" w:cstheme="minorHAnsi" w:hint="eastAsia"/>
          <w:kern w:val="0"/>
          <w:szCs w:val="21"/>
        </w:rPr>
        <w:t>7</w:t>
      </w:r>
      <w:r w:rsidR="000E5A30" w:rsidRPr="009F6E25">
        <w:rPr>
          <w:rFonts w:asciiTheme="minorEastAsia" w:hAnsiTheme="minorEastAsia" w:cstheme="minorHAnsi"/>
          <w:kern w:val="0"/>
          <w:szCs w:val="21"/>
        </w:rPr>
        <w:t>月</w:t>
      </w:r>
      <w:r w:rsidR="00A843BA">
        <w:rPr>
          <w:rFonts w:asciiTheme="minorEastAsia" w:hAnsiTheme="minorEastAsia" w:cstheme="minorHAnsi" w:hint="eastAsia"/>
          <w:kern w:val="0"/>
          <w:szCs w:val="21"/>
        </w:rPr>
        <w:t>2</w:t>
      </w:r>
      <w:r w:rsidR="00F40E01">
        <w:rPr>
          <w:rFonts w:asciiTheme="minorEastAsia" w:hAnsiTheme="minorEastAsia" w:cstheme="minorHAnsi" w:hint="eastAsia"/>
          <w:kern w:val="0"/>
          <w:szCs w:val="21"/>
        </w:rPr>
        <w:t>8</w:t>
      </w:r>
      <w:bookmarkStart w:id="0" w:name="_GoBack"/>
      <w:bookmarkEnd w:id="0"/>
      <w:r w:rsidR="000E5A30" w:rsidRPr="009F6E25">
        <w:rPr>
          <w:rFonts w:asciiTheme="minorEastAsia" w:hAnsiTheme="minorEastAsia" w:cstheme="minorHAnsi"/>
          <w:kern w:val="0"/>
          <w:szCs w:val="21"/>
        </w:rPr>
        <w:t>日</w:t>
      </w:r>
      <w:r w:rsidR="00572BF4" w:rsidRPr="009F6E25">
        <w:rPr>
          <w:rFonts w:asciiTheme="minorEastAsia" w:hAnsiTheme="minorEastAsia" w:cstheme="minorHAnsi" w:hint="eastAsia"/>
          <w:kern w:val="0"/>
          <w:szCs w:val="21"/>
        </w:rPr>
        <w:t xml:space="preserve">  </w:t>
      </w:r>
    </w:p>
    <w:sectPr w:rsidR="00D26D8E" w:rsidRPr="009F6E25" w:rsidSect="004C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34" w:rsidRDefault="00FD0534" w:rsidP="00A5599F">
      <w:r>
        <w:separator/>
      </w:r>
    </w:p>
  </w:endnote>
  <w:endnote w:type="continuationSeparator" w:id="0">
    <w:p w:rsidR="00FD0534" w:rsidRDefault="00FD0534" w:rsidP="00A5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34" w:rsidRDefault="00FD0534" w:rsidP="00A5599F">
      <w:r>
        <w:separator/>
      </w:r>
    </w:p>
  </w:footnote>
  <w:footnote w:type="continuationSeparator" w:id="0">
    <w:p w:rsidR="00FD0534" w:rsidRDefault="00FD0534" w:rsidP="00A5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1F2"/>
    <w:rsid w:val="000024E9"/>
    <w:rsid w:val="00011784"/>
    <w:rsid w:val="00022314"/>
    <w:rsid w:val="0002745D"/>
    <w:rsid w:val="000367BF"/>
    <w:rsid w:val="00041954"/>
    <w:rsid w:val="000514F4"/>
    <w:rsid w:val="00052AF7"/>
    <w:rsid w:val="0005336F"/>
    <w:rsid w:val="00060A2F"/>
    <w:rsid w:val="0006640D"/>
    <w:rsid w:val="00066978"/>
    <w:rsid w:val="000723AD"/>
    <w:rsid w:val="00075339"/>
    <w:rsid w:val="00080742"/>
    <w:rsid w:val="00093167"/>
    <w:rsid w:val="000A1DA2"/>
    <w:rsid w:val="000B677A"/>
    <w:rsid w:val="000B781C"/>
    <w:rsid w:val="000D04AB"/>
    <w:rsid w:val="000D53C3"/>
    <w:rsid w:val="000E446F"/>
    <w:rsid w:val="000E5A30"/>
    <w:rsid w:val="00101E11"/>
    <w:rsid w:val="00103CE6"/>
    <w:rsid w:val="00106988"/>
    <w:rsid w:val="0012097D"/>
    <w:rsid w:val="00126AF9"/>
    <w:rsid w:val="00130137"/>
    <w:rsid w:val="00150EA3"/>
    <w:rsid w:val="0017747D"/>
    <w:rsid w:val="001A6AB6"/>
    <w:rsid w:val="001C4F43"/>
    <w:rsid w:val="002179B4"/>
    <w:rsid w:val="0022596A"/>
    <w:rsid w:val="00231A90"/>
    <w:rsid w:val="00237A64"/>
    <w:rsid w:val="002460C2"/>
    <w:rsid w:val="002511F2"/>
    <w:rsid w:val="0025374F"/>
    <w:rsid w:val="00253C27"/>
    <w:rsid w:val="002555C2"/>
    <w:rsid w:val="002712F6"/>
    <w:rsid w:val="00285783"/>
    <w:rsid w:val="002B0823"/>
    <w:rsid w:val="002C09F5"/>
    <w:rsid w:val="002C0FD4"/>
    <w:rsid w:val="002C7B82"/>
    <w:rsid w:val="002D6D0C"/>
    <w:rsid w:val="002E102F"/>
    <w:rsid w:val="002E3E04"/>
    <w:rsid w:val="002F2B55"/>
    <w:rsid w:val="002F746B"/>
    <w:rsid w:val="00317E8B"/>
    <w:rsid w:val="003333D2"/>
    <w:rsid w:val="00357FEE"/>
    <w:rsid w:val="00363550"/>
    <w:rsid w:val="003673DF"/>
    <w:rsid w:val="00375B58"/>
    <w:rsid w:val="0037679B"/>
    <w:rsid w:val="003812F2"/>
    <w:rsid w:val="003A1477"/>
    <w:rsid w:val="003B3E89"/>
    <w:rsid w:val="003E1483"/>
    <w:rsid w:val="003F4E2B"/>
    <w:rsid w:val="00403A46"/>
    <w:rsid w:val="00427669"/>
    <w:rsid w:val="00433CB2"/>
    <w:rsid w:val="004436E1"/>
    <w:rsid w:val="00457FAD"/>
    <w:rsid w:val="00474CD0"/>
    <w:rsid w:val="00475A93"/>
    <w:rsid w:val="00492731"/>
    <w:rsid w:val="004A372E"/>
    <w:rsid w:val="004C47F8"/>
    <w:rsid w:val="004C5E06"/>
    <w:rsid w:val="00544E83"/>
    <w:rsid w:val="00552E5E"/>
    <w:rsid w:val="00554191"/>
    <w:rsid w:val="00566E70"/>
    <w:rsid w:val="00567AFF"/>
    <w:rsid w:val="00572BF4"/>
    <w:rsid w:val="005919E4"/>
    <w:rsid w:val="005E24C9"/>
    <w:rsid w:val="006144AC"/>
    <w:rsid w:val="00624C8D"/>
    <w:rsid w:val="00641874"/>
    <w:rsid w:val="00662474"/>
    <w:rsid w:val="00664806"/>
    <w:rsid w:val="00686DFA"/>
    <w:rsid w:val="0069023D"/>
    <w:rsid w:val="006A44FC"/>
    <w:rsid w:val="006A4976"/>
    <w:rsid w:val="006A49AD"/>
    <w:rsid w:val="006B1C2A"/>
    <w:rsid w:val="006B7396"/>
    <w:rsid w:val="006D3C1E"/>
    <w:rsid w:val="006D4E57"/>
    <w:rsid w:val="006E7241"/>
    <w:rsid w:val="0070590C"/>
    <w:rsid w:val="00734217"/>
    <w:rsid w:val="00743F86"/>
    <w:rsid w:val="0075647E"/>
    <w:rsid w:val="007A67ED"/>
    <w:rsid w:val="007E11C6"/>
    <w:rsid w:val="007F1265"/>
    <w:rsid w:val="0080693E"/>
    <w:rsid w:val="00867556"/>
    <w:rsid w:val="00874C8E"/>
    <w:rsid w:val="00896558"/>
    <w:rsid w:val="008A6C70"/>
    <w:rsid w:val="008B5834"/>
    <w:rsid w:val="008D1AB9"/>
    <w:rsid w:val="008E1F20"/>
    <w:rsid w:val="008F37F9"/>
    <w:rsid w:val="008F78F7"/>
    <w:rsid w:val="00906324"/>
    <w:rsid w:val="00921ED2"/>
    <w:rsid w:val="00924336"/>
    <w:rsid w:val="00933128"/>
    <w:rsid w:val="00933686"/>
    <w:rsid w:val="00943258"/>
    <w:rsid w:val="00944CE9"/>
    <w:rsid w:val="009479A6"/>
    <w:rsid w:val="00972E60"/>
    <w:rsid w:val="00980293"/>
    <w:rsid w:val="00985623"/>
    <w:rsid w:val="00991674"/>
    <w:rsid w:val="00991D10"/>
    <w:rsid w:val="00992683"/>
    <w:rsid w:val="009A6AB5"/>
    <w:rsid w:val="009C3F47"/>
    <w:rsid w:val="009F6E25"/>
    <w:rsid w:val="00A01AB2"/>
    <w:rsid w:val="00A07B95"/>
    <w:rsid w:val="00A1033E"/>
    <w:rsid w:val="00A33621"/>
    <w:rsid w:val="00A368CA"/>
    <w:rsid w:val="00A45B30"/>
    <w:rsid w:val="00A47379"/>
    <w:rsid w:val="00A52DC9"/>
    <w:rsid w:val="00A5599F"/>
    <w:rsid w:val="00A55DDC"/>
    <w:rsid w:val="00A61111"/>
    <w:rsid w:val="00A843BA"/>
    <w:rsid w:val="00A8636F"/>
    <w:rsid w:val="00A91E77"/>
    <w:rsid w:val="00AB1E02"/>
    <w:rsid w:val="00AB4FDA"/>
    <w:rsid w:val="00AC2C2C"/>
    <w:rsid w:val="00AD6B64"/>
    <w:rsid w:val="00AE63EA"/>
    <w:rsid w:val="00B04985"/>
    <w:rsid w:val="00B0699E"/>
    <w:rsid w:val="00B07EBA"/>
    <w:rsid w:val="00B12CA3"/>
    <w:rsid w:val="00B203EA"/>
    <w:rsid w:val="00B70A31"/>
    <w:rsid w:val="00BB28C3"/>
    <w:rsid w:val="00BD28E2"/>
    <w:rsid w:val="00BE1879"/>
    <w:rsid w:val="00C15D49"/>
    <w:rsid w:val="00C56A88"/>
    <w:rsid w:val="00C6118C"/>
    <w:rsid w:val="00C613A2"/>
    <w:rsid w:val="00C64EC2"/>
    <w:rsid w:val="00C76E46"/>
    <w:rsid w:val="00C805F4"/>
    <w:rsid w:val="00C8443D"/>
    <w:rsid w:val="00CB43CF"/>
    <w:rsid w:val="00CC6F8B"/>
    <w:rsid w:val="00CE5411"/>
    <w:rsid w:val="00CF5334"/>
    <w:rsid w:val="00D07119"/>
    <w:rsid w:val="00D26D8E"/>
    <w:rsid w:val="00D43F32"/>
    <w:rsid w:val="00D47CB9"/>
    <w:rsid w:val="00DA412F"/>
    <w:rsid w:val="00DB7A0E"/>
    <w:rsid w:val="00DC06B2"/>
    <w:rsid w:val="00DC2885"/>
    <w:rsid w:val="00DF57DF"/>
    <w:rsid w:val="00E10397"/>
    <w:rsid w:val="00E15947"/>
    <w:rsid w:val="00E271B8"/>
    <w:rsid w:val="00E27CBB"/>
    <w:rsid w:val="00E27DC2"/>
    <w:rsid w:val="00E562E5"/>
    <w:rsid w:val="00E83179"/>
    <w:rsid w:val="00E91D56"/>
    <w:rsid w:val="00EB0AA4"/>
    <w:rsid w:val="00EB65AA"/>
    <w:rsid w:val="00EC5AF3"/>
    <w:rsid w:val="00EC62B6"/>
    <w:rsid w:val="00EE7020"/>
    <w:rsid w:val="00EF0F55"/>
    <w:rsid w:val="00EF4985"/>
    <w:rsid w:val="00F02ABD"/>
    <w:rsid w:val="00F10484"/>
    <w:rsid w:val="00F113B8"/>
    <w:rsid w:val="00F31B0F"/>
    <w:rsid w:val="00F32151"/>
    <w:rsid w:val="00F333F3"/>
    <w:rsid w:val="00F40E01"/>
    <w:rsid w:val="00F43981"/>
    <w:rsid w:val="00F51917"/>
    <w:rsid w:val="00F7134C"/>
    <w:rsid w:val="00FB2E68"/>
    <w:rsid w:val="00FC08AA"/>
    <w:rsid w:val="00FC315A"/>
    <w:rsid w:val="00FD0534"/>
    <w:rsid w:val="00FD3BDD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1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1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59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5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1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1F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59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5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3ACD-2B3F-44DC-8C8F-87BDD19D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4</DocSecurity>
  <Lines>7</Lines>
  <Paragraphs>2</Paragraphs>
  <ScaleCrop>false</ScaleCrop>
  <Company>Lenovo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龚岚</dc:creator>
  <cp:lastModifiedBy>ZHONGM</cp:lastModifiedBy>
  <cp:revision>2</cp:revision>
  <dcterms:created xsi:type="dcterms:W3CDTF">2020-07-27T16:02:00Z</dcterms:created>
  <dcterms:modified xsi:type="dcterms:W3CDTF">2020-07-27T16:02:00Z</dcterms:modified>
</cp:coreProperties>
</file>