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C7" w:rsidRDefault="000A1E5B">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太平基金管理有限公司</w:t>
      </w:r>
    </w:p>
    <w:p w:rsidR="00B87EC7" w:rsidRDefault="000A1E5B">
      <w:pPr>
        <w:spacing w:line="360" w:lineRule="auto"/>
        <w:jc w:val="center"/>
        <w:rPr>
          <w:rFonts w:asciiTheme="minorEastAsia" w:hAnsiTheme="minorEastAsia"/>
          <w:b/>
          <w:sz w:val="28"/>
          <w:szCs w:val="28"/>
        </w:rPr>
      </w:pPr>
      <w:r>
        <w:rPr>
          <w:rFonts w:asciiTheme="minorEastAsia" w:hAnsiTheme="minorEastAsia" w:hint="eastAsia"/>
          <w:b/>
          <w:sz w:val="28"/>
          <w:szCs w:val="28"/>
        </w:rPr>
        <w:t>关于</w:t>
      </w:r>
      <w:r w:rsidR="00314108" w:rsidRPr="00314108">
        <w:rPr>
          <w:rFonts w:asciiTheme="minorEastAsia" w:hAnsiTheme="minorEastAsia" w:hint="eastAsia"/>
          <w:b/>
          <w:sz w:val="28"/>
          <w:szCs w:val="28"/>
        </w:rPr>
        <w:t>太平睿盈混合型证券投资基金</w:t>
      </w:r>
      <w:r w:rsidR="007F3FAC">
        <w:rPr>
          <w:rFonts w:asciiTheme="minorEastAsia" w:hAnsiTheme="minorEastAsia" w:hint="eastAsia"/>
          <w:b/>
          <w:sz w:val="28"/>
          <w:szCs w:val="28"/>
        </w:rPr>
        <w:t>C类</w:t>
      </w:r>
    </w:p>
    <w:p w:rsidR="00B87EC7" w:rsidRDefault="000A1E5B">
      <w:pPr>
        <w:spacing w:line="360" w:lineRule="auto"/>
        <w:jc w:val="center"/>
        <w:rPr>
          <w:rFonts w:asciiTheme="minorEastAsia" w:hAnsiTheme="minorEastAsia"/>
          <w:b/>
          <w:sz w:val="28"/>
          <w:szCs w:val="28"/>
        </w:rPr>
      </w:pPr>
      <w:r>
        <w:rPr>
          <w:rFonts w:asciiTheme="minorEastAsia" w:hAnsiTheme="minorEastAsia" w:hint="eastAsia"/>
          <w:b/>
          <w:sz w:val="28"/>
          <w:szCs w:val="28"/>
        </w:rPr>
        <w:t>增加销售机构并参加相关费率优惠的公告</w:t>
      </w:r>
    </w:p>
    <w:p w:rsidR="00B87EC7" w:rsidRDefault="00B87EC7">
      <w:pPr>
        <w:spacing w:line="360" w:lineRule="auto"/>
        <w:jc w:val="center"/>
        <w:rPr>
          <w:rFonts w:asciiTheme="minorEastAsia" w:hAnsiTheme="minorEastAsia"/>
          <w:b/>
          <w:sz w:val="24"/>
          <w:szCs w:val="24"/>
        </w:rPr>
      </w:pPr>
    </w:p>
    <w:p w:rsidR="00B87EC7" w:rsidRDefault="000A1E5B">
      <w:pPr>
        <w:spacing w:line="360" w:lineRule="auto"/>
        <w:ind w:firstLine="601"/>
        <w:outlineLvl w:val="0"/>
        <w:rPr>
          <w:rFonts w:asciiTheme="minorEastAsia" w:hAnsiTheme="minorEastAsia"/>
          <w:sz w:val="24"/>
          <w:szCs w:val="24"/>
        </w:rPr>
      </w:pPr>
      <w:r>
        <w:rPr>
          <w:rFonts w:asciiTheme="minorEastAsia" w:hAnsiTheme="minorEastAsia" w:hint="eastAsia"/>
          <w:sz w:val="24"/>
          <w:szCs w:val="24"/>
        </w:rPr>
        <w:t>为了更好地满足广大投资者的理财需求，根据太平基金管理有限公司（以下简称“本公司”）与北京恒天明泽基金销售有限公司（以下简称“恒天明泽”）、</w:t>
      </w:r>
      <w:r w:rsidR="00314108" w:rsidRPr="00314108">
        <w:rPr>
          <w:rFonts w:asciiTheme="minorEastAsia" w:hAnsiTheme="minorEastAsia" w:hint="eastAsia"/>
          <w:sz w:val="24"/>
          <w:szCs w:val="24"/>
        </w:rPr>
        <w:t>北京肯特瑞基金销售有限公司</w:t>
      </w:r>
      <w:r w:rsidR="00314108">
        <w:rPr>
          <w:rFonts w:asciiTheme="minorEastAsia" w:hAnsiTheme="minorEastAsia" w:hint="eastAsia"/>
          <w:sz w:val="24"/>
          <w:szCs w:val="24"/>
        </w:rPr>
        <w:t>（以下简称“肯特瑞”）</w:t>
      </w:r>
      <w:r>
        <w:rPr>
          <w:rFonts w:asciiTheme="minorEastAsia" w:hAnsiTheme="minorEastAsia" w:hint="eastAsia"/>
          <w:sz w:val="24"/>
          <w:szCs w:val="24"/>
        </w:rPr>
        <w:t>签署的相关销售协议，自</w:t>
      </w:r>
      <w:r w:rsidR="007F3FAC">
        <w:rPr>
          <w:rFonts w:asciiTheme="minorEastAsia" w:hAnsiTheme="minorEastAsia"/>
          <w:sz w:val="24"/>
          <w:szCs w:val="24"/>
        </w:rPr>
        <w:t>2</w:t>
      </w:r>
      <w:r w:rsidR="007F3FAC">
        <w:rPr>
          <w:rFonts w:asciiTheme="minorEastAsia" w:hAnsiTheme="minorEastAsia" w:hint="eastAsia"/>
          <w:sz w:val="24"/>
          <w:szCs w:val="24"/>
        </w:rPr>
        <w:t>020</w:t>
      </w:r>
      <w:r w:rsidR="007F3FAC">
        <w:rPr>
          <w:rFonts w:asciiTheme="minorEastAsia" w:hAnsiTheme="minorEastAsia"/>
          <w:sz w:val="24"/>
          <w:szCs w:val="24"/>
        </w:rPr>
        <w:t>年</w:t>
      </w:r>
      <w:r w:rsidR="007F3FAC">
        <w:rPr>
          <w:rFonts w:asciiTheme="minorEastAsia" w:hAnsiTheme="minorEastAsia" w:hint="eastAsia"/>
          <w:sz w:val="24"/>
          <w:szCs w:val="24"/>
        </w:rPr>
        <w:t>7</w:t>
      </w:r>
      <w:r>
        <w:rPr>
          <w:rFonts w:asciiTheme="minorEastAsia" w:hAnsiTheme="minorEastAsia" w:hint="eastAsia"/>
          <w:sz w:val="24"/>
          <w:szCs w:val="24"/>
        </w:rPr>
        <w:t>月</w:t>
      </w:r>
      <w:r w:rsidR="007F3FAC">
        <w:rPr>
          <w:rFonts w:asciiTheme="minorEastAsia" w:hAnsiTheme="minorEastAsia" w:hint="eastAsia"/>
          <w:sz w:val="24"/>
          <w:szCs w:val="24"/>
        </w:rPr>
        <w:t>28</w:t>
      </w:r>
      <w:r>
        <w:rPr>
          <w:rFonts w:asciiTheme="minorEastAsia" w:hAnsiTheme="minorEastAsia" w:hint="eastAsia"/>
          <w:sz w:val="24"/>
          <w:szCs w:val="24"/>
        </w:rPr>
        <w:t>日起，投资者可通过上述销售机构办理本公司旗下</w:t>
      </w:r>
      <w:r w:rsidR="00090BC3" w:rsidRPr="00090BC3">
        <w:rPr>
          <w:rFonts w:asciiTheme="minorEastAsia" w:hAnsiTheme="minorEastAsia" w:hint="eastAsia"/>
          <w:sz w:val="24"/>
          <w:szCs w:val="24"/>
        </w:rPr>
        <w:t>太平睿盈混合型证券投资基金</w:t>
      </w:r>
      <w:r w:rsidR="007F3FAC">
        <w:rPr>
          <w:rFonts w:asciiTheme="minorEastAsia" w:hAnsiTheme="minorEastAsia" w:hint="eastAsia"/>
          <w:sz w:val="24"/>
          <w:szCs w:val="24"/>
        </w:rPr>
        <w:t>C类</w:t>
      </w:r>
      <w:r>
        <w:rPr>
          <w:rFonts w:asciiTheme="minorEastAsia" w:hAnsiTheme="minorEastAsia" w:hint="eastAsia"/>
          <w:sz w:val="24"/>
          <w:szCs w:val="24"/>
        </w:rPr>
        <w:t>（以下简称：本基金；基金代码：</w:t>
      </w:r>
      <w:r w:rsidR="00065862">
        <w:rPr>
          <w:rFonts w:asciiTheme="minorEastAsia" w:hAnsiTheme="minorEastAsia" w:hint="eastAsia"/>
          <w:sz w:val="24"/>
          <w:szCs w:val="24"/>
        </w:rPr>
        <w:t>007669</w:t>
      </w:r>
      <w:r>
        <w:rPr>
          <w:rFonts w:asciiTheme="minorEastAsia" w:hAnsiTheme="minorEastAsia" w:hint="eastAsia"/>
          <w:sz w:val="24"/>
          <w:szCs w:val="24"/>
        </w:rPr>
        <w:t>）的开户、申购、赎回、转换、定期定额投资等业务，同时本基金将参加上述销售机构相关费率优惠活动。现就有关事项公告如下：</w:t>
      </w:r>
    </w:p>
    <w:p w:rsidR="00B87EC7" w:rsidRDefault="00B87EC7" w:rsidP="000B7F07">
      <w:pPr>
        <w:spacing w:line="360" w:lineRule="auto"/>
        <w:ind w:firstLineChars="200" w:firstLine="480"/>
        <w:rPr>
          <w:rFonts w:asciiTheme="minorEastAsia" w:hAnsiTheme="minorEastAsia"/>
          <w:sz w:val="24"/>
          <w:szCs w:val="24"/>
        </w:rPr>
      </w:pPr>
    </w:p>
    <w:p w:rsidR="00B87EC7" w:rsidRDefault="000A1E5B">
      <w:pPr>
        <w:spacing w:line="360" w:lineRule="auto"/>
        <w:rPr>
          <w:rFonts w:asciiTheme="minorEastAsia" w:hAnsiTheme="minorEastAsia"/>
          <w:sz w:val="24"/>
          <w:szCs w:val="24"/>
        </w:rPr>
      </w:pPr>
      <w:r>
        <w:rPr>
          <w:rFonts w:asciiTheme="minorEastAsia" w:hAnsiTheme="minorEastAsia" w:hint="eastAsia"/>
          <w:sz w:val="24"/>
          <w:szCs w:val="24"/>
        </w:rPr>
        <w:t>一、定期定额投资业务及其规则</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是指投资者可通过基金管理人指定的销售机构提交申请，约定每期扣款时间、扣款金额及扣款方式，由销售机构于每期约定扣款日在投资者指定资金账户内自动完成扣款，并提交基金申购申请的一种长期投资方式。</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1、扣款日期和扣款金额</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投资者办理定期定额投资业务前，须指定一个有效资金账户作为每期固定扣款账户，并经办理本业务的销售机构认可。投资者须遵循上述销售机构有关规定，并与上述销售机构约定每期扣款日期及固定扣款金额。</w:t>
      </w:r>
    </w:p>
    <w:p w:rsidR="00B87EC7" w:rsidRDefault="006B560B" w:rsidP="006B560B">
      <w:pPr>
        <w:spacing w:line="360" w:lineRule="auto"/>
        <w:ind w:firstLineChars="200" w:firstLine="480"/>
        <w:rPr>
          <w:rFonts w:asciiTheme="minorEastAsia" w:hAnsiTheme="minorEastAsia"/>
          <w:sz w:val="24"/>
          <w:szCs w:val="24"/>
        </w:rPr>
      </w:pPr>
      <w:r w:rsidRPr="006B560B">
        <w:rPr>
          <w:rFonts w:asciiTheme="minorEastAsia" w:hAnsiTheme="minorEastAsia" w:hint="eastAsia"/>
          <w:sz w:val="24"/>
          <w:szCs w:val="24"/>
        </w:rPr>
        <w:t>太平睿盈混合型</w:t>
      </w:r>
      <w:r w:rsidR="007F3FAC">
        <w:rPr>
          <w:rFonts w:asciiTheme="minorEastAsia" w:hAnsiTheme="minorEastAsia" w:hint="eastAsia"/>
          <w:sz w:val="24"/>
          <w:szCs w:val="24"/>
        </w:rPr>
        <w:t>证券投资基金C类</w:t>
      </w:r>
      <w:r w:rsidR="000A1E5B">
        <w:rPr>
          <w:rFonts w:asciiTheme="minorEastAsia" w:hAnsiTheme="minorEastAsia" w:hint="eastAsia"/>
          <w:sz w:val="24"/>
          <w:szCs w:val="24"/>
        </w:rPr>
        <w:t>的定期定额投资业务每期最低扣款金额以该基金最低申购金额为准（含申购费），上述销售机构可在此最低金额基础之上，根据需要设置等于或高于该基金的最低扣款金额，具体以上述销售机构的相关业务规则为准。投资者须指定一个有效资金账户作为每期固定扣款账户。若遇非基金交易日时，扣款是否顺延以上述销售机构的具体规定为准。具体扣款方式按上述销售机构的相关业务规则办理。</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2、交易确认</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定期定额投资业务遵循“未知价”和“金额申购”的原则，申购价格以基金</w:t>
      </w:r>
      <w:r>
        <w:rPr>
          <w:rFonts w:asciiTheme="minorEastAsia" w:hAnsiTheme="minorEastAsia" w:hint="eastAsia"/>
          <w:sz w:val="24"/>
          <w:szCs w:val="24"/>
        </w:rPr>
        <w:lastRenderedPageBreak/>
        <w:t>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投资者办理定期定额投资业务的变更和终止，须携带本人有效身份证件及相关凭证到原办理该业务网点申请办理，具体办理程序和事宜遵循上述销售机构的有关规定。</w:t>
      </w:r>
    </w:p>
    <w:p w:rsidR="00B87EC7" w:rsidRDefault="00B87EC7">
      <w:pPr>
        <w:spacing w:line="360" w:lineRule="auto"/>
        <w:ind w:firstLineChars="200" w:firstLine="480"/>
        <w:rPr>
          <w:rFonts w:asciiTheme="minorEastAsia" w:hAnsiTheme="minorEastAsia"/>
          <w:sz w:val="24"/>
          <w:szCs w:val="24"/>
        </w:rPr>
      </w:pPr>
    </w:p>
    <w:p w:rsidR="00B87EC7" w:rsidRDefault="000A1E5B">
      <w:pPr>
        <w:spacing w:line="360" w:lineRule="auto"/>
        <w:rPr>
          <w:rFonts w:asciiTheme="minorEastAsia" w:hAnsiTheme="minorEastAsia"/>
          <w:sz w:val="24"/>
          <w:szCs w:val="24"/>
        </w:rPr>
      </w:pPr>
      <w:r>
        <w:rPr>
          <w:rFonts w:asciiTheme="minorEastAsia" w:hAnsiTheme="minorEastAsia" w:hint="eastAsia"/>
          <w:sz w:val="24"/>
          <w:szCs w:val="24"/>
        </w:rPr>
        <w:t>二、基金转换业务及其规则</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B87EC7" w:rsidRDefault="000A1E5B">
      <w:pPr>
        <w:spacing w:line="360" w:lineRule="auto"/>
        <w:ind w:firstLineChars="196" w:firstLine="470"/>
        <w:rPr>
          <w:sz w:val="24"/>
        </w:rPr>
      </w:pPr>
      <w:r>
        <w:rPr>
          <w:rFonts w:ascii="宋体" w:hAnsi="宋体"/>
          <w:bCs/>
          <w:sz w:val="24"/>
        </w:rPr>
        <w:t>1</w:t>
      </w:r>
      <w:r>
        <w:rPr>
          <w:rFonts w:ascii="宋体" w:hAnsi="宋体" w:hint="eastAsia"/>
          <w:bCs/>
          <w:sz w:val="24"/>
        </w:rPr>
        <w:t>、</w:t>
      </w:r>
      <w:r>
        <w:rPr>
          <w:rFonts w:ascii="宋体" w:hAnsi="宋体"/>
          <w:bCs/>
          <w:sz w:val="24"/>
        </w:rPr>
        <w:t>转换费率</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基金转换费用的具体计算公式如下：</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1</w:t>
      </w:r>
      <w:r>
        <w:rPr>
          <w:rFonts w:asciiTheme="minorEastAsia" w:hAnsiTheme="minorEastAsia" w:hint="eastAsia"/>
          <w:sz w:val="24"/>
          <w:szCs w:val="24"/>
        </w:rPr>
        <w:t>）转换费用=转出费</w:t>
      </w:r>
      <w:r>
        <w:rPr>
          <w:rFonts w:asciiTheme="minorEastAsia" w:hAnsiTheme="minorEastAsia"/>
          <w:sz w:val="24"/>
          <w:szCs w:val="24"/>
        </w:rPr>
        <w:t>+</w:t>
      </w:r>
      <w:r>
        <w:rPr>
          <w:rFonts w:asciiTheme="minorEastAsia" w:hAnsiTheme="minorEastAsia" w:hint="eastAsia"/>
          <w:sz w:val="24"/>
          <w:szCs w:val="24"/>
        </w:rPr>
        <w:t>补差费</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）转出费</w:t>
      </w:r>
      <w:r>
        <w:rPr>
          <w:rFonts w:asciiTheme="minorEastAsia" w:hAnsiTheme="minorEastAsia"/>
          <w:sz w:val="24"/>
          <w:szCs w:val="24"/>
        </w:rPr>
        <w:t>=</w:t>
      </w:r>
      <w:r>
        <w:rPr>
          <w:rFonts w:asciiTheme="minorEastAsia" w:hAnsiTheme="minorEastAsia" w:hint="eastAsia"/>
          <w:sz w:val="24"/>
          <w:szCs w:val="24"/>
        </w:rPr>
        <w:t>转出金额×转出基金赎回费率</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（3）转出金额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4</w:t>
      </w:r>
      <w:r>
        <w:rPr>
          <w:rFonts w:asciiTheme="minorEastAsia" w:hAnsiTheme="minorEastAsia" w:hint="eastAsia"/>
          <w:sz w:val="24"/>
          <w:szCs w:val="24"/>
        </w:rPr>
        <w:t>）补差费</w:t>
      </w:r>
      <w:r>
        <w:rPr>
          <w:rFonts w:asciiTheme="minorEastAsia" w:hAnsiTheme="minorEastAsia"/>
          <w:sz w:val="24"/>
          <w:szCs w:val="24"/>
        </w:rPr>
        <w:t>=Max</w:t>
      </w:r>
      <w:r>
        <w:rPr>
          <w:rFonts w:asciiTheme="minorEastAsia" w:hAnsiTheme="minorEastAsia" w:hint="eastAsia"/>
          <w:sz w:val="24"/>
          <w:szCs w:val="24"/>
        </w:rPr>
        <w:t>（｛转出净金额×转入基金的申购费率</w:t>
      </w:r>
      <w:r>
        <w:rPr>
          <w:rFonts w:asciiTheme="minorEastAsia" w:hAnsiTheme="minorEastAsia"/>
          <w:sz w:val="24"/>
          <w:szCs w:val="24"/>
        </w:rPr>
        <w:t>/(1+</w:t>
      </w:r>
      <w:r>
        <w:rPr>
          <w:rFonts w:asciiTheme="minorEastAsia" w:hAnsiTheme="minorEastAsia" w:hint="eastAsia"/>
          <w:sz w:val="24"/>
          <w:szCs w:val="24"/>
        </w:rPr>
        <w:t>转入基金的申购费率</w:t>
      </w:r>
      <w:r>
        <w:rPr>
          <w:rFonts w:asciiTheme="minorEastAsia" w:hAnsiTheme="minorEastAsia"/>
          <w:sz w:val="24"/>
          <w:szCs w:val="24"/>
        </w:rPr>
        <w:t xml:space="preserve">) </w:t>
      </w:r>
      <w:r>
        <w:rPr>
          <w:rFonts w:asciiTheme="minorEastAsia" w:hAnsiTheme="minorEastAsia" w:hint="eastAsia"/>
          <w:sz w:val="24"/>
          <w:szCs w:val="24"/>
        </w:rPr>
        <w:t>｝－｛转出净金额×转出基金的申购费率</w:t>
      </w:r>
      <w:r>
        <w:rPr>
          <w:rFonts w:asciiTheme="minorEastAsia" w:hAnsiTheme="minorEastAsia"/>
          <w:sz w:val="24"/>
          <w:szCs w:val="24"/>
        </w:rPr>
        <w:t>/(1+</w:t>
      </w:r>
      <w:r>
        <w:rPr>
          <w:rFonts w:asciiTheme="minorEastAsia" w:hAnsiTheme="minorEastAsia" w:hint="eastAsia"/>
          <w:sz w:val="24"/>
          <w:szCs w:val="24"/>
        </w:rPr>
        <w:t>转出基金的申购费率</w:t>
      </w:r>
      <w:r>
        <w:rPr>
          <w:rFonts w:asciiTheme="minorEastAsia" w:hAnsiTheme="minorEastAsia"/>
          <w:sz w:val="24"/>
          <w:szCs w:val="24"/>
        </w:rPr>
        <w:t xml:space="preserve">) </w:t>
      </w:r>
      <w:r>
        <w:rPr>
          <w:rFonts w:asciiTheme="minorEastAsia" w:hAnsiTheme="minorEastAsia" w:hint="eastAsia"/>
          <w:sz w:val="24"/>
          <w:szCs w:val="24"/>
        </w:rPr>
        <w:t>｝，</w:t>
      </w:r>
      <w:r>
        <w:rPr>
          <w:rFonts w:asciiTheme="minorEastAsia" w:hAnsiTheme="minorEastAsia"/>
          <w:sz w:val="24"/>
          <w:szCs w:val="24"/>
        </w:rPr>
        <w:t>0</w:t>
      </w:r>
      <w:r>
        <w:rPr>
          <w:rFonts w:asciiTheme="minorEastAsia" w:hAnsiTheme="minorEastAsia" w:hint="eastAsia"/>
          <w:sz w:val="24"/>
          <w:szCs w:val="24"/>
        </w:rPr>
        <w:t>）</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（5）转入净金额</w:t>
      </w:r>
      <w:r>
        <w:rPr>
          <w:rFonts w:asciiTheme="minorEastAsia" w:hAnsiTheme="minorEastAsia"/>
          <w:sz w:val="24"/>
          <w:szCs w:val="24"/>
        </w:rPr>
        <w:t>=</w:t>
      </w:r>
      <w:r>
        <w:rPr>
          <w:rFonts w:asciiTheme="minorEastAsia" w:hAnsiTheme="minorEastAsia" w:hint="eastAsia"/>
          <w:sz w:val="24"/>
          <w:szCs w:val="24"/>
        </w:rPr>
        <w:t>转出金额</w:t>
      </w:r>
      <w:r>
        <w:rPr>
          <w:rFonts w:asciiTheme="minorEastAsia" w:hAnsiTheme="minorEastAsia"/>
          <w:sz w:val="24"/>
          <w:szCs w:val="24"/>
        </w:rPr>
        <w:t>-</w:t>
      </w:r>
      <w:r>
        <w:rPr>
          <w:rFonts w:asciiTheme="minorEastAsia" w:hAnsiTheme="minorEastAsia" w:hint="eastAsia"/>
          <w:sz w:val="24"/>
          <w:szCs w:val="24"/>
        </w:rPr>
        <w:t>转换费用</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（6）转出净金额</w:t>
      </w:r>
      <w:r>
        <w:rPr>
          <w:rFonts w:asciiTheme="minorEastAsia" w:hAnsiTheme="minorEastAsia"/>
          <w:sz w:val="24"/>
          <w:szCs w:val="24"/>
        </w:rPr>
        <w:t>=</w:t>
      </w:r>
      <w:r>
        <w:rPr>
          <w:rFonts w:asciiTheme="minorEastAsia" w:hAnsiTheme="minorEastAsia" w:hint="eastAsia"/>
          <w:sz w:val="24"/>
          <w:szCs w:val="24"/>
        </w:rPr>
        <w:t>转出基金份额×转出基金当日基金份额净值×（</w:t>
      </w:r>
      <w:r>
        <w:rPr>
          <w:rFonts w:asciiTheme="minorEastAsia" w:hAnsiTheme="minorEastAsia"/>
          <w:sz w:val="24"/>
          <w:szCs w:val="24"/>
        </w:rPr>
        <w:t>1</w:t>
      </w:r>
      <w:r>
        <w:rPr>
          <w:rFonts w:asciiTheme="minorEastAsia" w:hAnsiTheme="minorEastAsia" w:hint="eastAsia"/>
          <w:sz w:val="24"/>
          <w:szCs w:val="24"/>
        </w:rPr>
        <w:t>－转出基金赎回费率）</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（7）转入份额</w:t>
      </w:r>
      <w:r>
        <w:rPr>
          <w:rFonts w:asciiTheme="minorEastAsia" w:hAnsiTheme="minorEastAsia"/>
          <w:sz w:val="24"/>
          <w:szCs w:val="24"/>
        </w:rPr>
        <w:t>=</w:t>
      </w:r>
      <w:r>
        <w:rPr>
          <w:rFonts w:asciiTheme="minorEastAsia" w:hAnsiTheme="minorEastAsia" w:hint="eastAsia"/>
          <w:sz w:val="24"/>
          <w:szCs w:val="24"/>
        </w:rPr>
        <w:t>转入净金额</w:t>
      </w:r>
      <w:r>
        <w:rPr>
          <w:rFonts w:asciiTheme="minorEastAsia" w:hAnsiTheme="minorEastAsia"/>
          <w:sz w:val="24"/>
          <w:szCs w:val="24"/>
        </w:rPr>
        <w:t>/</w:t>
      </w:r>
      <w:r>
        <w:rPr>
          <w:rFonts w:asciiTheme="minorEastAsia" w:hAnsiTheme="minorEastAsia" w:hint="eastAsia"/>
          <w:sz w:val="24"/>
          <w:szCs w:val="24"/>
        </w:rPr>
        <w:t>转入基金当日基金份额净值</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2、适用基金范围</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基金转换业务适用于本公司募集管理并且在本公司注册登记的下列基金，投</w:t>
      </w:r>
      <w:r>
        <w:rPr>
          <w:rFonts w:asciiTheme="minorEastAsia" w:hAnsiTheme="minorEastAsia" w:hint="eastAsia"/>
          <w:sz w:val="24"/>
          <w:szCs w:val="24"/>
        </w:rPr>
        <w:lastRenderedPageBreak/>
        <w:t xml:space="preserve">资者可以在上述销售机构申请办理下列基金的转换业务： </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 太平改革红利精选灵活配置混合型证券投资基金（基金代码：005270）；</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）太平日日鑫货币市场基金（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004330</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004331</w:t>
      </w:r>
      <w:r>
        <w:rPr>
          <w:rFonts w:asciiTheme="minorEastAsia" w:hAnsiTheme="minorEastAsia" w:hint="eastAsia"/>
          <w:sz w:val="24"/>
          <w:szCs w:val="24"/>
        </w:rPr>
        <w:t>）；</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）太平日日金货币市场基金（</w:t>
      </w:r>
      <w:r>
        <w:rPr>
          <w:rFonts w:asciiTheme="minorEastAsia" w:hAnsiTheme="minorEastAsia"/>
          <w:sz w:val="24"/>
          <w:szCs w:val="24"/>
        </w:rPr>
        <w:t>A</w:t>
      </w:r>
      <w:r>
        <w:rPr>
          <w:rFonts w:asciiTheme="minorEastAsia" w:hAnsiTheme="minorEastAsia" w:hint="eastAsia"/>
          <w:sz w:val="24"/>
          <w:szCs w:val="24"/>
        </w:rPr>
        <w:t>类份额：</w:t>
      </w:r>
      <w:r>
        <w:rPr>
          <w:rFonts w:asciiTheme="minorEastAsia" w:hAnsiTheme="minorEastAsia"/>
          <w:sz w:val="24"/>
          <w:szCs w:val="24"/>
        </w:rPr>
        <w:t>003398</w:t>
      </w:r>
      <w:r>
        <w:rPr>
          <w:rFonts w:asciiTheme="minorEastAsia" w:hAnsiTheme="minorEastAsia" w:hint="eastAsia"/>
          <w:sz w:val="24"/>
          <w:szCs w:val="24"/>
        </w:rPr>
        <w:t>；</w:t>
      </w:r>
      <w:r>
        <w:rPr>
          <w:rFonts w:asciiTheme="minorEastAsia" w:hAnsiTheme="minorEastAsia"/>
          <w:sz w:val="24"/>
          <w:szCs w:val="24"/>
        </w:rPr>
        <w:t>B</w:t>
      </w:r>
      <w:r>
        <w:rPr>
          <w:rFonts w:asciiTheme="minorEastAsia" w:hAnsiTheme="minorEastAsia" w:hint="eastAsia"/>
          <w:sz w:val="24"/>
          <w:szCs w:val="24"/>
        </w:rPr>
        <w:t>类份额：</w:t>
      </w:r>
      <w:r>
        <w:rPr>
          <w:rFonts w:asciiTheme="minorEastAsia" w:hAnsiTheme="minorEastAsia"/>
          <w:sz w:val="24"/>
          <w:szCs w:val="24"/>
        </w:rPr>
        <w:t>003399</w:t>
      </w:r>
      <w:r>
        <w:rPr>
          <w:rFonts w:asciiTheme="minorEastAsia" w:hAnsiTheme="minorEastAsia" w:hint="eastAsia"/>
          <w:sz w:val="24"/>
          <w:szCs w:val="24"/>
        </w:rPr>
        <w:t>）；</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（4）太平灵活配置混合型发起式证券投资基金（基金代码：</w:t>
      </w:r>
      <w:r>
        <w:rPr>
          <w:rFonts w:asciiTheme="minorEastAsia" w:hAnsiTheme="minorEastAsia"/>
          <w:sz w:val="24"/>
          <w:szCs w:val="24"/>
        </w:rPr>
        <w:t>000986</w:t>
      </w:r>
      <w:r>
        <w:rPr>
          <w:rFonts w:asciiTheme="minorEastAsia" w:hAnsiTheme="minorEastAsia" w:hint="eastAsia"/>
          <w:sz w:val="24"/>
          <w:szCs w:val="24"/>
        </w:rPr>
        <w:t>）；</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（5）太平恒利纯债债券型证券投资基金（基金代码：</w:t>
      </w:r>
      <w:r>
        <w:rPr>
          <w:rFonts w:asciiTheme="minorEastAsia" w:hAnsiTheme="minorEastAsia"/>
          <w:sz w:val="24"/>
          <w:szCs w:val="24"/>
        </w:rPr>
        <w:t>0</w:t>
      </w:r>
      <w:r>
        <w:rPr>
          <w:rFonts w:asciiTheme="minorEastAsia" w:hAnsiTheme="minorEastAsia" w:hint="eastAsia"/>
          <w:sz w:val="24"/>
          <w:szCs w:val="24"/>
        </w:rPr>
        <w:t>05872）；</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（6） 太平睿盈混合型证券投资基金（A类份额： 006973</w:t>
      </w:r>
      <w:r w:rsidR="00F77600">
        <w:rPr>
          <w:rFonts w:asciiTheme="minorEastAsia" w:hAnsiTheme="minorEastAsia" w:hint="eastAsia"/>
          <w:sz w:val="24"/>
          <w:szCs w:val="24"/>
        </w:rPr>
        <w:t>，C类份额：007669</w:t>
      </w:r>
      <w:r>
        <w:rPr>
          <w:rFonts w:asciiTheme="minorEastAsia" w:hAnsiTheme="minorEastAsia" w:hint="eastAsia"/>
          <w:sz w:val="24"/>
          <w:szCs w:val="24"/>
        </w:rPr>
        <w:t>）；</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（7）太平恒安三个月定期开放债券型证券投资基金（基金代码：007545）；</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（8）太平MSCI香港价值增强指数证券投资基金（A类份额：007107，C类份额：007108）；</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（9）太平恒睿纯债债券型证券投资基金（基金代码：009118）</w:t>
      </w:r>
      <w:r w:rsidR="007F3FAC">
        <w:rPr>
          <w:rFonts w:asciiTheme="minorEastAsia" w:hAnsiTheme="minorEastAsia" w:hint="eastAsia"/>
          <w:sz w:val="24"/>
          <w:szCs w:val="24"/>
        </w:rPr>
        <w:t>；</w:t>
      </w:r>
    </w:p>
    <w:p w:rsidR="007F3FAC" w:rsidRDefault="007F3FAC">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（10）太平中债1-3年政策性金融债指数证券投资基金（A类份额：009087，C类份额：009088）。</w:t>
      </w:r>
    </w:p>
    <w:p w:rsidR="00B87EC7" w:rsidRPr="000B7F07" w:rsidRDefault="00075A75">
      <w:pPr>
        <w:spacing w:line="360" w:lineRule="auto"/>
        <w:rPr>
          <w:rFonts w:asciiTheme="minorEastAsia" w:hAnsiTheme="minorEastAsia"/>
          <w:szCs w:val="24"/>
        </w:rPr>
      </w:pPr>
      <w:r w:rsidRPr="000B7F07">
        <w:rPr>
          <w:rFonts w:asciiTheme="minorEastAsia" w:hAnsiTheme="minorEastAsia" w:hint="eastAsia"/>
          <w:sz w:val="24"/>
          <w:szCs w:val="24"/>
        </w:rPr>
        <w:t>注：</w:t>
      </w:r>
      <w:r w:rsidR="007F3FAC">
        <w:rPr>
          <w:rFonts w:asciiTheme="minorEastAsia" w:hAnsiTheme="minorEastAsia" w:hint="eastAsia"/>
          <w:sz w:val="24"/>
          <w:szCs w:val="24"/>
        </w:rPr>
        <w:t>太平MSCI香港价值增强指数证券投资基金（A类份额：007107，C类份额：007108）自2019年8月30日起，暂停接受个人投资者的申购和转换转入申请，详情请见公司官网公告。</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3、转换限额</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4、转换业务规则</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基金转换只能在同一销售机构办理，且该销售机构同时代理转出基金及转入基金的销售。</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基金转换，以申请当日基金份额净值为基础计算。投资者采用“份额转换”的原则提交申请，基金转换遵循“先进先出”的原则。</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lastRenderedPageBreak/>
        <w:t>5、交易确认</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Pr>
          <w:rFonts w:asciiTheme="minorEastAsia" w:hAnsiTheme="minorEastAsia"/>
          <w:sz w:val="24"/>
          <w:szCs w:val="24"/>
        </w:rPr>
        <w:t>T</w:t>
      </w:r>
      <w:r>
        <w:rPr>
          <w:rFonts w:asciiTheme="minorEastAsia" w:hAnsiTheme="minorEastAsia" w:hint="eastAsia"/>
          <w:sz w:val="24"/>
          <w:szCs w:val="24"/>
        </w:rPr>
        <w:t>＋</w:t>
      </w:r>
      <w:r>
        <w:rPr>
          <w:rFonts w:asciiTheme="minorEastAsia" w:hAnsiTheme="minorEastAsia"/>
          <w:sz w:val="24"/>
          <w:szCs w:val="24"/>
        </w:rPr>
        <w:t>2</w:t>
      </w:r>
      <w:r>
        <w:rPr>
          <w:rFonts w:asciiTheme="minorEastAsia" w:hAnsiTheme="minorEastAsia" w:hint="eastAsia"/>
          <w:sz w:val="24"/>
          <w:szCs w:val="24"/>
        </w:rPr>
        <w:t>日。</w:t>
      </w:r>
    </w:p>
    <w:p w:rsidR="00B87EC7" w:rsidRDefault="00B87EC7">
      <w:pPr>
        <w:spacing w:line="360" w:lineRule="auto"/>
        <w:ind w:firstLineChars="150" w:firstLine="360"/>
        <w:rPr>
          <w:rFonts w:asciiTheme="minorEastAsia" w:hAnsiTheme="minorEastAsia"/>
          <w:sz w:val="24"/>
          <w:szCs w:val="24"/>
        </w:rPr>
      </w:pPr>
    </w:p>
    <w:p w:rsidR="00B87EC7" w:rsidRDefault="000A1E5B">
      <w:pPr>
        <w:spacing w:line="360" w:lineRule="auto"/>
        <w:rPr>
          <w:rFonts w:asciiTheme="minorEastAsia" w:hAnsiTheme="minorEastAsia"/>
          <w:sz w:val="24"/>
          <w:szCs w:val="24"/>
        </w:rPr>
      </w:pPr>
      <w:r>
        <w:rPr>
          <w:rFonts w:asciiTheme="minorEastAsia" w:hAnsiTheme="minorEastAsia" w:hint="eastAsia"/>
          <w:sz w:val="24"/>
          <w:szCs w:val="24"/>
        </w:rPr>
        <w:t>三、费率优惠</w:t>
      </w:r>
    </w:p>
    <w:p w:rsidR="00B87EC7" w:rsidRDefault="000A1E5B">
      <w:pPr>
        <w:spacing w:line="360" w:lineRule="auto"/>
        <w:rPr>
          <w:rFonts w:asciiTheme="minorEastAsia" w:hAnsiTheme="minorEastAsia"/>
          <w:sz w:val="24"/>
          <w:szCs w:val="24"/>
        </w:rPr>
      </w:pPr>
      <w:r>
        <w:rPr>
          <w:rFonts w:asciiTheme="minorEastAsia" w:hAnsiTheme="minorEastAsia" w:hint="eastAsia"/>
          <w:sz w:val="24"/>
          <w:szCs w:val="24"/>
        </w:rPr>
        <w:t>1、费率优惠内容</w:t>
      </w:r>
    </w:p>
    <w:p w:rsidR="00B87EC7" w:rsidRDefault="000A1E5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 xml:space="preserve">投资者通过上述代销机构认购或申购（包括定期定额投资）本公司旗下基金的认购或申购（包括定期定额投资）基金的费率、转换费中的补差费率不设置折扣限制，具体折扣费率以上述代销机构的官方公告为准。 </w:t>
      </w:r>
    </w:p>
    <w:p w:rsidR="00B87EC7" w:rsidRDefault="000A1E5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在费率优惠期限内，如本公司新增通过上述代销机构代销的基金产品，则自该基金产品开放认购或申购（包括定期定额投资）、转换业务的当日起，将同时开通该等基金的上述优惠活动。</w:t>
      </w:r>
    </w:p>
    <w:p w:rsidR="00B87EC7" w:rsidRDefault="000A1E5B">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基金的费率情况请详见基金合同、招募说明书（更新）等法律文件，以及本公司发布的最新业务公告。本公司旗下基金原申购费率请详见基金的招募说明书或招募说明书（更新）等法律文件。</w:t>
      </w:r>
    </w:p>
    <w:p w:rsidR="00B87EC7" w:rsidRDefault="000A1E5B">
      <w:pPr>
        <w:spacing w:line="360" w:lineRule="auto"/>
        <w:jc w:val="left"/>
        <w:rPr>
          <w:rFonts w:asciiTheme="minorEastAsia" w:hAnsiTheme="minorEastAsia"/>
          <w:sz w:val="24"/>
          <w:szCs w:val="24"/>
        </w:rPr>
      </w:pPr>
      <w:r>
        <w:rPr>
          <w:rFonts w:asciiTheme="minorEastAsia" w:hAnsiTheme="minorEastAsia" w:hint="eastAsia"/>
          <w:sz w:val="24"/>
          <w:szCs w:val="24"/>
        </w:rPr>
        <w:t xml:space="preserve">2、费率优惠期限 </w:t>
      </w:r>
    </w:p>
    <w:p w:rsidR="00B87EC7" w:rsidRDefault="000A1E5B">
      <w:pPr>
        <w:spacing w:line="360" w:lineRule="auto"/>
        <w:ind w:firstLine="420"/>
        <w:jc w:val="left"/>
        <w:rPr>
          <w:rFonts w:asciiTheme="minorEastAsia" w:hAnsiTheme="minorEastAsia"/>
          <w:sz w:val="24"/>
          <w:szCs w:val="24"/>
        </w:rPr>
      </w:pPr>
      <w:r>
        <w:rPr>
          <w:rFonts w:asciiTheme="minorEastAsia" w:hAnsiTheme="minorEastAsia" w:hint="eastAsia"/>
          <w:sz w:val="24"/>
          <w:szCs w:val="24"/>
        </w:rPr>
        <w:t>以上述代销机构官方网站所示公告为准。</w:t>
      </w:r>
    </w:p>
    <w:p w:rsidR="00B87EC7" w:rsidRDefault="00B87EC7">
      <w:pPr>
        <w:spacing w:line="360" w:lineRule="auto"/>
        <w:ind w:firstLineChars="200" w:firstLine="480"/>
        <w:rPr>
          <w:rFonts w:asciiTheme="minorEastAsia" w:hAnsiTheme="minorEastAsia"/>
          <w:sz w:val="24"/>
          <w:szCs w:val="24"/>
        </w:rPr>
      </w:pPr>
    </w:p>
    <w:p w:rsidR="00B87EC7" w:rsidRDefault="000A1E5B" w:rsidP="0008769F">
      <w:pPr>
        <w:spacing w:line="360" w:lineRule="auto"/>
        <w:rPr>
          <w:rFonts w:asciiTheme="minorEastAsia" w:hAnsiTheme="minorEastAsia"/>
          <w:sz w:val="24"/>
          <w:szCs w:val="24"/>
        </w:rPr>
      </w:pPr>
      <w:r>
        <w:rPr>
          <w:rFonts w:asciiTheme="minorEastAsia" w:hAnsiTheme="minorEastAsia" w:hint="eastAsia"/>
          <w:sz w:val="24"/>
          <w:szCs w:val="24"/>
        </w:rPr>
        <w:t xml:space="preserve">四、投资者可通过以下途径了解或咨询有关详情： </w:t>
      </w:r>
    </w:p>
    <w:p w:rsidR="00B87EC7" w:rsidRDefault="00065862">
      <w:pPr>
        <w:spacing w:line="360" w:lineRule="auto"/>
        <w:rPr>
          <w:rFonts w:asciiTheme="minorEastAsia" w:hAnsiTheme="minorEastAsia"/>
          <w:sz w:val="24"/>
          <w:szCs w:val="24"/>
        </w:rPr>
      </w:pPr>
      <w:r>
        <w:rPr>
          <w:rFonts w:asciiTheme="minorEastAsia" w:hAnsiTheme="minorEastAsia" w:hint="eastAsia"/>
          <w:sz w:val="24"/>
          <w:szCs w:val="24"/>
        </w:rPr>
        <w:t>1、</w:t>
      </w:r>
      <w:r w:rsidR="000A1E5B">
        <w:rPr>
          <w:rFonts w:asciiTheme="minorEastAsia" w:hAnsiTheme="minorEastAsia" w:hint="eastAsia"/>
          <w:sz w:val="24"/>
          <w:szCs w:val="24"/>
        </w:rPr>
        <w:t>北京恒天明泽基金销售有限公司</w:t>
      </w:r>
    </w:p>
    <w:p w:rsidR="00B87EC7" w:rsidRDefault="000A1E5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w:t>
      </w:r>
      <w:r>
        <w:rPr>
          <w:rFonts w:asciiTheme="minorEastAsia" w:hAnsiTheme="minorEastAsia"/>
          <w:sz w:val="24"/>
          <w:szCs w:val="24"/>
        </w:rPr>
        <w:t>4008980618</w:t>
      </w:r>
    </w:p>
    <w:p w:rsidR="00B87EC7" w:rsidRDefault="000A1E5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r>
        <w:rPr>
          <w:rFonts w:asciiTheme="minorEastAsia" w:hAnsiTheme="minorEastAsia"/>
          <w:sz w:val="24"/>
          <w:szCs w:val="24"/>
        </w:rPr>
        <w:t>www.chtfund.com</w:t>
      </w:r>
      <w:r>
        <w:rPr>
          <w:rFonts w:asciiTheme="minorEastAsia" w:hAnsiTheme="minorEastAsia" w:hint="eastAsia"/>
          <w:sz w:val="24"/>
          <w:szCs w:val="24"/>
        </w:rPr>
        <w:t xml:space="preserve"> </w:t>
      </w:r>
    </w:p>
    <w:p w:rsidR="00065862" w:rsidRDefault="007F3FAC" w:rsidP="0008769F">
      <w:pPr>
        <w:spacing w:line="360" w:lineRule="auto"/>
        <w:rPr>
          <w:rFonts w:asciiTheme="minorEastAsia" w:hAnsiTheme="minorEastAsia"/>
          <w:sz w:val="24"/>
          <w:szCs w:val="24"/>
        </w:rPr>
      </w:pPr>
      <w:r>
        <w:rPr>
          <w:rFonts w:asciiTheme="minorEastAsia" w:hAnsiTheme="minorEastAsia" w:hint="eastAsia"/>
          <w:sz w:val="24"/>
          <w:szCs w:val="24"/>
        </w:rPr>
        <w:t>2</w:t>
      </w:r>
      <w:r w:rsidR="00065862">
        <w:rPr>
          <w:rFonts w:asciiTheme="minorEastAsia" w:hAnsiTheme="minorEastAsia" w:hint="eastAsia"/>
          <w:sz w:val="24"/>
          <w:szCs w:val="24"/>
        </w:rPr>
        <w:t>、北京肯特瑞基金销售有限公司</w:t>
      </w:r>
    </w:p>
    <w:p w:rsidR="00065862" w:rsidRDefault="00065862" w:rsidP="0008769F">
      <w:pPr>
        <w:spacing w:line="360" w:lineRule="auto"/>
        <w:rPr>
          <w:rFonts w:asciiTheme="minorEastAsia" w:hAnsiTheme="minorEastAsia"/>
          <w:sz w:val="24"/>
          <w:szCs w:val="24"/>
        </w:rPr>
      </w:pPr>
      <w:r>
        <w:rPr>
          <w:rFonts w:asciiTheme="minorEastAsia" w:hAnsiTheme="minorEastAsia" w:hint="eastAsia"/>
          <w:sz w:val="24"/>
          <w:szCs w:val="24"/>
        </w:rPr>
        <w:t xml:space="preserve">   客户服务电话：</w:t>
      </w:r>
      <w:r w:rsidR="006355AD" w:rsidRPr="0008769F">
        <w:rPr>
          <w:rFonts w:asciiTheme="minorEastAsia" w:hAnsiTheme="minorEastAsia"/>
          <w:sz w:val="24"/>
          <w:szCs w:val="24"/>
        </w:rPr>
        <w:t>95118</w:t>
      </w:r>
    </w:p>
    <w:p w:rsidR="00065862" w:rsidRPr="00065862" w:rsidRDefault="00065862" w:rsidP="0008769F">
      <w:pPr>
        <w:spacing w:line="360" w:lineRule="auto"/>
        <w:rPr>
          <w:rFonts w:asciiTheme="minorEastAsia" w:hAnsiTheme="minorEastAsia"/>
          <w:sz w:val="24"/>
          <w:szCs w:val="24"/>
        </w:rPr>
      </w:pPr>
      <w:r>
        <w:rPr>
          <w:rFonts w:asciiTheme="minorEastAsia" w:hAnsiTheme="minorEastAsia" w:hint="eastAsia"/>
          <w:sz w:val="24"/>
          <w:szCs w:val="24"/>
        </w:rPr>
        <w:t xml:space="preserve">   公司网站：</w:t>
      </w:r>
      <w:r w:rsidR="006355AD" w:rsidRPr="006355AD">
        <w:rPr>
          <w:rFonts w:asciiTheme="minorEastAsia" w:hAnsiTheme="minorEastAsia"/>
          <w:sz w:val="24"/>
          <w:szCs w:val="24"/>
        </w:rPr>
        <w:t>http://kenterui.jd.com/</w:t>
      </w:r>
    </w:p>
    <w:p w:rsidR="00B87EC7" w:rsidRDefault="007F3FAC">
      <w:pPr>
        <w:spacing w:line="360" w:lineRule="auto"/>
        <w:rPr>
          <w:rFonts w:asciiTheme="minorEastAsia" w:hAnsiTheme="minorEastAsia"/>
          <w:sz w:val="24"/>
          <w:szCs w:val="24"/>
        </w:rPr>
      </w:pPr>
      <w:r>
        <w:rPr>
          <w:rFonts w:asciiTheme="minorEastAsia" w:hAnsiTheme="minorEastAsia" w:hint="eastAsia"/>
          <w:sz w:val="24"/>
          <w:szCs w:val="24"/>
        </w:rPr>
        <w:t>3</w:t>
      </w:r>
      <w:r w:rsidR="000A1E5B">
        <w:rPr>
          <w:rFonts w:asciiTheme="minorEastAsia" w:hAnsiTheme="minorEastAsia" w:hint="eastAsia"/>
          <w:sz w:val="24"/>
          <w:szCs w:val="24"/>
        </w:rPr>
        <w:t>、太平基金管理有限公司</w:t>
      </w:r>
    </w:p>
    <w:p w:rsidR="00B87EC7" w:rsidRDefault="000A1E5B">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客户服务电话：400-028-8699或021-61560999</w:t>
      </w:r>
    </w:p>
    <w:p w:rsidR="00B87EC7" w:rsidRDefault="000A1E5B" w:rsidP="000B7F07">
      <w:pPr>
        <w:spacing w:line="360" w:lineRule="auto"/>
        <w:ind w:firstLineChars="150" w:firstLine="360"/>
        <w:rPr>
          <w:rFonts w:asciiTheme="minorEastAsia" w:hAnsiTheme="minorEastAsia"/>
          <w:sz w:val="24"/>
          <w:szCs w:val="24"/>
        </w:rPr>
      </w:pPr>
      <w:r>
        <w:rPr>
          <w:rFonts w:asciiTheme="minorEastAsia" w:hAnsiTheme="minorEastAsia" w:hint="eastAsia"/>
          <w:sz w:val="24"/>
          <w:szCs w:val="24"/>
        </w:rPr>
        <w:t>公司网站：</w:t>
      </w:r>
      <w:hyperlink r:id="rId8" w:history="1">
        <w:r>
          <w:rPr>
            <w:rFonts w:asciiTheme="minorEastAsia" w:hAnsiTheme="minorEastAsia" w:hint="eastAsia"/>
            <w:sz w:val="24"/>
            <w:szCs w:val="24"/>
          </w:rPr>
          <w:t>www.taipingfund.com.cn</w:t>
        </w:r>
      </w:hyperlink>
    </w:p>
    <w:p w:rsidR="00B87EC7" w:rsidRDefault="00B87EC7">
      <w:pPr>
        <w:spacing w:line="360" w:lineRule="auto"/>
        <w:ind w:firstLineChars="150" w:firstLine="360"/>
        <w:rPr>
          <w:rFonts w:asciiTheme="minorEastAsia" w:hAnsiTheme="minorEastAsia"/>
          <w:sz w:val="24"/>
          <w:szCs w:val="24"/>
        </w:rPr>
      </w:pPr>
    </w:p>
    <w:p w:rsidR="00B87EC7" w:rsidRDefault="000A1E5B">
      <w:pPr>
        <w:spacing w:line="360" w:lineRule="auto"/>
        <w:rPr>
          <w:rFonts w:asciiTheme="minorEastAsia" w:hAnsiTheme="minorEastAsia"/>
          <w:sz w:val="24"/>
          <w:szCs w:val="24"/>
        </w:rPr>
      </w:pPr>
      <w:r>
        <w:rPr>
          <w:rFonts w:asciiTheme="minorEastAsia" w:hAnsiTheme="minorEastAsia" w:hint="eastAsia"/>
          <w:sz w:val="24"/>
          <w:szCs w:val="24"/>
        </w:rPr>
        <w:t>五、重要提示</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1、投资者办理基金交易等相关业务前，敬请仔细阅读相关基金的基金合同、基金招募说明书、提示及相关业务规则和操作指南等文件；</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 xml:space="preserve">2、上述申购、赎回、转换以及定期定额投资业务仅适用于处于正常申购期及处于特定开放日和开放时间的基金。对于处于基金封闭期、暂停申购等特殊期间或有其他特殊安排等的有关规定敬请详见对应基金的基金合同和招募说明书等相关法律文件及本公司发布的最新业务公告； </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3、本公告凡涉及在上述代销机构办理申购、转换或定期定额投资等业务的其他未明事项，敬请遵循上述代销机构的具体安排和规定；</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4、本公告的最终解释权归本公司所有。</w:t>
      </w:r>
    </w:p>
    <w:p w:rsidR="00B87EC7" w:rsidRDefault="00B87EC7">
      <w:pPr>
        <w:spacing w:line="360" w:lineRule="auto"/>
        <w:ind w:firstLineChars="200" w:firstLine="480"/>
        <w:rPr>
          <w:rFonts w:asciiTheme="minorEastAsia" w:hAnsiTheme="minorEastAsia"/>
          <w:sz w:val="24"/>
          <w:szCs w:val="24"/>
        </w:rPr>
      </w:pP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87EC7" w:rsidRDefault="000A1E5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特此公告</w:t>
      </w:r>
    </w:p>
    <w:p w:rsidR="00B87EC7" w:rsidRDefault="00B87EC7">
      <w:pPr>
        <w:spacing w:line="360" w:lineRule="auto"/>
        <w:ind w:firstLineChars="200" w:firstLine="480"/>
        <w:rPr>
          <w:rFonts w:asciiTheme="minorEastAsia" w:hAnsiTheme="minorEastAsia"/>
          <w:sz w:val="24"/>
          <w:szCs w:val="24"/>
        </w:rPr>
      </w:pPr>
    </w:p>
    <w:p w:rsidR="00B87EC7" w:rsidRDefault="00B87EC7">
      <w:pPr>
        <w:spacing w:line="360" w:lineRule="auto"/>
        <w:ind w:firstLineChars="200" w:firstLine="480"/>
        <w:rPr>
          <w:rFonts w:asciiTheme="minorEastAsia" w:hAnsiTheme="minorEastAsia"/>
          <w:sz w:val="24"/>
          <w:szCs w:val="24"/>
        </w:rPr>
      </w:pPr>
    </w:p>
    <w:p w:rsidR="00B87EC7" w:rsidRDefault="000A1E5B">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太平基金管理有限公司</w:t>
      </w:r>
    </w:p>
    <w:p w:rsidR="00B87EC7" w:rsidRDefault="000A1E5B">
      <w:pPr>
        <w:spacing w:line="360" w:lineRule="auto"/>
        <w:ind w:right="220" w:firstLineChars="1950" w:firstLine="4680"/>
        <w:jc w:val="right"/>
        <w:rPr>
          <w:rFonts w:asciiTheme="minorEastAsia" w:hAnsiTheme="minorEastAsia"/>
          <w:sz w:val="24"/>
          <w:szCs w:val="24"/>
        </w:rPr>
      </w:pPr>
      <w:r>
        <w:rPr>
          <w:rFonts w:asciiTheme="minorEastAsia" w:hAnsiTheme="minorEastAsia" w:hint="eastAsia"/>
          <w:sz w:val="24"/>
          <w:szCs w:val="24"/>
        </w:rPr>
        <w:t>二〇二〇年</w:t>
      </w:r>
      <w:r w:rsidR="007F3FAC">
        <w:rPr>
          <w:rFonts w:asciiTheme="minorEastAsia" w:hAnsiTheme="minorEastAsia" w:hint="eastAsia"/>
          <w:sz w:val="24"/>
          <w:szCs w:val="24"/>
        </w:rPr>
        <w:t>七</w:t>
      </w:r>
      <w:r>
        <w:rPr>
          <w:rFonts w:asciiTheme="minorEastAsia" w:hAnsiTheme="minorEastAsia" w:hint="eastAsia"/>
          <w:sz w:val="24"/>
          <w:szCs w:val="24"/>
        </w:rPr>
        <w:t>月</w:t>
      </w:r>
      <w:r w:rsidR="007F3FAC">
        <w:rPr>
          <w:rFonts w:asciiTheme="minorEastAsia" w:hAnsiTheme="minorEastAsia" w:hint="eastAsia"/>
          <w:sz w:val="24"/>
          <w:szCs w:val="24"/>
        </w:rPr>
        <w:t>二十七</w:t>
      </w:r>
      <w:r>
        <w:rPr>
          <w:rFonts w:asciiTheme="minorEastAsia" w:hAnsiTheme="minorEastAsia" w:hint="eastAsia"/>
          <w:sz w:val="24"/>
          <w:szCs w:val="24"/>
        </w:rPr>
        <w:t>日</w:t>
      </w:r>
    </w:p>
    <w:p w:rsidR="00B87EC7" w:rsidRDefault="00B87EC7">
      <w:pPr>
        <w:spacing w:line="360" w:lineRule="auto"/>
        <w:ind w:right="220" w:firstLineChars="1950" w:firstLine="4680"/>
        <w:jc w:val="right"/>
        <w:rPr>
          <w:rFonts w:asciiTheme="minorEastAsia" w:hAnsiTheme="minorEastAsia"/>
          <w:sz w:val="24"/>
          <w:szCs w:val="24"/>
        </w:rPr>
      </w:pPr>
    </w:p>
    <w:sectPr w:rsidR="00B87EC7" w:rsidSect="00D127D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5157D2D" w15:done="0"/>
  <w15:commentEx w15:paraId="29DE5548" w15:done="0" w15:paraIdParent="45157D2D"/>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01D" w:rsidRDefault="00E2101D"/>
  </w:endnote>
  <w:endnote w:type="continuationSeparator" w:id="0">
    <w:p w:rsidR="00E2101D" w:rsidRDefault="00E210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01D" w:rsidRDefault="00E2101D"/>
  </w:footnote>
  <w:footnote w:type="continuationSeparator" w:id="0">
    <w:p w:rsidR="00E2101D" w:rsidRDefault="00E2101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定义">
    <w15:presenceInfo w15:providerId="None" w15:userId="未定义"/>
  </w15:person>
  <w15:person w15:author="mm215">
    <w15:presenceInfo w15:providerId="None" w15:userId="mm21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24EF"/>
    <w:rsid w:val="000205AD"/>
    <w:rsid w:val="00022CCB"/>
    <w:rsid w:val="000268F7"/>
    <w:rsid w:val="000310C1"/>
    <w:rsid w:val="0004028B"/>
    <w:rsid w:val="00046C63"/>
    <w:rsid w:val="00047AED"/>
    <w:rsid w:val="00065862"/>
    <w:rsid w:val="00075A75"/>
    <w:rsid w:val="00077BDF"/>
    <w:rsid w:val="00085BF7"/>
    <w:rsid w:val="0008769F"/>
    <w:rsid w:val="00090BC3"/>
    <w:rsid w:val="000A1E5B"/>
    <w:rsid w:val="000A6F1F"/>
    <w:rsid w:val="000B0E35"/>
    <w:rsid w:val="000B7F07"/>
    <w:rsid w:val="000C51B7"/>
    <w:rsid w:val="000C785C"/>
    <w:rsid w:val="000D198E"/>
    <w:rsid w:val="000E4994"/>
    <w:rsid w:val="000E6957"/>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D6EB4"/>
    <w:rsid w:val="001D7313"/>
    <w:rsid w:val="001E6C9D"/>
    <w:rsid w:val="001F372A"/>
    <w:rsid w:val="002004A6"/>
    <w:rsid w:val="00202840"/>
    <w:rsid w:val="00202C49"/>
    <w:rsid w:val="00212D3A"/>
    <w:rsid w:val="0021411D"/>
    <w:rsid w:val="00214817"/>
    <w:rsid w:val="00216EAB"/>
    <w:rsid w:val="002200D9"/>
    <w:rsid w:val="002254A8"/>
    <w:rsid w:val="00241DD3"/>
    <w:rsid w:val="002512B2"/>
    <w:rsid w:val="00254CBC"/>
    <w:rsid w:val="002600DE"/>
    <w:rsid w:val="00265EB9"/>
    <w:rsid w:val="00267478"/>
    <w:rsid w:val="00272EF3"/>
    <w:rsid w:val="00273FBA"/>
    <w:rsid w:val="00275346"/>
    <w:rsid w:val="002864CC"/>
    <w:rsid w:val="00286EB6"/>
    <w:rsid w:val="00292246"/>
    <w:rsid w:val="002A15A5"/>
    <w:rsid w:val="002B58DC"/>
    <w:rsid w:val="002C0E0F"/>
    <w:rsid w:val="002C756E"/>
    <w:rsid w:val="002C75BA"/>
    <w:rsid w:val="002C7F61"/>
    <w:rsid w:val="002E1DFF"/>
    <w:rsid w:val="002E7EE7"/>
    <w:rsid w:val="002F5387"/>
    <w:rsid w:val="00300D65"/>
    <w:rsid w:val="00301225"/>
    <w:rsid w:val="003114B1"/>
    <w:rsid w:val="00311976"/>
    <w:rsid w:val="00314108"/>
    <w:rsid w:val="00322E95"/>
    <w:rsid w:val="003246BA"/>
    <w:rsid w:val="00333341"/>
    <w:rsid w:val="00334F28"/>
    <w:rsid w:val="003446D7"/>
    <w:rsid w:val="00360D90"/>
    <w:rsid w:val="00364F94"/>
    <w:rsid w:val="0036684C"/>
    <w:rsid w:val="003704CB"/>
    <w:rsid w:val="00370B62"/>
    <w:rsid w:val="00371B33"/>
    <w:rsid w:val="00375EF5"/>
    <w:rsid w:val="003914CC"/>
    <w:rsid w:val="003A13D0"/>
    <w:rsid w:val="003B5F21"/>
    <w:rsid w:val="003C2E74"/>
    <w:rsid w:val="003C5A5E"/>
    <w:rsid w:val="003D44AA"/>
    <w:rsid w:val="003E1EF8"/>
    <w:rsid w:val="003E3812"/>
    <w:rsid w:val="003E59EA"/>
    <w:rsid w:val="003E5BFF"/>
    <w:rsid w:val="003F71E0"/>
    <w:rsid w:val="00401C3E"/>
    <w:rsid w:val="0040365E"/>
    <w:rsid w:val="00426876"/>
    <w:rsid w:val="00442D1F"/>
    <w:rsid w:val="0045357F"/>
    <w:rsid w:val="00454899"/>
    <w:rsid w:val="004553F3"/>
    <w:rsid w:val="004614E4"/>
    <w:rsid w:val="00464B19"/>
    <w:rsid w:val="00471365"/>
    <w:rsid w:val="00472D9F"/>
    <w:rsid w:val="00472E91"/>
    <w:rsid w:val="00490B02"/>
    <w:rsid w:val="004A51D0"/>
    <w:rsid w:val="004C2DB9"/>
    <w:rsid w:val="004C526F"/>
    <w:rsid w:val="004C5930"/>
    <w:rsid w:val="004D1CA3"/>
    <w:rsid w:val="004E7CE5"/>
    <w:rsid w:val="004F352E"/>
    <w:rsid w:val="00504E96"/>
    <w:rsid w:val="005067A1"/>
    <w:rsid w:val="00516E34"/>
    <w:rsid w:val="00517D51"/>
    <w:rsid w:val="005226A8"/>
    <w:rsid w:val="00525E6E"/>
    <w:rsid w:val="005279D9"/>
    <w:rsid w:val="00531F8F"/>
    <w:rsid w:val="0053305A"/>
    <w:rsid w:val="00537333"/>
    <w:rsid w:val="0054526E"/>
    <w:rsid w:val="00552EF6"/>
    <w:rsid w:val="00571405"/>
    <w:rsid w:val="00573C17"/>
    <w:rsid w:val="00576BFD"/>
    <w:rsid w:val="00577F47"/>
    <w:rsid w:val="005852D3"/>
    <w:rsid w:val="005879FF"/>
    <w:rsid w:val="00587C1E"/>
    <w:rsid w:val="005907C2"/>
    <w:rsid w:val="005A50D9"/>
    <w:rsid w:val="005A7F99"/>
    <w:rsid w:val="005C5921"/>
    <w:rsid w:val="005D0299"/>
    <w:rsid w:val="005D2B7F"/>
    <w:rsid w:val="005D62FE"/>
    <w:rsid w:val="00614280"/>
    <w:rsid w:val="00620D59"/>
    <w:rsid w:val="00622415"/>
    <w:rsid w:val="00625009"/>
    <w:rsid w:val="006355AD"/>
    <w:rsid w:val="00640492"/>
    <w:rsid w:val="00641574"/>
    <w:rsid w:val="00643D49"/>
    <w:rsid w:val="006447BA"/>
    <w:rsid w:val="00646F55"/>
    <w:rsid w:val="00654157"/>
    <w:rsid w:val="0065483C"/>
    <w:rsid w:val="00661D88"/>
    <w:rsid w:val="00663982"/>
    <w:rsid w:val="006657C8"/>
    <w:rsid w:val="00667CEF"/>
    <w:rsid w:val="0067146A"/>
    <w:rsid w:val="00676350"/>
    <w:rsid w:val="00693951"/>
    <w:rsid w:val="006B5373"/>
    <w:rsid w:val="006B560B"/>
    <w:rsid w:val="006C6F5A"/>
    <w:rsid w:val="006C7A9D"/>
    <w:rsid w:val="006D4062"/>
    <w:rsid w:val="006D4490"/>
    <w:rsid w:val="006E26F1"/>
    <w:rsid w:val="006E6B47"/>
    <w:rsid w:val="006F5FD6"/>
    <w:rsid w:val="007000D3"/>
    <w:rsid w:val="00702FC2"/>
    <w:rsid w:val="007034A4"/>
    <w:rsid w:val="007055F8"/>
    <w:rsid w:val="00706267"/>
    <w:rsid w:val="007075C5"/>
    <w:rsid w:val="00715AD3"/>
    <w:rsid w:val="0072486F"/>
    <w:rsid w:val="0073234A"/>
    <w:rsid w:val="007370B7"/>
    <w:rsid w:val="00737956"/>
    <w:rsid w:val="00741567"/>
    <w:rsid w:val="00741AE4"/>
    <w:rsid w:val="007458B1"/>
    <w:rsid w:val="00754131"/>
    <w:rsid w:val="007547A6"/>
    <w:rsid w:val="00763EF1"/>
    <w:rsid w:val="00774805"/>
    <w:rsid w:val="00774D66"/>
    <w:rsid w:val="00780B17"/>
    <w:rsid w:val="00780B86"/>
    <w:rsid w:val="00781796"/>
    <w:rsid w:val="007820A6"/>
    <w:rsid w:val="00786FDD"/>
    <w:rsid w:val="007A2CBD"/>
    <w:rsid w:val="007A6295"/>
    <w:rsid w:val="007A62D8"/>
    <w:rsid w:val="007A767E"/>
    <w:rsid w:val="007C2495"/>
    <w:rsid w:val="007E59F6"/>
    <w:rsid w:val="007E7433"/>
    <w:rsid w:val="007F2F47"/>
    <w:rsid w:val="007F3FAC"/>
    <w:rsid w:val="00800149"/>
    <w:rsid w:val="00811759"/>
    <w:rsid w:val="00812DC7"/>
    <w:rsid w:val="00821B94"/>
    <w:rsid w:val="00830B46"/>
    <w:rsid w:val="0083395B"/>
    <w:rsid w:val="00835B17"/>
    <w:rsid w:val="00836FC1"/>
    <w:rsid w:val="008376D8"/>
    <w:rsid w:val="00845F83"/>
    <w:rsid w:val="0085155C"/>
    <w:rsid w:val="0085500F"/>
    <w:rsid w:val="00872BF3"/>
    <w:rsid w:val="00881E65"/>
    <w:rsid w:val="00884C39"/>
    <w:rsid w:val="008A59B8"/>
    <w:rsid w:val="008A710A"/>
    <w:rsid w:val="008B66FB"/>
    <w:rsid w:val="008D2970"/>
    <w:rsid w:val="008D415A"/>
    <w:rsid w:val="008E0CD0"/>
    <w:rsid w:val="008F0CA9"/>
    <w:rsid w:val="008F32D9"/>
    <w:rsid w:val="008F682C"/>
    <w:rsid w:val="00905A25"/>
    <w:rsid w:val="009101C5"/>
    <w:rsid w:val="00920249"/>
    <w:rsid w:val="00925975"/>
    <w:rsid w:val="0093392D"/>
    <w:rsid w:val="009366A5"/>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F210B"/>
    <w:rsid w:val="00A00721"/>
    <w:rsid w:val="00A00BE1"/>
    <w:rsid w:val="00A02FF7"/>
    <w:rsid w:val="00A34222"/>
    <w:rsid w:val="00A3727B"/>
    <w:rsid w:val="00A41D6C"/>
    <w:rsid w:val="00A41F18"/>
    <w:rsid w:val="00A46F5C"/>
    <w:rsid w:val="00A572E6"/>
    <w:rsid w:val="00A70707"/>
    <w:rsid w:val="00A86D75"/>
    <w:rsid w:val="00A876F5"/>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354C1"/>
    <w:rsid w:val="00B6008B"/>
    <w:rsid w:val="00B70499"/>
    <w:rsid w:val="00B71395"/>
    <w:rsid w:val="00B77138"/>
    <w:rsid w:val="00B80C6A"/>
    <w:rsid w:val="00B86DF5"/>
    <w:rsid w:val="00B87904"/>
    <w:rsid w:val="00B87EC7"/>
    <w:rsid w:val="00BA00E2"/>
    <w:rsid w:val="00BA7977"/>
    <w:rsid w:val="00BB18F1"/>
    <w:rsid w:val="00BB4B19"/>
    <w:rsid w:val="00BD52CF"/>
    <w:rsid w:val="00BD6A79"/>
    <w:rsid w:val="00BE0239"/>
    <w:rsid w:val="00BE0941"/>
    <w:rsid w:val="00C02687"/>
    <w:rsid w:val="00C0465B"/>
    <w:rsid w:val="00C124AA"/>
    <w:rsid w:val="00C16034"/>
    <w:rsid w:val="00C3206A"/>
    <w:rsid w:val="00C32464"/>
    <w:rsid w:val="00C35D19"/>
    <w:rsid w:val="00C4480C"/>
    <w:rsid w:val="00C51456"/>
    <w:rsid w:val="00C5545D"/>
    <w:rsid w:val="00C5608F"/>
    <w:rsid w:val="00C56F56"/>
    <w:rsid w:val="00C66014"/>
    <w:rsid w:val="00C725E2"/>
    <w:rsid w:val="00C74E21"/>
    <w:rsid w:val="00C852CA"/>
    <w:rsid w:val="00C916D5"/>
    <w:rsid w:val="00C930FC"/>
    <w:rsid w:val="00C95F72"/>
    <w:rsid w:val="00CA268D"/>
    <w:rsid w:val="00CA5BB8"/>
    <w:rsid w:val="00CA6E67"/>
    <w:rsid w:val="00CB104D"/>
    <w:rsid w:val="00CB65D2"/>
    <w:rsid w:val="00CC1682"/>
    <w:rsid w:val="00CC273B"/>
    <w:rsid w:val="00CF4CAC"/>
    <w:rsid w:val="00D02BC1"/>
    <w:rsid w:val="00D046A6"/>
    <w:rsid w:val="00D127D0"/>
    <w:rsid w:val="00D24F2C"/>
    <w:rsid w:val="00D250E9"/>
    <w:rsid w:val="00D2769B"/>
    <w:rsid w:val="00D37416"/>
    <w:rsid w:val="00D433CC"/>
    <w:rsid w:val="00D53055"/>
    <w:rsid w:val="00D6252A"/>
    <w:rsid w:val="00D63DA0"/>
    <w:rsid w:val="00D71F21"/>
    <w:rsid w:val="00D74206"/>
    <w:rsid w:val="00D75AF7"/>
    <w:rsid w:val="00D80396"/>
    <w:rsid w:val="00D915D4"/>
    <w:rsid w:val="00DA3A09"/>
    <w:rsid w:val="00DA6326"/>
    <w:rsid w:val="00DB6762"/>
    <w:rsid w:val="00DB6DBF"/>
    <w:rsid w:val="00DB7A65"/>
    <w:rsid w:val="00DC0985"/>
    <w:rsid w:val="00DD50BA"/>
    <w:rsid w:val="00DD5D8E"/>
    <w:rsid w:val="00DF7FC6"/>
    <w:rsid w:val="00E00157"/>
    <w:rsid w:val="00E022A6"/>
    <w:rsid w:val="00E02374"/>
    <w:rsid w:val="00E06254"/>
    <w:rsid w:val="00E0668F"/>
    <w:rsid w:val="00E16523"/>
    <w:rsid w:val="00E2101D"/>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F04C5B"/>
    <w:rsid w:val="00F06FBF"/>
    <w:rsid w:val="00F20536"/>
    <w:rsid w:val="00F2600A"/>
    <w:rsid w:val="00F26D79"/>
    <w:rsid w:val="00F31F4D"/>
    <w:rsid w:val="00F42CC9"/>
    <w:rsid w:val="00F44265"/>
    <w:rsid w:val="00F6344C"/>
    <w:rsid w:val="00F63551"/>
    <w:rsid w:val="00F651DD"/>
    <w:rsid w:val="00F67E37"/>
    <w:rsid w:val="00F75BC2"/>
    <w:rsid w:val="00F77600"/>
    <w:rsid w:val="00F97290"/>
    <w:rsid w:val="00FB20FC"/>
    <w:rsid w:val="00FB2B13"/>
    <w:rsid w:val="00FB33B8"/>
    <w:rsid w:val="00FB3EB6"/>
    <w:rsid w:val="00FB60D0"/>
    <w:rsid w:val="00FD5B79"/>
    <w:rsid w:val="00FE78C4"/>
    <w:rsid w:val="00FF0F0C"/>
    <w:rsid w:val="00FF2077"/>
    <w:rsid w:val="00FF27A4"/>
    <w:rsid w:val="17BF68D5"/>
    <w:rsid w:val="362D0522"/>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7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D127D0"/>
    <w:pPr>
      <w:jc w:val="left"/>
    </w:pPr>
  </w:style>
  <w:style w:type="paragraph" w:styleId="a4">
    <w:name w:val="Balloon Text"/>
    <w:basedOn w:val="a"/>
    <w:link w:val="Char0"/>
    <w:uiPriority w:val="99"/>
    <w:semiHidden/>
    <w:unhideWhenUsed/>
    <w:qFormat/>
    <w:rsid w:val="00D127D0"/>
    <w:rPr>
      <w:sz w:val="18"/>
      <w:szCs w:val="18"/>
    </w:rPr>
  </w:style>
  <w:style w:type="paragraph" w:styleId="a5">
    <w:name w:val="footer"/>
    <w:basedOn w:val="a"/>
    <w:link w:val="Char1"/>
    <w:uiPriority w:val="99"/>
    <w:unhideWhenUsed/>
    <w:rsid w:val="00D127D0"/>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D127D0"/>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D127D0"/>
    <w:rPr>
      <w:b/>
      <w:bCs/>
    </w:rPr>
  </w:style>
  <w:style w:type="table" w:styleId="a8">
    <w:name w:val="Table Grid"/>
    <w:basedOn w:val="a1"/>
    <w:uiPriority w:val="59"/>
    <w:qFormat/>
    <w:rsid w:val="00D127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D127D0"/>
    <w:rPr>
      <w:color w:val="0000FF" w:themeColor="hyperlink"/>
      <w:u w:val="single"/>
    </w:rPr>
  </w:style>
  <w:style w:type="character" w:styleId="aa">
    <w:name w:val="annotation reference"/>
    <w:basedOn w:val="a0"/>
    <w:uiPriority w:val="99"/>
    <w:semiHidden/>
    <w:unhideWhenUsed/>
    <w:qFormat/>
    <w:rsid w:val="00D127D0"/>
    <w:rPr>
      <w:sz w:val="21"/>
      <w:szCs w:val="21"/>
    </w:rPr>
  </w:style>
  <w:style w:type="character" w:customStyle="1" w:styleId="Char0">
    <w:name w:val="批注框文本 Char"/>
    <w:basedOn w:val="a0"/>
    <w:link w:val="a4"/>
    <w:uiPriority w:val="99"/>
    <w:semiHidden/>
    <w:rsid w:val="00D127D0"/>
    <w:rPr>
      <w:sz w:val="18"/>
      <w:szCs w:val="18"/>
    </w:rPr>
  </w:style>
  <w:style w:type="paragraph" w:styleId="ab">
    <w:name w:val="List Paragraph"/>
    <w:basedOn w:val="a"/>
    <w:uiPriority w:val="34"/>
    <w:qFormat/>
    <w:rsid w:val="00D127D0"/>
    <w:pPr>
      <w:ind w:firstLineChars="200" w:firstLine="420"/>
    </w:pPr>
  </w:style>
  <w:style w:type="character" w:customStyle="1" w:styleId="Char">
    <w:name w:val="批注文字 Char"/>
    <w:basedOn w:val="a0"/>
    <w:link w:val="a3"/>
    <w:uiPriority w:val="99"/>
    <w:semiHidden/>
    <w:rsid w:val="00D127D0"/>
  </w:style>
  <w:style w:type="character" w:customStyle="1" w:styleId="Char3">
    <w:name w:val="批注主题 Char"/>
    <w:basedOn w:val="Char"/>
    <w:link w:val="a7"/>
    <w:uiPriority w:val="99"/>
    <w:semiHidden/>
    <w:qFormat/>
    <w:rsid w:val="00D127D0"/>
    <w:rPr>
      <w:b/>
      <w:bCs/>
    </w:rPr>
  </w:style>
  <w:style w:type="character" w:customStyle="1" w:styleId="Char2">
    <w:name w:val="页眉 Char"/>
    <w:basedOn w:val="a0"/>
    <w:link w:val="a6"/>
    <w:uiPriority w:val="99"/>
    <w:qFormat/>
    <w:rsid w:val="00D127D0"/>
    <w:rPr>
      <w:sz w:val="18"/>
      <w:szCs w:val="18"/>
    </w:rPr>
  </w:style>
  <w:style w:type="character" w:customStyle="1" w:styleId="Char1">
    <w:name w:val="页脚 Char"/>
    <w:basedOn w:val="a0"/>
    <w:link w:val="a5"/>
    <w:uiPriority w:val="99"/>
    <w:rsid w:val="00D127D0"/>
    <w:rPr>
      <w:sz w:val="18"/>
      <w:szCs w:val="18"/>
    </w:rPr>
  </w:style>
  <w:style w:type="paragraph" w:customStyle="1" w:styleId="1">
    <w:name w:val="修订1"/>
    <w:hidden/>
    <w:uiPriority w:val="99"/>
    <w:unhideWhenUsed/>
    <w:rsid w:val="00D127D0"/>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Pr>
      <w:color w:val="0000FF" w:themeColor="hyperlink"/>
      <w:u w:val="single"/>
    </w:rPr>
  </w:style>
  <w:style w:type="character" w:styleId="aa">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qFormat/>
    <w:rPr>
      <w:b/>
      <w:b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rPr>
      <w:sz w:val="18"/>
      <w:szCs w:val="18"/>
    </w:rPr>
  </w:style>
  <w:style w:type="paragraph" w:customStyle="1" w:styleId="1">
    <w:name w:val="修订1"/>
    <w:hidden/>
    <w:uiPriority w:val="99"/>
    <w:unhideWhenUsed/>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aipingfund.com.c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A3C3FC-CDED-45B5-90EE-BACF4946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534</Words>
  <Characters>3049</Characters>
  <Application>Microsoft Office Word</Application>
  <DocSecurity>4</DocSecurity>
  <Lines>25</Lines>
  <Paragraphs>7</Paragraphs>
  <ScaleCrop>false</ScaleCrop>
  <Company>Microsoft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肖钦文</dc:creator>
  <cp:lastModifiedBy>ZHONGM</cp:lastModifiedBy>
  <cp:revision>2</cp:revision>
  <cp:lastPrinted>2020-03-11T08:05:00Z</cp:lastPrinted>
  <dcterms:created xsi:type="dcterms:W3CDTF">2020-07-26T16:01:00Z</dcterms:created>
  <dcterms:modified xsi:type="dcterms:W3CDTF">2020-07-26T16:01:00Z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