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3B" w:rsidRDefault="00ED6F9E">
      <w:pPr>
        <w:pStyle w:val="a7"/>
        <w:snapToGrid w:val="0"/>
        <w:spacing w:before="100" w:beforeAutospacing="1" w:after="100" w:afterAutospacing="1" w:line="360" w:lineRule="auto"/>
        <w:rPr>
          <w:b w:val="0"/>
        </w:rPr>
      </w:pPr>
      <w:r>
        <w:rPr>
          <w:b w:val="0"/>
        </w:rPr>
        <w:t>上海东方证券资产管理有限公司关于</w:t>
      </w:r>
      <w:r>
        <w:rPr>
          <w:rFonts w:hint="eastAsia"/>
          <w:b w:val="0"/>
        </w:rPr>
        <w:t>旗下部分开放式基金在</w:t>
      </w:r>
      <w:r>
        <w:rPr>
          <w:b w:val="0"/>
        </w:rPr>
        <w:t>网上直销</w:t>
      </w:r>
      <w:r>
        <w:rPr>
          <w:rFonts w:hint="eastAsia"/>
          <w:b w:val="0"/>
        </w:rPr>
        <w:t>平台开展费率优惠活动的公告</w:t>
      </w:r>
    </w:p>
    <w:p w:rsidR="0058573B" w:rsidRDefault="00ED6F9E" w:rsidP="00ED6F9E">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为满足广大投资者的需求，上海东方证券资产管理有限公司（以下简称“本公司”）决定在本公司网上直销平台开展费率优惠活动，具体如下：</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一、优惠活动时间</w:t>
      </w:r>
    </w:p>
    <w:p w:rsidR="0058573B" w:rsidRDefault="00ED6F9E" w:rsidP="00ED6F9E">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w:t>
      </w:r>
      <w:r>
        <w:rPr>
          <w:rFonts w:asciiTheme="minorEastAsia" w:hAnsiTheme="minorEastAsia" w:hint="eastAsia"/>
          <w:sz w:val="24"/>
          <w:szCs w:val="24"/>
        </w:rPr>
        <w:t>20</w:t>
      </w:r>
      <w:r>
        <w:rPr>
          <w:rFonts w:asciiTheme="minorEastAsia" w:hAnsiTheme="minorEastAsia"/>
          <w:sz w:val="24"/>
          <w:szCs w:val="24"/>
        </w:rPr>
        <w:t>年</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24</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（含）</w:t>
      </w:r>
      <w:r>
        <w:rPr>
          <w:rFonts w:asciiTheme="minorEastAsia" w:hAnsiTheme="minorEastAsia" w:hint="eastAsia"/>
          <w:sz w:val="24"/>
          <w:szCs w:val="24"/>
        </w:rPr>
        <w:t>-2020</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7</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（不含），</w:t>
      </w:r>
      <w:r>
        <w:rPr>
          <w:rFonts w:asciiTheme="minorEastAsia" w:hAnsiTheme="minorEastAsia" w:hint="eastAsia"/>
          <w:sz w:val="24"/>
          <w:szCs w:val="24"/>
        </w:rPr>
        <w:t>15:00</w:t>
      </w:r>
      <w:r>
        <w:rPr>
          <w:rFonts w:asciiTheme="minorEastAsia" w:hAnsiTheme="minorEastAsia" w:hint="eastAsia"/>
          <w:sz w:val="24"/>
          <w:szCs w:val="24"/>
        </w:rPr>
        <w:t>及</w:t>
      </w:r>
      <w:r>
        <w:rPr>
          <w:rFonts w:asciiTheme="minorEastAsia" w:hAnsiTheme="minorEastAsia" w:hint="eastAsia"/>
          <w:sz w:val="24"/>
          <w:szCs w:val="24"/>
        </w:rPr>
        <w:t>15:00</w:t>
      </w:r>
      <w:r>
        <w:rPr>
          <w:rFonts w:asciiTheme="minorEastAsia" w:hAnsiTheme="minorEastAsia" w:hint="eastAsia"/>
          <w:sz w:val="24"/>
          <w:szCs w:val="24"/>
        </w:rPr>
        <w:t>以后的申购申请按下一交易日的基金净值计算。</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二、费率优惠活动内容及适用</w:t>
      </w:r>
      <w:r>
        <w:rPr>
          <w:rFonts w:asciiTheme="minorEastAsia" w:hAnsiTheme="minorEastAsia" w:hint="eastAsia"/>
          <w:color w:val="2B2B2B"/>
          <w:sz w:val="24"/>
          <w:szCs w:val="24"/>
        </w:rPr>
        <w:t>优惠费率的基金范围</w:t>
      </w:r>
    </w:p>
    <w:p w:rsidR="0058573B" w:rsidRDefault="00ED6F9E">
      <w:pPr>
        <w:adjustRightInd w:val="0"/>
        <w:snapToGrid w:val="0"/>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hint="eastAsia"/>
          <w:color w:val="2B2B2B"/>
          <w:sz w:val="24"/>
          <w:szCs w:val="24"/>
        </w:rPr>
        <w:t>1</w:t>
      </w:r>
      <w:r>
        <w:rPr>
          <w:rFonts w:asciiTheme="minorEastAsia" w:hAnsiTheme="minorEastAsia" w:hint="eastAsia"/>
          <w:color w:val="2B2B2B"/>
          <w:sz w:val="24"/>
          <w:szCs w:val="24"/>
        </w:rPr>
        <w:t>、投资者通过</w:t>
      </w:r>
      <w:r>
        <w:rPr>
          <w:rFonts w:asciiTheme="minorEastAsia" w:hAnsiTheme="minorEastAsia" w:hint="eastAsia"/>
          <w:sz w:val="24"/>
          <w:szCs w:val="24"/>
        </w:rPr>
        <w:t>本公司网上直销平台申购</w:t>
      </w:r>
      <w:r>
        <w:rPr>
          <w:rFonts w:asciiTheme="minorEastAsia" w:hAnsiTheme="minorEastAsia" w:cs="宋体" w:hint="eastAsia"/>
          <w:color w:val="000000" w:themeColor="text1"/>
          <w:kern w:val="0"/>
          <w:sz w:val="24"/>
          <w:szCs w:val="24"/>
          <w:shd w:val="clear" w:color="auto" w:fill="FFFFFF"/>
        </w:rPr>
        <w:t>下述列表中的基金时，优惠费率按照招募说明书中约定的原申购（不含定期定额申购）费率的</w:t>
      </w: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hint="eastAsia"/>
          <w:color w:val="000000" w:themeColor="text1"/>
          <w:kern w:val="0"/>
          <w:sz w:val="24"/>
          <w:szCs w:val="24"/>
          <w:shd w:val="clear" w:color="auto" w:fill="FFFFFF"/>
        </w:rPr>
        <w:t>折执行</w:t>
      </w:r>
      <w:r>
        <w:rPr>
          <w:rStyle w:val="ab"/>
          <w:rFonts w:hint="eastAsia"/>
        </w:rPr>
        <w:t>，</w:t>
      </w:r>
      <w:r>
        <w:rPr>
          <w:rFonts w:asciiTheme="minorEastAsia" w:hAnsiTheme="minorEastAsia" w:cs="宋体" w:hint="eastAsia"/>
          <w:color w:val="000000" w:themeColor="text1"/>
          <w:kern w:val="0"/>
          <w:sz w:val="24"/>
          <w:szCs w:val="24"/>
          <w:shd w:val="clear" w:color="auto" w:fill="FFFFFF"/>
        </w:rPr>
        <w:t>如原申购费使用固定费用的，按照原固定费用执行，不再参与本次费率优惠活动。</w:t>
      </w:r>
      <w:r>
        <w:rPr>
          <w:rFonts w:asciiTheme="minorEastAsia" w:hAnsiTheme="minorEastAsia" w:cs="宋体" w:hint="eastAsia"/>
          <w:color w:val="000000" w:themeColor="text1"/>
          <w:kern w:val="0"/>
          <w:sz w:val="24"/>
          <w:szCs w:val="24"/>
          <w:shd w:val="clear" w:color="auto" w:fill="FFFFFF"/>
        </w:rPr>
        <w:t>投资者通过东</w:t>
      </w:r>
      <w:r>
        <w:rPr>
          <w:rFonts w:asciiTheme="minorEastAsia" w:hAnsiTheme="minorEastAsia"/>
          <w:color w:val="000000" w:themeColor="text1"/>
          <w:sz w:val="24"/>
          <w:szCs w:val="24"/>
        </w:rPr>
        <w:t>方红货币市场基金</w:t>
      </w:r>
      <w:r>
        <w:rPr>
          <w:rFonts w:asciiTheme="minorEastAsia" w:hAnsiTheme="minorEastAsia" w:hint="eastAsia"/>
          <w:color w:val="000000" w:themeColor="text1"/>
          <w:sz w:val="24"/>
          <w:szCs w:val="24"/>
        </w:rPr>
        <w:t>D</w:t>
      </w:r>
      <w:r>
        <w:rPr>
          <w:rFonts w:asciiTheme="minorEastAsia" w:hAnsiTheme="minorEastAsia"/>
          <w:color w:val="000000" w:themeColor="text1"/>
          <w:sz w:val="24"/>
          <w:szCs w:val="24"/>
        </w:rPr>
        <w:t>类份额（东方红货币</w:t>
      </w:r>
      <w:r>
        <w:rPr>
          <w:rFonts w:asciiTheme="minorEastAsia" w:hAnsiTheme="minorEastAsia" w:hint="eastAsia"/>
          <w:color w:val="000000" w:themeColor="text1"/>
          <w:sz w:val="24"/>
          <w:szCs w:val="24"/>
        </w:rPr>
        <w:t>D</w:t>
      </w:r>
      <w:r>
        <w:rPr>
          <w:rFonts w:asciiTheme="minorEastAsia" w:hAnsiTheme="minorEastAsia"/>
          <w:color w:val="000000" w:themeColor="text1"/>
          <w:sz w:val="24"/>
          <w:szCs w:val="24"/>
        </w:rPr>
        <w:t>，代码</w:t>
      </w:r>
      <w:r>
        <w:rPr>
          <w:rFonts w:asciiTheme="minorEastAsia" w:hAnsiTheme="minorEastAsia"/>
          <w:color w:val="000000" w:themeColor="text1"/>
          <w:sz w:val="24"/>
          <w:szCs w:val="24"/>
        </w:rPr>
        <w:t>00</w:t>
      </w:r>
      <w:r>
        <w:rPr>
          <w:rFonts w:asciiTheme="minorEastAsia" w:hAnsiTheme="minorEastAsia" w:hint="eastAsia"/>
          <w:color w:val="000000" w:themeColor="text1"/>
          <w:sz w:val="24"/>
          <w:szCs w:val="24"/>
        </w:rPr>
        <w:t>7865</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赎回转购（不含定期定额赎回转购）</w:t>
      </w:r>
      <w:r>
        <w:rPr>
          <w:rFonts w:asciiTheme="minorEastAsia" w:hAnsiTheme="minorEastAsia"/>
          <w:color w:val="000000" w:themeColor="text1"/>
          <w:sz w:val="24"/>
          <w:szCs w:val="24"/>
        </w:rPr>
        <w:t>为</w:t>
      </w:r>
      <w:r>
        <w:rPr>
          <w:rFonts w:asciiTheme="minorEastAsia" w:hAnsiTheme="minorEastAsia" w:cs="宋体" w:hint="eastAsia"/>
          <w:color w:val="000000" w:themeColor="text1"/>
          <w:kern w:val="0"/>
          <w:sz w:val="24"/>
          <w:szCs w:val="24"/>
          <w:shd w:val="clear" w:color="auto" w:fill="FFFFFF"/>
        </w:rPr>
        <w:t>下述列表中的基金时，若原申购补差费率不为零，在原申购补差费率基础上实施</w:t>
      </w:r>
      <w:r>
        <w:rPr>
          <w:rFonts w:asciiTheme="minorEastAsia" w:hAnsiTheme="minorEastAsia" w:cs="宋体" w:hint="eastAsia"/>
          <w:color w:val="000000" w:themeColor="text1"/>
          <w:kern w:val="0"/>
          <w:sz w:val="24"/>
          <w:szCs w:val="24"/>
          <w:shd w:val="clear" w:color="auto" w:fill="FFFFFF"/>
        </w:rPr>
        <w:t>0.1</w:t>
      </w:r>
      <w:r>
        <w:rPr>
          <w:rFonts w:asciiTheme="minorEastAsia" w:hAnsiTheme="minorEastAsia" w:cs="宋体" w:hint="eastAsia"/>
          <w:color w:val="000000" w:themeColor="text1"/>
          <w:kern w:val="0"/>
          <w:sz w:val="24"/>
          <w:szCs w:val="24"/>
          <w:shd w:val="clear" w:color="auto" w:fill="FFFFFF"/>
        </w:rPr>
        <w:t>折优惠（即原申购补差费率的</w:t>
      </w: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。如原申购</w:t>
      </w:r>
      <w:r>
        <w:rPr>
          <w:rFonts w:asciiTheme="minorEastAsia" w:hAnsiTheme="minorEastAsia" w:cs="宋体" w:hint="eastAsia"/>
          <w:color w:val="000000" w:themeColor="text1"/>
          <w:kern w:val="0"/>
          <w:sz w:val="24"/>
          <w:szCs w:val="24"/>
          <w:shd w:val="clear" w:color="auto" w:fill="FFFFFF"/>
        </w:rPr>
        <w:t>补差</w:t>
      </w:r>
      <w:r>
        <w:rPr>
          <w:rFonts w:asciiTheme="minorEastAsia" w:hAnsiTheme="minorEastAsia" w:cs="宋体" w:hint="eastAsia"/>
          <w:color w:val="000000" w:themeColor="text1"/>
          <w:kern w:val="0"/>
          <w:sz w:val="24"/>
          <w:szCs w:val="24"/>
          <w:shd w:val="clear" w:color="auto" w:fill="FFFFFF"/>
        </w:rPr>
        <w:t>费使用固定费用的，按照原</w:t>
      </w:r>
      <w:r>
        <w:rPr>
          <w:rFonts w:asciiTheme="minorEastAsia" w:hAnsiTheme="minorEastAsia" w:cs="宋体" w:hint="eastAsia"/>
          <w:color w:val="000000" w:themeColor="text1"/>
          <w:kern w:val="0"/>
          <w:sz w:val="24"/>
          <w:szCs w:val="24"/>
          <w:shd w:val="clear" w:color="auto" w:fill="FFFFFF"/>
        </w:rPr>
        <w:t>申购补差</w:t>
      </w:r>
      <w:r>
        <w:rPr>
          <w:rFonts w:asciiTheme="minorEastAsia" w:hAnsiTheme="minorEastAsia" w:cs="宋体" w:hint="eastAsia"/>
          <w:color w:val="000000" w:themeColor="text1"/>
          <w:kern w:val="0"/>
          <w:sz w:val="24"/>
          <w:szCs w:val="24"/>
          <w:shd w:val="clear" w:color="auto" w:fill="FFFFFF"/>
        </w:rPr>
        <w:t>固定费用执行，不再参与本次费率优惠活动。</w:t>
      </w:r>
    </w:p>
    <w:tbl>
      <w:tblPr>
        <w:tblStyle w:val="a9"/>
        <w:tblW w:w="10065" w:type="dxa"/>
        <w:jc w:val="center"/>
        <w:tblLook w:val="04A0"/>
      </w:tblPr>
      <w:tblGrid>
        <w:gridCol w:w="5813"/>
        <w:gridCol w:w="2864"/>
        <w:gridCol w:w="1388"/>
      </w:tblGrid>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基金名称</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基金简称</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基金代码</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007657</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007658</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000480</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000619</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cs="Arial" w:hint="eastAsia"/>
                <w:color w:val="000000" w:themeColor="text1"/>
                <w:kern w:val="0"/>
                <w:sz w:val="24"/>
                <w:szCs w:val="24"/>
              </w:rPr>
              <w:t>东方红睿丰灵活配置混合型证券投资基金（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东方红睿丰混合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169101</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东方红中国优势灵活配置混合型证券投资基金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东方红中国优势混合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001112</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东方红京东大数据灵活配置混合型证券投资基金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东方红京东大数据混合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001564</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东方红优势精选灵活配置混合型发起式证券投资基金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001712</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002803</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cs="Arial" w:hint="eastAsia"/>
                <w:color w:val="000000" w:themeColor="text1"/>
                <w:kern w:val="0"/>
                <w:sz w:val="24"/>
                <w:szCs w:val="24"/>
              </w:rPr>
              <w:t>东方红睿满灵活配置混合型证券投资基金（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东方红睿满混合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169104</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东方红睿华沪港深灵活配置混合型证券投资基金（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东方红睿华沪港深混合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169105</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东方红优享红利沪港深灵活配置混合型证券投资基金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003396</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lastRenderedPageBreak/>
              <w:t>东方红领先精选灵活配置混合型证券投资基金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东方红领先精选混合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001203</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001204</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东方红策略精选灵活配置混合型发起式证券投资基金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001405</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001406</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东方红战略精选沪港深混合型证券投资基金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003044</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003045</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002783</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002784</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005974</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highlight w:val="yellow"/>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005975</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001862</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001863</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002701</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002651</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001945</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001946</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东方红聚利债券型证券投资基金</w:t>
            </w:r>
          </w:p>
        </w:tc>
        <w:tc>
          <w:tcPr>
            <w:tcW w:w="2864" w:type="dxa"/>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 xml:space="preserve">A </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007262</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olor w:val="000000" w:themeColor="text1"/>
                <w:sz w:val="24"/>
                <w:szCs w:val="24"/>
              </w:rPr>
            </w:pPr>
          </w:p>
        </w:tc>
        <w:tc>
          <w:tcPr>
            <w:tcW w:w="2864" w:type="dxa"/>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007263</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东方红稳添利纯债债券型发起式证券投资基金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cs="Arial" w:hint="eastAsia"/>
                <w:color w:val="000000" w:themeColor="text1"/>
                <w:kern w:val="0"/>
                <w:sz w:val="24"/>
                <w:szCs w:val="24"/>
              </w:rPr>
              <w:t>002650</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003668</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003669</w:t>
            </w:r>
          </w:p>
        </w:tc>
      </w:tr>
    </w:tbl>
    <w:p w:rsidR="0058573B" w:rsidRDefault="00ED6F9E">
      <w:pPr>
        <w:adjustRightInd w:val="0"/>
        <w:snapToGrid w:val="0"/>
        <w:spacing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cs="宋体" w:hint="eastAsia"/>
          <w:color w:val="000000" w:themeColor="text1"/>
          <w:kern w:val="0"/>
          <w:sz w:val="24"/>
          <w:szCs w:val="24"/>
          <w:shd w:val="clear" w:color="auto" w:fill="FFFFFF"/>
        </w:rPr>
        <w:t>2</w:t>
      </w:r>
      <w:r>
        <w:rPr>
          <w:rFonts w:asciiTheme="minorEastAsia" w:hAnsiTheme="minorEastAsia" w:cs="宋体" w:hint="eastAsia"/>
          <w:color w:val="000000" w:themeColor="text1"/>
          <w:kern w:val="0"/>
          <w:sz w:val="24"/>
          <w:szCs w:val="24"/>
          <w:shd w:val="clear" w:color="auto" w:fill="FFFFFF"/>
        </w:rPr>
        <w:t>、投资者通过东</w:t>
      </w:r>
      <w:r>
        <w:rPr>
          <w:rFonts w:asciiTheme="minorEastAsia" w:hAnsiTheme="minorEastAsia"/>
          <w:color w:val="000000" w:themeColor="text1"/>
          <w:sz w:val="24"/>
          <w:szCs w:val="24"/>
        </w:rPr>
        <w:t>方红货币市场基金</w:t>
      </w:r>
      <w:r>
        <w:rPr>
          <w:rFonts w:asciiTheme="minorEastAsia" w:hAnsiTheme="minorEastAsia" w:hint="eastAsia"/>
          <w:color w:val="000000" w:themeColor="text1"/>
          <w:sz w:val="24"/>
          <w:szCs w:val="24"/>
        </w:rPr>
        <w:t>E</w:t>
      </w:r>
      <w:r>
        <w:rPr>
          <w:rFonts w:asciiTheme="minorEastAsia" w:hAnsiTheme="minorEastAsia"/>
          <w:color w:val="000000" w:themeColor="text1"/>
          <w:sz w:val="24"/>
          <w:szCs w:val="24"/>
        </w:rPr>
        <w:t>类份额（东方红货币</w:t>
      </w:r>
      <w:r>
        <w:rPr>
          <w:rFonts w:asciiTheme="minorEastAsia" w:hAnsiTheme="minorEastAsia" w:hint="eastAsia"/>
          <w:color w:val="000000" w:themeColor="text1"/>
          <w:sz w:val="24"/>
          <w:szCs w:val="24"/>
        </w:rPr>
        <w:t>E</w:t>
      </w:r>
      <w:r>
        <w:rPr>
          <w:rFonts w:asciiTheme="minorEastAsia" w:hAnsiTheme="minorEastAsia"/>
          <w:color w:val="000000" w:themeColor="text1"/>
          <w:sz w:val="24"/>
          <w:szCs w:val="24"/>
        </w:rPr>
        <w:t>，代码</w:t>
      </w:r>
      <w:r>
        <w:rPr>
          <w:rFonts w:asciiTheme="minorEastAsia" w:hAnsiTheme="minorEastAsia"/>
          <w:color w:val="000000" w:themeColor="text1"/>
          <w:sz w:val="24"/>
          <w:szCs w:val="24"/>
        </w:rPr>
        <w:t>00505</w:t>
      </w:r>
      <w:r>
        <w:rPr>
          <w:rFonts w:asciiTheme="minorEastAsia" w:hAnsiTheme="minorEastAsia" w:hint="eastAsia"/>
          <w:color w:val="000000" w:themeColor="text1"/>
          <w:sz w:val="24"/>
          <w:szCs w:val="24"/>
        </w:rPr>
        <w:t>8</w:t>
      </w:r>
      <w:r>
        <w:rPr>
          <w:rFonts w:asciiTheme="minorEastAsia" w:hAnsiTheme="minorEastAsia"/>
          <w:color w:val="000000" w:themeColor="text1"/>
          <w:sz w:val="24"/>
          <w:szCs w:val="24"/>
        </w:rPr>
        <w:t>）转换</w:t>
      </w:r>
      <w:r>
        <w:rPr>
          <w:rFonts w:asciiTheme="minorEastAsia" w:hAnsiTheme="minorEastAsia" w:hint="eastAsia"/>
          <w:color w:val="000000" w:themeColor="text1"/>
          <w:sz w:val="24"/>
          <w:szCs w:val="24"/>
        </w:rPr>
        <w:t>（不含定期定额转换）</w:t>
      </w:r>
      <w:r>
        <w:rPr>
          <w:rFonts w:asciiTheme="minorEastAsia" w:hAnsiTheme="minorEastAsia"/>
          <w:color w:val="000000" w:themeColor="text1"/>
          <w:sz w:val="24"/>
          <w:szCs w:val="24"/>
        </w:rPr>
        <w:t>为</w:t>
      </w:r>
      <w:r>
        <w:rPr>
          <w:rFonts w:asciiTheme="minorEastAsia" w:hAnsiTheme="minorEastAsia" w:cs="宋体" w:hint="eastAsia"/>
          <w:color w:val="000000" w:themeColor="text1"/>
          <w:kern w:val="0"/>
          <w:sz w:val="24"/>
          <w:szCs w:val="24"/>
          <w:shd w:val="clear" w:color="auto" w:fill="FFFFFF"/>
        </w:rPr>
        <w:t>下述列表中的基金时，若原申购补差费率不为零，在原申购补差费率基础上实施</w:t>
      </w:r>
      <w:r>
        <w:rPr>
          <w:rFonts w:asciiTheme="minorEastAsia" w:hAnsiTheme="minorEastAsia" w:cs="宋体" w:hint="eastAsia"/>
          <w:color w:val="000000" w:themeColor="text1"/>
          <w:kern w:val="0"/>
          <w:sz w:val="24"/>
          <w:szCs w:val="24"/>
          <w:shd w:val="clear" w:color="auto" w:fill="FFFFFF"/>
        </w:rPr>
        <w:t>0.1</w:t>
      </w:r>
      <w:r>
        <w:rPr>
          <w:rFonts w:asciiTheme="minorEastAsia" w:hAnsiTheme="minorEastAsia" w:cs="宋体" w:hint="eastAsia"/>
          <w:color w:val="000000" w:themeColor="text1"/>
          <w:kern w:val="0"/>
          <w:sz w:val="24"/>
          <w:szCs w:val="24"/>
          <w:shd w:val="clear" w:color="auto" w:fill="FFFFFF"/>
        </w:rPr>
        <w:t>折优惠（即原申</w:t>
      </w:r>
      <w:bookmarkStart w:id="0" w:name="_GoBack"/>
      <w:bookmarkEnd w:id="0"/>
      <w:r>
        <w:rPr>
          <w:rFonts w:asciiTheme="minorEastAsia" w:hAnsiTheme="minorEastAsia" w:cs="宋体" w:hint="eastAsia"/>
          <w:color w:val="000000" w:themeColor="text1"/>
          <w:kern w:val="0"/>
          <w:sz w:val="24"/>
          <w:szCs w:val="24"/>
          <w:shd w:val="clear" w:color="auto" w:fill="FFFFFF"/>
        </w:rPr>
        <w:t>购补差费率的</w:t>
      </w:r>
      <w:r>
        <w:rPr>
          <w:rFonts w:asciiTheme="minorEastAsia" w:hAnsiTheme="minorEastAsia" w:cs="宋体" w:hint="eastAsia"/>
          <w:color w:val="000000" w:themeColor="text1"/>
          <w:kern w:val="0"/>
          <w:sz w:val="24"/>
          <w:szCs w:val="24"/>
          <w:shd w:val="clear" w:color="auto" w:fill="FFFFFF"/>
        </w:rPr>
        <w:t>1%</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w:t>
      </w:r>
      <w:r>
        <w:rPr>
          <w:rFonts w:asciiTheme="minorEastAsia" w:hAnsiTheme="minorEastAsia" w:cs="宋体" w:hint="eastAsia"/>
          <w:color w:val="000000" w:themeColor="text1"/>
          <w:kern w:val="0"/>
          <w:sz w:val="24"/>
          <w:szCs w:val="24"/>
          <w:shd w:val="clear" w:color="auto" w:fill="FFFFFF"/>
        </w:rPr>
        <w:t>如原申购</w:t>
      </w:r>
      <w:r>
        <w:rPr>
          <w:rFonts w:asciiTheme="minorEastAsia" w:hAnsiTheme="minorEastAsia" w:cs="宋体" w:hint="eastAsia"/>
          <w:color w:val="000000" w:themeColor="text1"/>
          <w:kern w:val="0"/>
          <w:sz w:val="24"/>
          <w:szCs w:val="24"/>
          <w:shd w:val="clear" w:color="auto" w:fill="FFFFFF"/>
        </w:rPr>
        <w:t>补差</w:t>
      </w:r>
      <w:r>
        <w:rPr>
          <w:rFonts w:asciiTheme="minorEastAsia" w:hAnsiTheme="minorEastAsia" w:cs="宋体" w:hint="eastAsia"/>
          <w:color w:val="000000" w:themeColor="text1"/>
          <w:kern w:val="0"/>
          <w:sz w:val="24"/>
          <w:szCs w:val="24"/>
          <w:shd w:val="clear" w:color="auto" w:fill="FFFFFF"/>
        </w:rPr>
        <w:t>费使用固定费用的，按照原</w:t>
      </w:r>
      <w:r>
        <w:rPr>
          <w:rFonts w:asciiTheme="minorEastAsia" w:hAnsiTheme="minorEastAsia" w:cs="宋体" w:hint="eastAsia"/>
          <w:color w:val="000000" w:themeColor="text1"/>
          <w:kern w:val="0"/>
          <w:sz w:val="24"/>
          <w:szCs w:val="24"/>
          <w:shd w:val="clear" w:color="auto" w:fill="FFFFFF"/>
        </w:rPr>
        <w:t>申购补差</w:t>
      </w:r>
      <w:r>
        <w:rPr>
          <w:rFonts w:asciiTheme="minorEastAsia" w:hAnsiTheme="minorEastAsia" w:cs="宋体" w:hint="eastAsia"/>
          <w:color w:val="000000" w:themeColor="text1"/>
          <w:kern w:val="0"/>
          <w:sz w:val="24"/>
          <w:szCs w:val="24"/>
          <w:shd w:val="clear" w:color="auto" w:fill="FFFFFF"/>
        </w:rPr>
        <w:t>固定费用执行，不再参与本次费率优惠活动。</w:t>
      </w:r>
    </w:p>
    <w:tbl>
      <w:tblPr>
        <w:tblStyle w:val="a9"/>
        <w:tblW w:w="10065" w:type="dxa"/>
        <w:jc w:val="center"/>
        <w:tblLook w:val="04A0"/>
      </w:tblPr>
      <w:tblGrid>
        <w:gridCol w:w="5813"/>
        <w:gridCol w:w="2864"/>
        <w:gridCol w:w="1388"/>
      </w:tblGrid>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基金名称</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基金简称</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基金代码</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007657</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007658</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000480</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000619</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东方红中国优势灵活配置混合型证券投资基金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东方红中国优势混合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001112</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lastRenderedPageBreak/>
              <w:t>东方红京东大数据灵活配置混合型证券投资基金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东方红京东大数据混合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001564</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东方红优势精选灵活配置混合型发起式证券投资基金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001712</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002803</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东方红优享红利沪港深灵活配置混合型证券投资基金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003396</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东方红启东三年持有期混合型证券投资基金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东方红启东三年持有混合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008985</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东方红领先精选灵活配置混合型证券投资基金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东方红领先精选混合</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001203</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001204</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东方红策略精选灵活配置混合型发起式证券投资基金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001405</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001406</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东方红战略精选沪港深混合型证券投资基金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003044</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003045</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002783</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002784</w:t>
            </w:r>
          </w:p>
        </w:tc>
      </w:tr>
      <w:tr w:rsidR="0058573B">
        <w:trPr>
          <w:trHeight w:val="375"/>
          <w:jc w:val="center"/>
        </w:trPr>
        <w:tc>
          <w:tcPr>
            <w:tcW w:w="5813" w:type="dxa"/>
            <w:vMerge w:val="restart"/>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005974</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highlight w:val="yellow"/>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005975</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001862</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001863</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002701</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002651</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002652</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001945</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001946</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东方红聚利债券型证券投资基金</w:t>
            </w:r>
          </w:p>
        </w:tc>
        <w:tc>
          <w:tcPr>
            <w:tcW w:w="2864" w:type="dxa"/>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 xml:space="preserve">A </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007262</w:t>
            </w:r>
          </w:p>
        </w:tc>
      </w:tr>
      <w:tr w:rsidR="0058573B">
        <w:trPr>
          <w:trHeight w:val="375"/>
          <w:jc w:val="center"/>
        </w:trPr>
        <w:tc>
          <w:tcPr>
            <w:tcW w:w="5813" w:type="dxa"/>
            <w:vMerge/>
            <w:noWrap/>
            <w:vAlign w:val="center"/>
          </w:tcPr>
          <w:p w:rsidR="0058573B" w:rsidRDefault="0058573B">
            <w:pPr>
              <w:widowControl/>
              <w:jc w:val="center"/>
              <w:rPr>
                <w:rFonts w:asciiTheme="minorEastAsia" w:hAnsiTheme="minorEastAsia"/>
                <w:color w:val="000000" w:themeColor="text1"/>
                <w:sz w:val="24"/>
                <w:szCs w:val="24"/>
              </w:rPr>
            </w:pPr>
          </w:p>
        </w:tc>
        <w:tc>
          <w:tcPr>
            <w:tcW w:w="2864" w:type="dxa"/>
            <w:noWrap/>
            <w:vAlign w:val="center"/>
          </w:tcPr>
          <w:p w:rsidR="0058573B" w:rsidRDefault="00ED6F9E">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007263</w:t>
            </w:r>
          </w:p>
        </w:tc>
      </w:tr>
      <w:tr w:rsidR="0058573B">
        <w:trPr>
          <w:trHeight w:val="375"/>
          <w:jc w:val="center"/>
        </w:trPr>
        <w:tc>
          <w:tcPr>
            <w:tcW w:w="5813"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东方红稳添利纯债债券型发起式证券投资基金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highlight w:val="yellow"/>
              </w:rPr>
            </w:pPr>
            <w:r>
              <w:rPr>
                <w:rFonts w:asciiTheme="minorEastAsia" w:hAnsiTheme="minorEastAsia" w:cs="Arial" w:hint="eastAsia"/>
                <w:color w:val="000000" w:themeColor="text1"/>
                <w:kern w:val="0"/>
                <w:sz w:val="24"/>
                <w:szCs w:val="24"/>
              </w:rPr>
              <w:t>002650</w:t>
            </w:r>
          </w:p>
        </w:tc>
      </w:tr>
      <w:tr w:rsidR="0058573B">
        <w:trPr>
          <w:trHeight w:val="375"/>
          <w:jc w:val="center"/>
        </w:trPr>
        <w:tc>
          <w:tcPr>
            <w:tcW w:w="5813" w:type="dxa"/>
            <w:vMerge w:val="restart"/>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东方红益鑫纯债债券型证券投资基金</w:t>
            </w: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A</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003668</w:t>
            </w:r>
          </w:p>
        </w:tc>
      </w:tr>
      <w:tr w:rsidR="0058573B">
        <w:trPr>
          <w:trHeight w:val="375"/>
          <w:jc w:val="center"/>
        </w:trPr>
        <w:tc>
          <w:tcPr>
            <w:tcW w:w="5813" w:type="dxa"/>
            <w:vMerge/>
            <w:vAlign w:val="center"/>
          </w:tcPr>
          <w:p w:rsidR="0058573B" w:rsidRDefault="0058573B">
            <w:pPr>
              <w:widowControl/>
              <w:jc w:val="center"/>
              <w:rPr>
                <w:rFonts w:asciiTheme="minorEastAsia" w:hAnsiTheme="minorEastAsia" w:cs="Arial"/>
                <w:color w:val="000000" w:themeColor="text1"/>
                <w:kern w:val="0"/>
                <w:sz w:val="24"/>
                <w:szCs w:val="24"/>
              </w:rPr>
            </w:pPr>
          </w:p>
        </w:tc>
        <w:tc>
          <w:tcPr>
            <w:tcW w:w="2864"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C</w:t>
            </w:r>
          </w:p>
        </w:tc>
        <w:tc>
          <w:tcPr>
            <w:tcW w:w="1388" w:type="dxa"/>
            <w:noWrap/>
            <w:vAlign w:val="center"/>
          </w:tcPr>
          <w:p w:rsidR="0058573B" w:rsidRDefault="00ED6F9E">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003669</w:t>
            </w:r>
          </w:p>
        </w:tc>
      </w:tr>
    </w:tbl>
    <w:p w:rsidR="0058573B" w:rsidRDefault="0058573B">
      <w:pPr>
        <w:rPr>
          <w:rFonts w:asciiTheme="minorEastAsia" w:hAnsiTheme="minorEastAsia"/>
          <w:color w:val="2B2B2B"/>
          <w:sz w:val="24"/>
          <w:szCs w:val="24"/>
        </w:rPr>
      </w:pPr>
    </w:p>
    <w:p w:rsidR="0058573B" w:rsidRDefault="0058573B">
      <w:pPr>
        <w:adjustRightInd w:val="0"/>
        <w:snapToGrid w:val="0"/>
        <w:spacing w:line="360" w:lineRule="auto"/>
        <w:ind w:firstLineChars="200" w:firstLine="480"/>
        <w:rPr>
          <w:rFonts w:asciiTheme="minorEastAsia" w:hAnsiTheme="minorEastAsia"/>
          <w:sz w:val="24"/>
          <w:szCs w:val="24"/>
        </w:rPr>
      </w:pP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三、业务咨询</w:t>
      </w:r>
    </w:p>
    <w:p w:rsidR="0058573B" w:rsidRDefault="00ED6F9E">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如有疑问，投资者可拨打客服电话或登录相关网址进行咨询：</w:t>
      </w:r>
    </w:p>
    <w:p w:rsidR="0058573B" w:rsidRDefault="00ED6F9E">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上海东方证券资产管理有限公司</w:t>
      </w:r>
    </w:p>
    <w:p w:rsidR="0058573B" w:rsidRDefault="00ED6F9E">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网址：</w:t>
      </w:r>
      <w:hyperlink r:id="rId8" w:history="1">
        <w:r>
          <w:rPr>
            <w:rStyle w:val="aa"/>
            <w:rFonts w:asciiTheme="minorEastAsia" w:hAnsiTheme="minorEastAsia"/>
            <w:sz w:val="24"/>
            <w:szCs w:val="24"/>
          </w:rPr>
          <w:t>http://www.dfham.com</w:t>
        </w:r>
      </w:hyperlink>
    </w:p>
    <w:p w:rsidR="0058573B" w:rsidRDefault="00ED6F9E" w:rsidP="00ED6F9E">
      <w:pPr>
        <w:adjustRightInd w:val="0"/>
        <w:snapToGrid w:val="0"/>
        <w:spacing w:afterLines="100"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客服电话：</w:t>
      </w:r>
      <w:r>
        <w:rPr>
          <w:rFonts w:asciiTheme="minorEastAsia" w:hAnsiTheme="minorEastAsia"/>
          <w:color w:val="2B2B2B"/>
          <w:sz w:val="24"/>
          <w:szCs w:val="24"/>
        </w:rPr>
        <w:t>4009200808</w:t>
      </w:r>
      <w:r>
        <w:rPr>
          <w:rFonts w:asciiTheme="minorEastAsia" w:hAnsiTheme="minorEastAsia" w:hint="eastAsia"/>
          <w:color w:val="2B2B2B"/>
          <w:sz w:val="24"/>
          <w:szCs w:val="24"/>
        </w:rPr>
        <w:t>。</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四、重要提示</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、风险提示：</w:t>
      </w:r>
      <w:r>
        <w:rPr>
          <w:rFonts w:asciiTheme="minorEastAsia" w:hAnsiTheme="minorEastAsia"/>
          <w:sz w:val="24"/>
          <w:szCs w:val="24"/>
        </w:rPr>
        <w:t>本公司承诺以诚实信用、勤勉尽责的原则管理和运用基金资产，但不一定保证产品一定盈利，也不保证最低收益。</w:t>
      </w:r>
      <w:r>
        <w:rPr>
          <w:rFonts w:asciiTheme="minorEastAsia" w:hAnsiTheme="minorEastAsia" w:hint="eastAsia"/>
          <w:sz w:val="24"/>
          <w:szCs w:val="24"/>
        </w:rPr>
        <w:t>投资者购买货币市场基金并不等于将资金作为存款存放在银行或存款类金融机构。基金投资需谨慎，敬请投资者注意投资风险。</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、投资者欲了解参加本次优惠活动的上述基金产品详细情况，请仔细阅读该基金的基金合同、招募说明书等法律文件及相关公告。</w:t>
      </w:r>
    </w:p>
    <w:p w:rsidR="0058573B" w:rsidRDefault="00ED6F9E">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、敬请投资者关注适当性管理相关规定，提前做好风险测评，并根据自身的风险承受能力购买风险等级相匹配的产品。</w:t>
      </w:r>
    </w:p>
    <w:p w:rsidR="0058573B" w:rsidRDefault="00ED6F9E" w:rsidP="00ED6F9E">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本公告的解释权归上海东方证券资产管理有限公司所有。</w:t>
      </w:r>
    </w:p>
    <w:p w:rsidR="0058573B" w:rsidRDefault="00ED6F9E">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特此公告。</w:t>
      </w:r>
    </w:p>
    <w:p w:rsidR="0058573B" w:rsidRDefault="00ED6F9E">
      <w:pPr>
        <w:adjustRightInd w:val="0"/>
        <w:snapToGrid w:val="0"/>
        <w:spacing w:line="360" w:lineRule="auto"/>
        <w:jc w:val="right"/>
        <w:rPr>
          <w:rFonts w:asciiTheme="minorEastAsia" w:hAnsiTheme="minorEastAsia"/>
          <w:color w:val="2B2B2B"/>
          <w:sz w:val="24"/>
          <w:szCs w:val="24"/>
        </w:rPr>
      </w:pPr>
      <w:r>
        <w:rPr>
          <w:rFonts w:asciiTheme="minorEastAsia" w:hAnsiTheme="minorEastAsia" w:hint="eastAsia"/>
          <w:color w:val="2B2B2B"/>
          <w:sz w:val="24"/>
          <w:szCs w:val="24"/>
        </w:rPr>
        <w:t>上海东方证券资产管理有限公司</w:t>
      </w:r>
    </w:p>
    <w:p w:rsidR="0058573B" w:rsidRDefault="00ED6F9E">
      <w:pPr>
        <w:adjustRightInd w:val="0"/>
        <w:snapToGrid w:val="0"/>
        <w:spacing w:line="360" w:lineRule="auto"/>
        <w:jc w:val="right"/>
        <w:rPr>
          <w:rFonts w:asciiTheme="minorEastAsia" w:hAnsiTheme="minorEastAsia"/>
          <w:color w:val="2B2B2B"/>
          <w:sz w:val="24"/>
          <w:szCs w:val="24"/>
        </w:rPr>
      </w:pPr>
      <w:r>
        <w:rPr>
          <w:rFonts w:asciiTheme="minorEastAsia" w:hAnsiTheme="minorEastAsia"/>
          <w:color w:val="2B2B2B"/>
          <w:sz w:val="24"/>
          <w:szCs w:val="24"/>
        </w:rPr>
        <w:t>20</w:t>
      </w:r>
      <w:r>
        <w:rPr>
          <w:rFonts w:asciiTheme="minorEastAsia" w:hAnsiTheme="minorEastAsia" w:hint="eastAsia"/>
          <w:color w:val="2B2B2B"/>
          <w:sz w:val="24"/>
          <w:szCs w:val="24"/>
        </w:rPr>
        <w:t>20</w:t>
      </w:r>
      <w:r>
        <w:rPr>
          <w:rFonts w:asciiTheme="minorEastAsia" w:hAnsiTheme="minorEastAsia" w:hint="eastAsia"/>
          <w:color w:val="2B2B2B"/>
          <w:sz w:val="24"/>
          <w:szCs w:val="24"/>
        </w:rPr>
        <w:t>年</w:t>
      </w:r>
      <w:r>
        <w:rPr>
          <w:rFonts w:asciiTheme="minorEastAsia" w:hAnsiTheme="minorEastAsia" w:hint="eastAsia"/>
          <w:color w:val="2B2B2B"/>
          <w:sz w:val="24"/>
          <w:szCs w:val="24"/>
        </w:rPr>
        <w:t>7</w:t>
      </w:r>
      <w:r>
        <w:rPr>
          <w:rFonts w:asciiTheme="minorEastAsia" w:hAnsiTheme="minorEastAsia" w:hint="eastAsia"/>
          <w:color w:val="2B2B2B"/>
          <w:sz w:val="24"/>
          <w:szCs w:val="24"/>
        </w:rPr>
        <w:t>月</w:t>
      </w:r>
      <w:r>
        <w:rPr>
          <w:rFonts w:asciiTheme="minorEastAsia" w:hAnsiTheme="minorEastAsia" w:hint="eastAsia"/>
          <w:color w:val="2B2B2B"/>
          <w:sz w:val="24"/>
          <w:szCs w:val="24"/>
        </w:rPr>
        <w:t>22</w:t>
      </w:r>
      <w:r>
        <w:rPr>
          <w:rFonts w:asciiTheme="minorEastAsia" w:hAnsiTheme="minorEastAsia" w:hint="eastAsia"/>
          <w:color w:val="2B2B2B"/>
          <w:sz w:val="24"/>
          <w:szCs w:val="24"/>
        </w:rPr>
        <w:t>日</w:t>
      </w:r>
    </w:p>
    <w:sectPr w:rsidR="0058573B" w:rsidSect="0058573B">
      <w:headerReference w:type="even"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3B" w:rsidRDefault="0058573B" w:rsidP="0058573B">
      <w:r>
        <w:separator/>
      </w:r>
    </w:p>
  </w:endnote>
  <w:endnote w:type="continuationSeparator" w:id="0">
    <w:p w:rsidR="0058573B" w:rsidRDefault="0058573B" w:rsidP="00585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3B" w:rsidRDefault="0058573B" w:rsidP="0058573B">
      <w:r>
        <w:separator/>
      </w:r>
    </w:p>
  </w:footnote>
  <w:footnote w:type="continuationSeparator" w:id="0">
    <w:p w:rsidR="0058573B" w:rsidRDefault="0058573B" w:rsidP="00585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3B" w:rsidRDefault="0058573B">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1" o:spid="_x0000_s3074" type="#_x0000_t75" style="position:absolute;left:0;text-align:left;margin-left:0;margin-top:0;width:414.85pt;height:586.8pt;z-index:-251657216;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3B" w:rsidRDefault="0058573B">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0" o:spid="_x0000_s3073" type="#_x0000_t75" style="position:absolute;left:0;text-align:left;margin-left:0;margin-top:0;width:414.85pt;height:586.8pt;z-index:-251658240;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547"/>
    <w:rsid w:val="0000141B"/>
    <w:rsid w:val="0000479C"/>
    <w:rsid w:val="000113BF"/>
    <w:rsid w:val="00017D11"/>
    <w:rsid w:val="00040E07"/>
    <w:rsid w:val="00076DFA"/>
    <w:rsid w:val="000A0A03"/>
    <w:rsid w:val="000C1A0F"/>
    <w:rsid w:val="000D03A0"/>
    <w:rsid w:val="000E14AB"/>
    <w:rsid w:val="000F0DAF"/>
    <w:rsid w:val="00102121"/>
    <w:rsid w:val="00120BBB"/>
    <w:rsid w:val="00121FC9"/>
    <w:rsid w:val="00153F4B"/>
    <w:rsid w:val="00160BD0"/>
    <w:rsid w:val="00165978"/>
    <w:rsid w:val="00176A0D"/>
    <w:rsid w:val="001C1D1A"/>
    <w:rsid w:val="002114F6"/>
    <w:rsid w:val="002124DD"/>
    <w:rsid w:val="00227869"/>
    <w:rsid w:val="0026317F"/>
    <w:rsid w:val="00263FE0"/>
    <w:rsid w:val="002703F0"/>
    <w:rsid w:val="00271CFE"/>
    <w:rsid w:val="00272B1F"/>
    <w:rsid w:val="00283DF1"/>
    <w:rsid w:val="00286189"/>
    <w:rsid w:val="00287AD1"/>
    <w:rsid w:val="002C1BC8"/>
    <w:rsid w:val="003251EC"/>
    <w:rsid w:val="00326A11"/>
    <w:rsid w:val="00333030"/>
    <w:rsid w:val="00346369"/>
    <w:rsid w:val="0037050A"/>
    <w:rsid w:val="00370B87"/>
    <w:rsid w:val="003833E5"/>
    <w:rsid w:val="003F75C2"/>
    <w:rsid w:val="00403620"/>
    <w:rsid w:val="00403A34"/>
    <w:rsid w:val="00404BDF"/>
    <w:rsid w:val="00424424"/>
    <w:rsid w:val="00424EA4"/>
    <w:rsid w:val="0044040B"/>
    <w:rsid w:val="0044440C"/>
    <w:rsid w:val="00447A97"/>
    <w:rsid w:val="00457699"/>
    <w:rsid w:val="00463D2D"/>
    <w:rsid w:val="0049485A"/>
    <w:rsid w:val="004A1BDC"/>
    <w:rsid w:val="004D1388"/>
    <w:rsid w:val="004E4BAC"/>
    <w:rsid w:val="0050178A"/>
    <w:rsid w:val="005054FC"/>
    <w:rsid w:val="00552703"/>
    <w:rsid w:val="005636E5"/>
    <w:rsid w:val="00563AFD"/>
    <w:rsid w:val="00580C20"/>
    <w:rsid w:val="00583CFA"/>
    <w:rsid w:val="00584914"/>
    <w:rsid w:val="0058573B"/>
    <w:rsid w:val="00586D33"/>
    <w:rsid w:val="005B129C"/>
    <w:rsid w:val="005B565E"/>
    <w:rsid w:val="005E1B77"/>
    <w:rsid w:val="006059F2"/>
    <w:rsid w:val="00605E23"/>
    <w:rsid w:val="0060748C"/>
    <w:rsid w:val="00623694"/>
    <w:rsid w:val="006320BD"/>
    <w:rsid w:val="006561B3"/>
    <w:rsid w:val="00681F3E"/>
    <w:rsid w:val="006933FC"/>
    <w:rsid w:val="006A3EF4"/>
    <w:rsid w:val="006D6A49"/>
    <w:rsid w:val="006F6B31"/>
    <w:rsid w:val="007026DC"/>
    <w:rsid w:val="0070723E"/>
    <w:rsid w:val="00707AA0"/>
    <w:rsid w:val="0073559C"/>
    <w:rsid w:val="00747A0D"/>
    <w:rsid w:val="00766150"/>
    <w:rsid w:val="00784A94"/>
    <w:rsid w:val="007869FC"/>
    <w:rsid w:val="0079217A"/>
    <w:rsid w:val="007A0281"/>
    <w:rsid w:val="007C6C70"/>
    <w:rsid w:val="007E6756"/>
    <w:rsid w:val="007F0875"/>
    <w:rsid w:val="007F6547"/>
    <w:rsid w:val="008062A1"/>
    <w:rsid w:val="0081341E"/>
    <w:rsid w:val="00834524"/>
    <w:rsid w:val="00835073"/>
    <w:rsid w:val="00854584"/>
    <w:rsid w:val="00855967"/>
    <w:rsid w:val="00856849"/>
    <w:rsid w:val="00870062"/>
    <w:rsid w:val="0088192B"/>
    <w:rsid w:val="008E6764"/>
    <w:rsid w:val="00911CCC"/>
    <w:rsid w:val="009266E0"/>
    <w:rsid w:val="00936DF0"/>
    <w:rsid w:val="00940AD7"/>
    <w:rsid w:val="00951AA3"/>
    <w:rsid w:val="009551F3"/>
    <w:rsid w:val="00962FF6"/>
    <w:rsid w:val="00985DB5"/>
    <w:rsid w:val="00995A95"/>
    <w:rsid w:val="009C7319"/>
    <w:rsid w:val="009E6C59"/>
    <w:rsid w:val="009E7D39"/>
    <w:rsid w:val="009F6754"/>
    <w:rsid w:val="00A128F8"/>
    <w:rsid w:val="00A1332A"/>
    <w:rsid w:val="00A35374"/>
    <w:rsid w:val="00A71E50"/>
    <w:rsid w:val="00A82A3B"/>
    <w:rsid w:val="00A90118"/>
    <w:rsid w:val="00A97D2E"/>
    <w:rsid w:val="00AA23BA"/>
    <w:rsid w:val="00AB0B93"/>
    <w:rsid w:val="00AE386C"/>
    <w:rsid w:val="00B05E10"/>
    <w:rsid w:val="00B1707D"/>
    <w:rsid w:val="00B24578"/>
    <w:rsid w:val="00BA2078"/>
    <w:rsid w:val="00BB33D1"/>
    <w:rsid w:val="00BB3B1C"/>
    <w:rsid w:val="00BD6080"/>
    <w:rsid w:val="00BF5DF4"/>
    <w:rsid w:val="00BF5EB9"/>
    <w:rsid w:val="00C14D58"/>
    <w:rsid w:val="00C15CEB"/>
    <w:rsid w:val="00C31673"/>
    <w:rsid w:val="00C33578"/>
    <w:rsid w:val="00C41ACC"/>
    <w:rsid w:val="00C75DAC"/>
    <w:rsid w:val="00C8493E"/>
    <w:rsid w:val="00CA7360"/>
    <w:rsid w:val="00CD0D9C"/>
    <w:rsid w:val="00CD3EDB"/>
    <w:rsid w:val="00CD4862"/>
    <w:rsid w:val="00CE62C3"/>
    <w:rsid w:val="00CF0520"/>
    <w:rsid w:val="00CF2CC8"/>
    <w:rsid w:val="00D00F0A"/>
    <w:rsid w:val="00D214D4"/>
    <w:rsid w:val="00D330AC"/>
    <w:rsid w:val="00D45F6C"/>
    <w:rsid w:val="00D7280F"/>
    <w:rsid w:val="00D733DA"/>
    <w:rsid w:val="00D76648"/>
    <w:rsid w:val="00D7719D"/>
    <w:rsid w:val="00D80E16"/>
    <w:rsid w:val="00D82A91"/>
    <w:rsid w:val="00D96227"/>
    <w:rsid w:val="00E04685"/>
    <w:rsid w:val="00E04BFD"/>
    <w:rsid w:val="00E10AE9"/>
    <w:rsid w:val="00E54289"/>
    <w:rsid w:val="00E76EA7"/>
    <w:rsid w:val="00E7773E"/>
    <w:rsid w:val="00E85B05"/>
    <w:rsid w:val="00E913E6"/>
    <w:rsid w:val="00E922C7"/>
    <w:rsid w:val="00ED6F9E"/>
    <w:rsid w:val="00EE5529"/>
    <w:rsid w:val="00EF76A5"/>
    <w:rsid w:val="00F0749F"/>
    <w:rsid w:val="00F371BD"/>
    <w:rsid w:val="00F555E4"/>
    <w:rsid w:val="00F576F7"/>
    <w:rsid w:val="00F6139D"/>
    <w:rsid w:val="00F65254"/>
    <w:rsid w:val="00F660CA"/>
    <w:rsid w:val="00F84604"/>
    <w:rsid w:val="00F97F47"/>
    <w:rsid w:val="00FB63DC"/>
    <w:rsid w:val="00FC080E"/>
    <w:rsid w:val="00FD54CD"/>
    <w:rsid w:val="00FE271D"/>
    <w:rsid w:val="03EF1144"/>
    <w:rsid w:val="0CB90340"/>
    <w:rsid w:val="15504124"/>
    <w:rsid w:val="274D1747"/>
    <w:rsid w:val="33EF2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8573B"/>
    <w:pPr>
      <w:jc w:val="left"/>
    </w:pPr>
  </w:style>
  <w:style w:type="paragraph" w:styleId="a4">
    <w:name w:val="Balloon Text"/>
    <w:basedOn w:val="a"/>
    <w:link w:val="Char0"/>
    <w:uiPriority w:val="99"/>
    <w:semiHidden/>
    <w:unhideWhenUsed/>
    <w:rsid w:val="0058573B"/>
    <w:rPr>
      <w:sz w:val="18"/>
      <w:szCs w:val="18"/>
    </w:rPr>
  </w:style>
  <w:style w:type="paragraph" w:styleId="a5">
    <w:name w:val="footer"/>
    <w:basedOn w:val="a"/>
    <w:link w:val="Char1"/>
    <w:uiPriority w:val="99"/>
    <w:unhideWhenUsed/>
    <w:qFormat/>
    <w:rsid w:val="0058573B"/>
    <w:pPr>
      <w:tabs>
        <w:tab w:val="center" w:pos="4153"/>
        <w:tab w:val="right" w:pos="8306"/>
      </w:tabs>
      <w:snapToGrid w:val="0"/>
      <w:jc w:val="left"/>
    </w:pPr>
    <w:rPr>
      <w:sz w:val="18"/>
      <w:szCs w:val="18"/>
    </w:rPr>
  </w:style>
  <w:style w:type="paragraph" w:styleId="a6">
    <w:name w:val="header"/>
    <w:basedOn w:val="a"/>
    <w:link w:val="Char2"/>
    <w:uiPriority w:val="99"/>
    <w:unhideWhenUsed/>
    <w:rsid w:val="0058573B"/>
    <w:pPr>
      <w:tabs>
        <w:tab w:val="center" w:pos="4153"/>
        <w:tab w:val="right" w:pos="8306"/>
      </w:tabs>
      <w:snapToGrid w:val="0"/>
      <w:jc w:val="center"/>
    </w:pPr>
    <w:rPr>
      <w:sz w:val="18"/>
      <w:szCs w:val="18"/>
    </w:rPr>
  </w:style>
  <w:style w:type="paragraph" w:styleId="a7">
    <w:name w:val="Subtitle"/>
    <w:basedOn w:val="a"/>
    <w:next w:val="a"/>
    <w:link w:val="Char3"/>
    <w:uiPriority w:val="11"/>
    <w:qFormat/>
    <w:rsid w:val="0058573B"/>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annotation subject"/>
    <w:basedOn w:val="a3"/>
    <w:next w:val="a3"/>
    <w:link w:val="Char4"/>
    <w:uiPriority w:val="99"/>
    <w:semiHidden/>
    <w:unhideWhenUsed/>
    <w:rsid w:val="0058573B"/>
    <w:rPr>
      <w:b/>
      <w:bCs/>
    </w:rPr>
  </w:style>
  <w:style w:type="table" w:styleId="a9">
    <w:name w:val="Table Grid"/>
    <w:basedOn w:val="a1"/>
    <w:uiPriority w:val="59"/>
    <w:qFormat/>
    <w:rsid w:val="0058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58573B"/>
    <w:rPr>
      <w:color w:val="0000FF" w:themeColor="hyperlink"/>
      <w:u w:val="single"/>
    </w:rPr>
  </w:style>
  <w:style w:type="character" w:styleId="ab">
    <w:name w:val="annotation reference"/>
    <w:basedOn w:val="a0"/>
    <w:uiPriority w:val="99"/>
    <w:semiHidden/>
    <w:unhideWhenUsed/>
    <w:qFormat/>
    <w:rsid w:val="0058573B"/>
    <w:rPr>
      <w:sz w:val="21"/>
      <w:szCs w:val="21"/>
    </w:rPr>
  </w:style>
  <w:style w:type="character" w:customStyle="1" w:styleId="Char2">
    <w:name w:val="页眉 Char"/>
    <w:basedOn w:val="a0"/>
    <w:link w:val="a6"/>
    <w:uiPriority w:val="99"/>
    <w:rsid w:val="0058573B"/>
    <w:rPr>
      <w:sz w:val="18"/>
      <w:szCs w:val="18"/>
    </w:rPr>
  </w:style>
  <w:style w:type="character" w:customStyle="1" w:styleId="Char1">
    <w:name w:val="页脚 Char"/>
    <w:basedOn w:val="a0"/>
    <w:link w:val="a5"/>
    <w:uiPriority w:val="99"/>
    <w:qFormat/>
    <w:rsid w:val="0058573B"/>
    <w:rPr>
      <w:sz w:val="18"/>
      <w:szCs w:val="18"/>
    </w:rPr>
  </w:style>
  <w:style w:type="character" w:customStyle="1" w:styleId="Char3">
    <w:name w:val="副标题 Char"/>
    <w:basedOn w:val="a0"/>
    <w:link w:val="a7"/>
    <w:uiPriority w:val="11"/>
    <w:qFormat/>
    <w:rsid w:val="0058573B"/>
    <w:rPr>
      <w:rFonts w:asciiTheme="majorHAnsi" w:eastAsia="宋体" w:hAnsiTheme="majorHAnsi" w:cstheme="majorBidi"/>
      <w:b/>
      <w:bCs/>
      <w:kern w:val="28"/>
      <w:sz w:val="32"/>
      <w:szCs w:val="32"/>
    </w:rPr>
  </w:style>
  <w:style w:type="paragraph" w:customStyle="1" w:styleId="Default">
    <w:name w:val="Default"/>
    <w:qFormat/>
    <w:rsid w:val="0058573B"/>
    <w:pPr>
      <w:widowControl w:val="0"/>
      <w:autoSpaceDE w:val="0"/>
      <w:autoSpaceDN w:val="0"/>
      <w:adjustRightInd w:val="0"/>
    </w:pPr>
    <w:rPr>
      <w:rFonts w:ascii="宋体" w:eastAsia="宋体" w:cs="宋体"/>
      <w:color w:val="000000"/>
      <w:sz w:val="24"/>
      <w:szCs w:val="24"/>
    </w:rPr>
  </w:style>
  <w:style w:type="character" w:customStyle="1" w:styleId="Char0">
    <w:name w:val="批注框文本 Char"/>
    <w:basedOn w:val="a0"/>
    <w:link w:val="a4"/>
    <w:uiPriority w:val="99"/>
    <w:semiHidden/>
    <w:qFormat/>
    <w:rsid w:val="0058573B"/>
    <w:rPr>
      <w:sz w:val="18"/>
      <w:szCs w:val="18"/>
    </w:rPr>
  </w:style>
  <w:style w:type="paragraph" w:styleId="ac">
    <w:name w:val="List Paragraph"/>
    <w:basedOn w:val="a"/>
    <w:uiPriority w:val="34"/>
    <w:qFormat/>
    <w:rsid w:val="0058573B"/>
    <w:pPr>
      <w:ind w:firstLineChars="200" w:firstLine="420"/>
    </w:pPr>
  </w:style>
  <w:style w:type="character" w:customStyle="1" w:styleId="Char">
    <w:name w:val="批注文字 Char"/>
    <w:basedOn w:val="a0"/>
    <w:link w:val="a3"/>
    <w:uiPriority w:val="99"/>
    <w:semiHidden/>
    <w:qFormat/>
    <w:rsid w:val="0058573B"/>
  </w:style>
  <w:style w:type="character" w:customStyle="1" w:styleId="Char4">
    <w:name w:val="批注主题 Char"/>
    <w:basedOn w:val="Char"/>
    <w:link w:val="a8"/>
    <w:uiPriority w:val="99"/>
    <w:semiHidden/>
    <w:qFormat/>
    <w:rsid w:val="0058573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E15AF-6757-4800-B14D-5AD360C7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4</DocSecurity>
  <Lines>23</Lines>
  <Paragraphs>6</Paragraphs>
  <ScaleCrop>false</ScaleCrop>
  <Company>CNSTOCK</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jiangsonghan</dc:creator>
  <cp:lastModifiedBy>ZHONGM</cp:lastModifiedBy>
  <cp:revision>2</cp:revision>
  <cp:lastPrinted>2019-07-18T05:53:00Z</cp:lastPrinted>
  <dcterms:created xsi:type="dcterms:W3CDTF">2020-07-21T16:02:00Z</dcterms:created>
  <dcterms:modified xsi:type="dcterms:W3CDTF">2020-07-21T16:02:00Z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