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E18ED" w:rsidRDefault="003E5CB0" w:rsidP="00110A7D">
      <w:pPr>
        <w:tabs>
          <w:tab w:val="left" w:pos="10440"/>
        </w:tabs>
        <w:jc w:val="center"/>
        <w:rPr>
          <w:b/>
          <w:bCs/>
          <w:color w:val="000000"/>
          <w:sz w:val="24"/>
        </w:rPr>
      </w:pPr>
      <w:r w:rsidRPr="00E92EA5">
        <w:rPr>
          <w:rFonts w:hAnsi="宋体" w:hint="eastAsia"/>
          <w:b/>
          <w:bCs/>
          <w:color w:val="000000"/>
          <w:sz w:val="24"/>
        </w:rPr>
        <w:t>华夏</w:t>
      </w:r>
      <w:r w:rsidRPr="00C15F24">
        <w:rPr>
          <w:b/>
          <w:bCs/>
          <w:color w:val="000000"/>
          <w:sz w:val="24"/>
        </w:rPr>
        <w:t>基金管理有限公司关于旗下基金</w:t>
      </w:r>
      <w:r w:rsidR="00AE0CF0">
        <w:rPr>
          <w:rFonts w:hint="eastAsia"/>
          <w:b/>
          <w:bCs/>
          <w:color w:val="000000"/>
          <w:sz w:val="24"/>
        </w:rPr>
        <w:t>投资</w:t>
      </w:r>
      <w:r>
        <w:rPr>
          <w:rFonts w:hAnsi="宋体" w:hint="eastAsia"/>
          <w:b/>
          <w:bCs/>
          <w:sz w:val="24"/>
        </w:rPr>
        <w:t>关联方承销证</w:t>
      </w:r>
      <w:r w:rsidRPr="00C23F15">
        <w:rPr>
          <w:rFonts w:hAnsi="宋体" w:hint="eastAsia"/>
          <w:b/>
          <w:bCs/>
          <w:sz w:val="24"/>
        </w:rPr>
        <w:t>券</w:t>
      </w:r>
      <w:r w:rsidRPr="008D7643">
        <w:rPr>
          <w:b/>
          <w:bCs/>
          <w:color w:val="000000"/>
          <w:sz w:val="24"/>
        </w:rPr>
        <w:t>的公告</w:t>
      </w:r>
    </w:p>
    <w:p w:rsidR="00624130" w:rsidRPr="00BE18ED" w:rsidRDefault="00624130" w:rsidP="00590E64">
      <w:pPr>
        <w:tabs>
          <w:tab w:val="left" w:pos="10440"/>
        </w:tabs>
        <w:spacing w:line="360" w:lineRule="auto"/>
        <w:ind w:firstLineChars="200" w:firstLine="482"/>
        <w:jc w:val="center"/>
        <w:rPr>
          <w:b/>
          <w:bCs/>
          <w:color w:val="000000"/>
          <w:sz w:val="24"/>
        </w:rPr>
      </w:pPr>
    </w:p>
    <w:p w:rsidR="00C1549A" w:rsidRPr="00A72139" w:rsidRDefault="003E5CB0" w:rsidP="00355496">
      <w:pPr>
        <w:pStyle w:val="Default"/>
        <w:spacing w:line="360" w:lineRule="auto"/>
        <w:ind w:firstLineChars="200" w:firstLine="480"/>
        <w:rPr>
          <w:rFonts w:ascii="Times New Roman" w:eastAsiaTheme="minorEastAsia" w:cs="Times New Roman"/>
          <w:color w:val="auto"/>
          <w:kern w:val="2"/>
        </w:rPr>
      </w:pPr>
      <w:r w:rsidRPr="00A72139">
        <w:rPr>
          <w:rFonts w:ascii="Times New Roman" w:eastAsiaTheme="minorEastAsia" w:hAnsiTheme="minorEastAsia" w:cs="Times New Roman"/>
          <w:color w:val="auto"/>
          <w:kern w:val="2"/>
        </w:rPr>
        <w:t>根据</w:t>
      </w:r>
      <w:r w:rsidR="0091596C" w:rsidRPr="00A72139">
        <w:rPr>
          <w:rFonts w:ascii="Times New Roman" w:eastAsiaTheme="minorEastAsia" w:hAnsiTheme="minorEastAsia" w:cs="Times New Roman"/>
          <w:color w:val="auto"/>
          <w:kern w:val="2"/>
        </w:rPr>
        <w:t>《公开募集证券投资基金运作管理办法》、《公开募集证券投资基金信息披露管理办法》</w:t>
      </w:r>
      <w:r w:rsidR="000776E5" w:rsidRPr="00A72139">
        <w:rPr>
          <w:rFonts w:ascii="Times New Roman" w:eastAsiaTheme="minorEastAsia" w:hAnsiTheme="minorEastAsia" w:cs="Times New Roman"/>
          <w:color w:val="auto"/>
          <w:kern w:val="2"/>
        </w:rPr>
        <w:t>及基金合同</w:t>
      </w:r>
      <w:r w:rsidRPr="00A72139">
        <w:rPr>
          <w:rFonts w:ascii="Times New Roman" w:eastAsiaTheme="minorEastAsia" w:hAnsiTheme="minorEastAsia" w:cs="Times New Roman"/>
          <w:color w:val="auto"/>
          <w:kern w:val="2"/>
        </w:rPr>
        <w:t>等规定，华夏基金管理有限公司</w:t>
      </w:r>
      <w:r w:rsidR="00215194" w:rsidRPr="00A72139">
        <w:rPr>
          <w:rFonts w:ascii="Times New Roman" w:eastAsiaTheme="minorEastAsia" w:hAnsiTheme="minorEastAsia" w:cs="Times New Roman"/>
          <w:color w:val="auto"/>
          <w:kern w:val="2"/>
        </w:rPr>
        <w:t>（以下简</w:t>
      </w:r>
      <w:r w:rsidR="00215194" w:rsidRPr="00A72139">
        <w:rPr>
          <w:rFonts w:asciiTheme="minorEastAsia" w:eastAsiaTheme="minorEastAsia" w:hAnsiTheme="minorEastAsia" w:cs="Times New Roman"/>
          <w:color w:val="auto"/>
          <w:kern w:val="2"/>
        </w:rPr>
        <w:t>称“本公司”</w:t>
      </w:r>
      <w:r w:rsidR="00215194" w:rsidRPr="00A72139">
        <w:rPr>
          <w:rFonts w:ascii="Times New Roman" w:eastAsiaTheme="minorEastAsia" w:hAnsiTheme="minorEastAsia" w:cs="Times New Roman"/>
          <w:color w:val="auto"/>
          <w:kern w:val="2"/>
        </w:rPr>
        <w:t>）</w:t>
      </w:r>
      <w:r w:rsidR="00D75C51" w:rsidRPr="00A72139">
        <w:rPr>
          <w:rFonts w:ascii="Times New Roman" w:eastAsiaTheme="minorEastAsia" w:hAnsiTheme="minorEastAsia" w:cs="Times New Roman"/>
          <w:color w:val="auto"/>
          <w:kern w:val="2"/>
        </w:rPr>
        <w:t>旗下</w:t>
      </w:r>
      <w:r w:rsidR="004B20FE" w:rsidRPr="00A72139">
        <w:rPr>
          <w:rFonts w:ascii="Times New Roman" w:eastAsiaTheme="minorEastAsia" w:hAnsiTheme="minorEastAsia" w:cs="Times New Roman"/>
          <w:color w:val="auto"/>
          <w:kern w:val="2"/>
        </w:rPr>
        <w:t>部分</w:t>
      </w:r>
      <w:r w:rsidR="00355496" w:rsidRPr="00A72139">
        <w:rPr>
          <w:rFonts w:ascii="Times New Roman" w:eastAsiaTheme="minorEastAsia" w:hAnsiTheme="minorEastAsia" w:cs="Times New Roman"/>
        </w:rPr>
        <w:t>公募</w:t>
      </w:r>
      <w:r w:rsidR="006C4B05" w:rsidRPr="00A72139">
        <w:rPr>
          <w:rFonts w:ascii="Times New Roman" w:eastAsiaTheme="minorEastAsia" w:hAnsiTheme="minorEastAsia" w:cs="Times New Roman"/>
        </w:rPr>
        <w:t>基金</w:t>
      </w:r>
      <w:r w:rsidR="0091596C" w:rsidRPr="00A72139">
        <w:rPr>
          <w:rFonts w:ascii="Times New Roman" w:eastAsiaTheme="minorEastAsia" w:hAnsiTheme="minorEastAsia" w:cs="Times New Roman"/>
          <w:color w:val="auto"/>
          <w:kern w:val="2"/>
        </w:rPr>
        <w:t>参加了</w:t>
      </w:r>
      <w:r w:rsidR="00355496" w:rsidRPr="00A72139">
        <w:rPr>
          <w:rFonts w:ascii="Times New Roman" w:eastAsiaTheme="minorEastAsia" w:hAnsiTheme="minorEastAsia" w:cs="Times New Roman"/>
        </w:rPr>
        <w:t>招商证券股份有限公司</w:t>
      </w:r>
      <w:r w:rsidR="0091596C" w:rsidRPr="00A72139">
        <w:rPr>
          <w:rFonts w:ascii="Times New Roman" w:eastAsiaTheme="minorEastAsia" w:hAnsiTheme="minorEastAsia" w:cs="Times New Roman"/>
          <w:color w:val="auto"/>
          <w:kern w:val="2"/>
        </w:rPr>
        <w:t>（以下简称</w:t>
      </w:r>
      <w:r w:rsidR="0091596C" w:rsidRPr="00A72139">
        <w:rPr>
          <w:rFonts w:asciiTheme="minorEastAsia" w:eastAsiaTheme="minorEastAsia" w:hAnsiTheme="minorEastAsia" w:cs="Times New Roman"/>
          <w:color w:val="auto"/>
          <w:kern w:val="2"/>
        </w:rPr>
        <w:t>“</w:t>
      </w:r>
      <w:r w:rsidR="00355496" w:rsidRPr="00A72139">
        <w:rPr>
          <w:rFonts w:asciiTheme="minorEastAsia" w:eastAsiaTheme="minorEastAsia" w:hAnsiTheme="minorEastAsia" w:cs="Times New Roman"/>
          <w:color w:val="auto"/>
          <w:kern w:val="2"/>
        </w:rPr>
        <w:t>招商证券</w:t>
      </w:r>
      <w:r w:rsidR="0091596C" w:rsidRPr="00A72139">
        <w:rPr>
          <w:rFonts w:asciiTheme="minorEastAsia" w:eastAsiaTheme="minorEastAsia" w:hAnsiTheme="minorEastAsia" w:cs="Times New Roman"/>
          <w:color w:val="auto"/>
          <w:kern w:val="2"/>
        </w:rPr>
        <w:t>”</w:t>
      </w:r>
      <w:r w:rsidR="00D75C51" w:rsidRPr="00A72139">
        <w:rPr>
          <w:rFonts w:asciiTheme="minorEastAsia" w:eastAsiaTheme="minorEastAsia" w:hAnsiTheme="minorEastAsia" w:cs="Times New Roman"/>
          <w:color w:val="auto"/>
          <w:kern w:val="2"/>
        </w:rPr>
        <w:t>或“上市公司”</w:t>
      </w:r>
      <w:r w:rsidR="0091596C" w:rsidRPr="00A72139">
        <w:rPr>
          <w:rFonts w:asciiTheme="minorEastAsia" w:eastAsiaTheme="minorEastAsia" w:hAnsiTheme="minorEastAsia" w:cs="Times New Roman"/>
          <w:color w:val="auto"/>
          <w:kern w:val="2"/>
        </w:rPr>
        <w:t>）</w:t>
      </w:r>
      <w:r w:rsidR="0091596C" w:rsidRPr="00CB3729">
        <w:rPr>
          <w:rFonts w:ascii="Times New Roman" w:eastAsiaTheme="minorEastAsia" w:cs="Times New Roman"/>
          <w:color w:val="auto"/>
          <w:kern w:val="2"/>
        </w:rPr>
        <w:t>A</w:t>
      </w:r>
      <w:r w:rsidR="0091596C" w:rsidRPr="00A72139">
        <w:rPr>
          <w:rFonts w:asciiTheme="minorEastAsia" w:eastAsiaTheme="minorEastAsia" w:hAnsiTheme="minorEastAsia" w:cs="Times New Roman"/>
          <w:color w:val="auto"/>
          <w:kern w:val="2"/>
        </w:rPr>
        <w:t>股</w:t>
      </w:r>
      <w:r w:rsidR="0091596C" w:rsidRPr="00A72139">
        <w:rPr>
          <w:rFonts w:ascii="Times New Roman" w:eastAsiaTheme="minorEastAsia" w:hAnsiTheme="minorEastAsia" w:cs="Times New Roman"/>
          <w:color w:val="auto"/>
          <w:kern w:val="2"/>
        </w:rPr>
        <w:t>配股发行，</w:t>
      </w:r>
      <w:r w:rsidR="003E7CDD" w:rsidRPr="00A72139">
        <w:rPr>
          <w:rFonts w:ascii="Times New Roman" w:eastAsiaTheme="minorEastAsia" w:hAnsiTheme="minorEastAsia" w:cs="Times New Roman"/>
          <w:color w:val="auto"/>
          <w:kern w:val="2"/>
        </w:rPr>
        <w:t>本</w:t>
      </w:r>
      <w:r w:rsidR="0091596C" w:rsidRPr="00A72139">
        <w:rPr>
          <w:rFonts w:ascii="Times New Roman" w:eastAsiaTheme="minorEastAsia" w:hAnsiTheme="minorEastAsia" w:cs="Times New Roman"/>
          <w:color w:val="auto"/>
          <w:kern w:val="2"/>
        </w:rPr>
        <w:t>公司控股股东中信证券</w:t>
      </w:r>
      <w:r w:rsidR="00244DA0" w:rsidRPr="00A72139">
        <w:rPr>
          <w:rFonts w:ascii="Times New Roman" w:eastAsiaTheme="minorEastAsia" w:hAnsiTheme="minorEastAsia" w:cs="Times New Roman"/>
          <w:color w:val="auto"/>
          <w:kern w:val="2"/>
        </w:rPr>
        <w:t>股份有限公司</w:t>
      </w:r>
      <w:r w:rsidR="0091596C" w:rsidRPr="00A72139">
        <w:rPr>
          <w:rFonts w:ascii="Times New Roman" w:eastAsiaTheme="minorEastAsia" w:hAnsiTheme="minorEastAsia" w:cs="Times New Roman"/>
          <w:color w:val="auto"/>
          <w:kern w:val="2"/>
        </w:rPr>
        <w:t>为</w:t>
      </w:r>
      <w:r w:rsidR="00355496" w:rsidRPr="00A72139">
        <w:rPr>
          <w:rFonts w:ascii="Times New Roman" w:eastAsiaTheme="minorEastAsia" w:hAnsiTheme="minorEastAsia" w:cs="Times New Roman"/>
          <w:color w:val="auto"/>
          <w:kern w:val="2"/>
        </w:rPr>
        <w:t>招商证券</w:t>
      </w:r>
      <w:r w:rsidR="0091596C" w:rsidRPr="00A72139">
        <w:rPr>
          <w:rFonts w:ascii="Times New Roman" w:eastAsiaTheme="minorEastAsia" w:hAnsiTheme="minorEastAsia" w:cs="Times New Roman"/>
          <w:color w:val="auto"/>
          <w:kern w:val="2"/>
        </w:rPr>
        <w:t>本次</w:t>
      </w:r>
      <w:r w:rsidR="00793C57" w:rsidRPr="00CB3729">
        <w:rPr>
          <w:rFonts w:ascii="Times New Roman" w:eastAsiaTheme="minorEastAsia" w:cs="Times New Roman"/>
          <w:color w:val="auto"/>
          <w:kern w:val="2"/>
        </w:rPr>
        <w:t>A</w:t>
      </w:r>
      <w:r w:rsidR="00793C57" w:rsidRPr="00A72139">
        <w:rPr>
          <w:rFonts w:asciiTheme="minorEastAsia" w:eastAsiaTheme="minorEastAsia" w:hAnsiTheme="minorEastAsia" w:cs="Times New Roman"/>
          <w:color w:val="auto"/>
          <w:kern w:val="2"/>
        </w:rPr>
        <w:t>股</w:t>
      </w:r>
      <w:r w:rsidR="0091596C" w:rsidRPr="00A72139">
        <w:rPr>
          <w:rFonts w:ascii="Times New Roman" w:eastAsiaTheme="minorEastAsia" w:hAnsiTheme="minorEastAsia" w:cs="Times New Roman"/>
          <w:color w:val="auto"/>
          <w:kern w:val="2"/>
        </w:rPr>
        <w:t>配股发行的保荐机构</w:t>
      </w:r>
      <w:r w:rsidR="00B5314F" w:rsidRPr="00A72139">
        <w:rPr>
          <w:rFonts w:ascii="Times New Roman" w:eastAsiaTheme="minorEastAsia" w:hAnsiTheme="minorEastAsia" w:cs="Times New Roman"/>
          <w:color w:val="auto"/>
          <w:kern w:val="2"/>
        </w:rPr>
        <w:t>（主承销商）</w:t>
      </w:r>
      <w:r w:rsidR="0091596C" w:rsidRPr="00A72139">
        <w:rPr>
          <w:rFonts w:ascii="Times New Roman" w:eastAsiaTheme="minorEastAsia" w:hAnsiTheme="minorEastAsia" w:cs="Times New Roman"/>
          <w:color w:val="auto"/>
          <w:kern w:val="2"/>
        </w:rPr>
        <w:t>。</w:t>
      </w:r>
      <w:r w:rsidR="00355496" w:rsidRPr="00A72139">
        <w:rPr>
          <w:rFonts w:ascii="Times New Roman" w:eastAsiaTheme="minorEastAsia" w:hAnsiTheme="minorEastAsia" w:cs="Times New Roman"/>
          <w:color w:val="auto"/>
          <w:kern w:val="2"/>
        </w:rPr>
        <w:t>招商证券</w:t>
      </w:r>
      <w:r w:rsidR="00D75C51" w:rsidRPr="00A72139">
        <w:rPr>
          <w:rFonts w:ascii="Times New Roman" w:eastAsiaTheme="minorEastAsia" w:hAnsiTheme="minorEastAsia" w:cs="Times New Roman"/>
          <w:color w:val="auto"/>
          <w:kern w:val="2"/>
        </w:rPr>
        <w:t>本次</w:t>
      </w:r>
      <w:r w:rsidR="00793C57" w:rsidRPr="00CB3729">
        <w:rPr>
          <w:rFonts w:ascii="Times New Roman" w:eastAsiaTheme="minorEastAsia" w:cs="Times New Roman"/>
          <w:color w:val="auto"/>
          <w:kern w:val="2"/>
        </w:rPr>
        <w:t>A</w:t>
      </w:r>
      <w:r w:rsidR="00793C57" w:rsidRPr="00A72139">
        <w:rPr>
          <w:rFonts w:asciiTheme="minorEastAsia" w:eastAsiaTheme="minorEastAsia" w:hAnsiTheme="minorEastAsia" w:cs="Times New Roman"/>
          <w:color w:val="auto"/>
          <w:kern w:val="2"/>
        </w:rPr>
        <w:t>股</w:t>
      </w:r>
      <w:r w:rsidR="00D75C51" w:rsidRPr="00A72139">
        <w:rPr>
          <w:rFonts w:ascii="Times New Roman" w:eastAsiaTheme="minorEastAsia" w:hAnsiTheme="minorEastAsia" w:cs="Times New Roman"/>
          <w:color w:val="auto"/>
          <w:kern w:val="2"/>
        </w:rPr>
        <w:t>配股发行以</w:t>
      </w:r>
      <w:r w:rsidR="00D75C51" w:rsidRPr="00A72139">
        <w:rPr>
          <w:rFonts w:ascii="Times New Roman" w:eastAsiaTheme="minorEastAsia" w:cs="Times New Roman"/>
          <w:color w:val="auto"/>
          <w:kern w:val="2"/>
        </w:rPr>
        <w:t>2020</w:t>
      </w:r>
      <w:r w:rsidR="00D75C51" w:rsidRPr="00A72139">
        <w:rPr>
          <w:rFonts w:ascii="Times New Roman" w:eastAsiaTheme="minorEastAsia" w:hAnsiTheme="minorEastAsia" w:cs="Times New Roman"/>
          <w:color w:val="auto"/>
          <w:kern w:val="2"/>
        </w:rPr>
        <w:t>年</w:t>
      </w:r>
      <w:r w:rsidR="00355496" w:rsidRPr="00A72139">
        <w:rPr>
          <w:rFonts w:ascii="Times New Roman" w:eastAsiaTheme="minorEastAsia" w:cs="Times New Roman"/>
          <w:color w:val="auto"/>
          <w:kern w:val="2"/>
        </w:rPr>
        <w:t>7</w:t>
      </w:r>
      <w:r w:rsidR="00D75C51" w:rsidRPr="00A72139">
        <w:rPr>
          <w:rFonts w:ascii="Times New Roman" w:eastAsiaTheme="minorEastAsia" w:hAnsiTheme="minorEastAsia" w:cs="Times New Roman"/>
          <w:color w:val="auto"/>
          <w:kern w:val="2"/>
        </w:rPr>
        <w:t>月</w:t>
      </w:r>
      <w:r w:rsidR="00355496" w:rsidRPr="00A72139">
        <w:rPr>
          <w:rFonts w:ascii="Times New Roman" w:eastAsiaTheme="minorEastAsia" w:cs="Times New Roman"/>
          <w:color w:val="auto"/>
          <w:kern w:val="2"/>
        </w:rPr>
        <w:t>9</w:t>
      </w:r>
      <w:r w:rsidR="00D75C51" w:rsidRPr="00A72139">
        <w:rPr>
          <w:rFonts w:ascii="Times New Roman" w:eastAsiaTheme="minorEastAsia" w:hAnsiTheme="minorEastAsia" w:cs="Times New Roman"/>
          <w:color w:val="auto"/>
          <w:kern w:val="2"/>
        </w:rPr>
        <w:t>日为股权登记日，按每</w:t>
      </w:r>
      <w:r w:rsidR="00D75C51" w:rsidRPr="00A72139">
        <w:rPr>
          <w:rFonts w:ascii="Times New Roman" w:eastAsiaTheme="minorEastAsia" w:cs="Times New Roman"/>
          <w:color w:val="auto"/>
          <w:kern w:val="2"/>
        </w:rPr>
        <w:t>10</w:t>
      </w:r>
      <w:r w:rsidR="00D75C51" w:rsidRPr="00A72139">
        <w:rPr>
          <w:rFonts w:ascii="Times New Roman" w:eastAsiaTheme="minorEastAsia" w:hAnsiTheme="minorEastAsia" w:cs="Times New Roman"/>
          <w:color w:val="auto"/>
          <w:kern w:val="2"/>
        </w:rPr>
        <w:t>股配售</w:t>
      </w:r>
      <w:r w:rsidR="00E42557" w:rsidRPr="00A72139">
        <w:rPr>
          <w:rFonts w:ascii="Times New Roman" w:eastAsiaTheme="minorEastAsia" w:cs="Times New Roman"/>
          <w:color w:val="auto"/>
          <w:kern w:val="2"/>
        </w:rPr>
        <w:t>3</w:t>
      </w:r>
      <w:r w:rsidR="00D75C51" w:rsidRPr="00A72139">
        <w:rPr>
          <w:rFonts w:ascii="Times New Roman" w:eastAsiaTheme="minorEastAsia" w:hAnsiTheme="minorEastAsia" w:cs="Times New Roman"/>
          <w:color w:val="auto"/>
          <w:kern w:val="2"/>
        </w:rPr>
        <w:t>股的比例向</w:t>
      </w:r>
      <w:r w:rsidR="004B20FE" w:rsidRPr="00A72139">
        <w:rPr>
          <w:rFonts w:ascii="Times New Roman" w:eastAsiaTheme="minorEastAsia" w:hAnsiTheme="minorEastAsia" w:cs="Times New Roman"/>
          <w:color w:val="auto"/>
          <w:kern w:val="2"/>
        </w:rPr>
        <w:t>该日</w:t>
      </w:r>
      <w:r w:rsidR="00793C57" w:rsidRPr="00793C57">
        <w:rPr>
          <w:rFonts w:ascii="Times New Roman" w:eastAsiaTheme="minorEastAsia" w:hAnsiTheme="minorEastAsia" w:cs="Times New Roman"/>
          <w:color w:val="auto"/>
          <w:kern w:val="2"/>
        </w:rPr>
        <w:t>上海证</w:t>
      </w:r>
      <w:bookmarkStart w:id="0" w:name="_GoBack"/>
      <w:bookmarkEnd w:id="0"/>
      <w:r w:rsidR="00793C57" w:rsidRPr="00793C57">
        <w:rPr>
          <w:rFonts w:ascii="Times New Roman" w:eastAsiaTheme="minorEastAsia" w:hAnsiTheme="minorEastAsia" w:cs="Times New Roman"/>
          <w:color w:val="auto"/>
          <w:kern w:val="2"/>
        </w:rPr>
        <w:t>券交易所收市后</w:t>
      </w:r>
      <w:r w:rsidR="00355496" w:rsidRPr="00A72139">
        <w:rPr>
          <w:rFonts w:ascii="Times New Roman" w:eastAsiaTheme="minorEastAsia" w:hAnsiTheme="minorEastAsia" w:cs="Times New Roman"/>
          <w:color w:val="auto"/>
          <w:kern w:val="2"/>
        </w:rPr>
        <w:t>在中国证券登记结算有限责任公司上海分公司</w:t>
      </w:r>
      <w:r w:rsidR="004B20FE" w:rsidRPr="00A72139">
        <w:rPr>
          <w:rFonts w:ascii="Times New Roman" w:eastAsiaTheme="minorEastAsia" w:hAnsiTheme="minorEastAsia" w:cs="Times New Roman"/>
          <w:color w:val="auto"/>
          <w:kern w:val="2"/>
        </w:rPr>
        <w:t>登记在册的</w:t>
      </w:r>
      <w:r w:rsidR="00D75C51" w:rsidRPr="00A72139">
        <w:rPr>
          <w:rFonts w:ascii="Times New Roman" w:eastAsiaTheme="minorEastAsia" w:hAnsiTheme="minorEastAsia" w:cs="Times New Roman"/>
          <w:color w:val="auto"/>
          <w:kern w:val="2"/>
        </w:rPr>
        <w:t>全体</w:t>
      </w:r>
      <w:r w:rsidR="00355496" w:rsidRPr="00793C57">
        <w:rPr>
          <w:rFonts w:ascii="Times New Roman" w:eastAsiaTheme="minorEastAsia" w:hAnsiTheme="minorEastAsia" w:cs="Times New Roman"/>
          <w:color w:val="auto"/>
          <w:kern w:val="2"/>
        </w:rPr>
        <w:t>A</w:t>
      </w:r>
      <w:r w:rsidR="00355496" w:rsidRPr="00A72139">
        <w:rPr>
          <w:rFonts w:ascii="Times New Roman" w:eastAsiaTheme="minorEastAsia" w:hAnsiTheme="minorEastAsia" w:cs="Times New Roman"/>
          <w:color w:val="auto"/>
          <w:kern w:val="2"/>
        </w:rPr>
        <w:t>股</w:t>
      </w:r>
      <w:r w:rsidR="00D75C51" w:rsidRPr="00A72139">
        <w:rPr>
          <w:rFonts w:ascii="Times New Roman" w:eastAsiaTheme="minorEastAsia" w:hAnsiTheme="minorEastAsia" w:cs="Times New Roman"/>
          <w:color w:val="auto"/>
          <w:kern w:val="2"/>
        </w:rPr>
        <w:t>股东进行配售，本次</w:t>
      </w:r>
      <w:r w:rsidR="00793C57" w:rsidRPr="00CB3729">
        <w:rPr>
          <w:rFonts w:ascii="Times New Roman" w:eastAsiaTheme="minorEastAsia" w:cs="Times New Roman"/>
          <w:color w:val="auto"/>
          <w:kern w:val="2"/>
        </w:rPr>
        <w:t>A</w:t>
      </w:r>
      <w:r w:rsidR="00793C57" w:rsidRPr="00A72139">
        <w:rPr>
          <w:rFonts w:asciiTheme="minorEastAsia" w:eastAsiaTheme="minorEastAsia" w:hAnsiTheme="minorEastAsia" w:cs="Times New Roman"/>
          <w:color w:val="auto"/>
          <w:kern w:val="2"/>
        </w:rPr>
        <w:t>股</w:t>
      </w:r>
      <w:r w:rsidR="00D75C51" w:rsidRPr="00A72139">
        <w:rPr>
          <w:rFonts w:ascii="Times New Roman" w:eastAsiaTheme="minorEastAsia" w:hAnsiTheme="minorEastAsia" w:cs="Times New Roman"/>
          <w:color w:val="auto"/>
          <w:kern w:val="2"/>
        </w:rPr>
        <w:t>配股代码为</w:t>
      </w:r>
      <w:r w:rsidR="00D75C51" w:rsidRPr="00A72139">
        <w:rPr>
          <w:rFonts w:asciiTheme="minorEastAsia" w:eastAsiaTheme="minorEastAsia" w:hAnsiTheme="minorEastAsia" w:cs="Times New Roman"/>
          <w:color w:val="auto"/>
          <w:kern w:val="2"/>
        </w:rPr>
        <w:t>“</w:t>
      </w:r>
      <w:r w:rsidR="00355496" w:rsidRPr="00A72139">
        <w:rPr>
          <w:rFonts w:ascii="Times New Roman" w:eastAsiaTheme="minorEastAsia" w:cs="Times New Roman"/>
        </w:rPr>
        <w:t>700999</w:t>
      </w:r>
      <w:r w:rsidR="00D75C51" w:rsidRPr="00A72139">
        <w:rPr>
          <w:rFonts w:asciiTheme="minorEastAsia" w:eastAsiaTheme="minorEastAsia" w:hAnsiTheme="minorEastAsia" w:cs="Times New Roman"/>
          <w:color w:val="auto"/>
          <w:kern w:val="2"/>
        </w:rPr>
        <w:t>”</w:t>
      </w:r>
      <w:r w:rsidR="00D75C51" w:rsidRPr="00A72139">
        <w:rPr>
          <w:rFonts w:ascii="Times New Roman" w:eastAsiaTheme="minorEastAsia" w:hAnsiTheme="minorEastAsia" w:cs="Times New Roman"/>
          <w:color w:val="auto"/>
          <w:kern w:val="2"/>
        </w:rPr>
        <w:t>，配股简称为</w:t>
      </w:r>
      <w:r w:rsidR="00D75C51" w:rsidRPr="00A72139">
        <w:rPr>
          <w:rFonts w:asciiTheme="minorEastAsia" w:eastAsiaTheme="minorEastAsia" w:hAnsiTheme="minorEastAsia" w:cs="Times New Roman"/>
          <w:color w:val="auto"/>
          <w:kern w:val="2"/>
        </w:rPr>
        <w:t>“</w:t>
      </w:r>
      <w:r w:rsidR="00355496" w:rsidRPr="00A72139">
        <w:rPr>
          <w:rFonts w:asciiTheme="minorEastAsia" w:eastAsiaTheme="minorEastAsia" w:hAnsiTheme="minorEastAsia" w:cs="Times New Roman"/>
          <w:color w:val="auto"/>
          <w:kern w:val="2"/>
        </w:rPr>
        <w:t>招证配股</w:t>
      </w:r>
      <w:r w:rsidR="00D75C51" w:rsidRPr="00A72139">
        <w:rPr>
          <w:rFonts w:asciiTheme="minorEastAsia" w:eastAsiaTheme="minorEastAsia" w:hAnsiTheme="minorEastAsia" w:cs="Times New Roman"/>
          <w:color w:val="auto"/>
          <w:kern w:val="2"/>
        </w:rPr>
        <w:t>”，</w:t>
      </w:r>
      <w:r w:rsidR="00D75C51" w:rsidRPr="00A72139">
        <w:rPr>
          <w:rFonts w:ascii="Times New Roman" w:eastAsiaTheme="minorEastAsia" w:hAnsiTheme="minorEastAsia" w:cs="Times New Roman"/>
          <w:color w:val="auto"/>
          <w:kern w:val="2"/>
        </w:rPr>
        <w:t>配股价格为</w:t>
      </w:r>
      <w:r w:rsidR="00355496" w:rsidRPr="00A72139">
        <w:rPr>
          <w:rFonts w:ascii="Times New Roman" w:eastAsiaTheme="minorEastAsia" w:cs="Times New Roman"/>
        </w:rPr>
        <w:t>7.46</w:t>
      </w:r>
      <w:r w:rsidR="00D75C51" w:rsidRPr="00A72139">
        <w:rPr>
          <w:rFonts w:ascii="Times New Roman" w:eastAsiaTheme="minorEastAsia" w:hAnsiTheme="minorEastAsia" w:cs="Times New Roman"/>
          <w:color w:val="auto"/>
          <w:kern w:val="2"/>
        </w:rPr>
        <w:t>元</w:t>
      </w:r>
      <w:r w:rsidR="00D75C51" w:rsidRPr="00A72139">
        <w:rPr>
          <w:rFonts w:ascii="Times New Roman" w:eastAsiaTheme="minorEastAsia" w:cs="Times New Roman"/>
          <w:color w:val="auto"/>
          <w:kern w:val="2"/>
        </w:rPr>
        <w:t>/</w:t>
      </w:r>
      <w:r w:rsidR="00D75C51" w:rsidRPr="00A72139">
        <w:rPr>
          <w:rFonts w:ascii="Times New Roman" w:eastAsiaTheme="minorEastAsia" w:hAnsiTheme="minorEastAsia" w:cs="Times New Roman"/>
          <w:color w:val="auto"/>
          <w:kern w:val="2"/>
        </w:rPr>
        <w:t>股，配股价格</w:t>
      </w:r>
      <w:r w:rsidR="00425D09" w:rsidRPr="00A72139">
        <w:rPr>
          <w:rFonts w:ascii="Times New Roman" w:eastAsiaTheme="minorEastAsia" w:hAnsiTheme="minorEastAsia" w:cs="Times New Roman"/>
          <w:color w:val="auto"/>
          <w:kern w:val="2"/>
        </w:rPr>
        <w:t>的确定</w:t>
      </w:r>
      <w:r w:rsidR="00AA15FE" w:rsidRPr="00A72139">
        <w:rPr>
          <w:rFonts w:ascii="Times New Roman" w:eastAsiaTheme="minorEastAsia" w:hAnsiTheme="minorEastAsia" w:cs="Times New Roman"/>
          <w:color w:val="auto"/>
          <w:kern w:val="2"/>
        </w:rPr>
        <w:t>参照</w:t>
      </w:r>
      <w:r w:rsidR="000367FC" w:rsidRPr="00A72139">
        <w:rPr>
          <w:rFonts w:ascii="Times New Roman" w:eastAsiaTheme="minorEastAsia" w:hAnsiTheme="minorEastAsia" w:cs="Times New Roman"/>
          <w:color w:val="auto"/>
          <w:kern w:val="2"/>
        </w:rPr>
        <w:t>上市</w:t>
      </w:r>
      <w:r w:rsidR="00AA15FE" w:rsidRPr="00A72139">
        <w:rPr>
          <w:rFonts w:ascii="Times New Roman" w:eastAsiaTheme="minorEastAsia" w:hAnsiTheme="minorEastAsia" w:cs="Times New Roman"/>
          <w:color w:val="auto"/>
          <w:kern w:val="2"/>
        </w:rPr>
        <w:t>公司股票在二级市场上的价格、市盈率及市净率等估值指标，</w:t>
      </w:r>
      <w:r w:rsidR="004B20FE" w:rsidRPr="00A72139">
        <w:rPr>
          <w:rFonts w:ascii="Times New Roman" w:eastAsiaTheme="minorEastAsia" w:hAnsiTheme="minorEastAsia" w:cs="Times New Roman"/>
          <w:color w:val="auto"/>
          <w:kern w:val="2"/>
        </w:rPr>
        <w:t>并综合考虑公司发展与股东利益等因素，以及</w:t>
      </w:r>
      <w:r w:rsidR="002F13F3" w:rsidRPr="00A72139">
        <w:rPr>
          <w:rFonts w:ascii="Times New Roman" w:eastAsiaTheme="minorEastAsia" w:hAnsiTheme="minorEastAsia" w:cs="Times New Roman"/>
          <w:color w:val="auto"/>
          <w:kern w:val="2"/>
        </w:rPr>
        <w:t>考虑</w:t>
      </w:r>
      <w:r w:rsidR="00355496" w:rsidRPr="00A72139">
        <w:rPr>
          <w:rFonts w:ascii="Times New Roman" w:eastAsiaTheme="minorEastAsia" w:hAnsiTheme="minorEastAsia" w:cs="Times New Roman"/>
        </w:rPr>
        <w:t>募集资金投资项目的资金需求量</w:t>
      </w:r>
      <w:r w:rsidR="004B20FE" w:rsidRPr="00A72139">
        <w:rPr>
          <w:rFonts w:ascii="Times New Roman" w:eastAsiaTheme="minorEastAsia" w:hAnsiTheme="minorEastAsia" w:cs="Times New Roman"/>
          <w:color w:val="auto"/>
          <w:kern w:val="2"/>
        </w:rPr>
        <w:t>等</w:t>
      </w:r>
      <w:r w:rsidR="002F13F3" w:rsidRPr="00A72139">
        <w:rPr>
          <w:rFonts w:ascii="Times New Roman" w:eastAsiaTheme="minorEastAsia" w:hAnsiTheme="minorEastAsia" w:cs="Times New Roman"/>
          <w:color w:val="auto"/>
          <w:kern w:val="2"/>
        </w:rPr>
        <w:t>，遵循</w:t>
      </w:r>
      <w:r w:rsidR="004B20FE" w:rsidRPr="00A72139">
        <w:rPr>
          <w:rFonts w:ascii="Times New Roman" w:eastAsiaTheme="minorEastAsia" w:hAnsiTheme="minorEastAsia" w:cs="Times New Roman"/>
          <w:color w:val="auto"/>
          <w:kern w:val="2"/>
        </w:rPr>
        <w:t>公司董事会与保荐机构</w:t>
      </w:r>
      <w:r w:rsidR="00936400" w:rsidRPr="00A72139">
        <w:rPr>
          <w:rFonts w:ascii="Times New Roman" w:eastAsiaTheme="minorEastAsia" w:hAnsiTheme="minorEastAsia" w:cs="Times New Roman"/>
          <w:color w:val="auto"/>
          <w:kern w:val="2"/>
        </w:rPr>
        <w:t>（</w:t>
      </w:r>
      <w:r w:rsidR="004B20FE" w:rsidRPr="00A72139">
        <w:rPr>
          <w:rFonts w:ascii="Times New Roman" w:eastAsiaTheme="minorEastAsia" w:hAnsiTheme="minorEastAsia" w:cs="Times New Roman"/>
          <w:color w:val="auto"/>
          <w:kern w:val="2"/>
        </w:rPr>
        <w:t>主承销商</w:t>
      </w:r>
      <w:r w:rsidR="00936400" w:rsidRPr="00A72139">
        <w:rPr>
          <w:rFonts w:ascii="Times New Roman" w:eastAsiaTheme="minorEastAsia" w:hAnsiTheme="minorEastAsia" w:cs="Times New Roman"/>
          <w:color w:val="auto"/>
          <w:kern w:val="2"/>
        </w:rPr>
        <w:t>）</w:t>
      </w:r>
      <w:r w:rsidR="004B20FE" w:rsidRPr="00A72139">
        <w:rPr>
          <w:rFonts w:ascii="Times New Roman" w:eastAsiaTheme="minorEastAsia" w:hAnsiTheme="minorEastAsia" w:cs="Times New Roman"/>
          <w:color w:val="auto"/>
          <w:kern w:val="2"/>
        </w:rPr>
        <w:t>协商确定</w:t>
      </w:r>
      <w:r w:rsidR="002F13F3" w:rsidRPr="00A72139">
        <w:rPr>
          <w:rFonts w:ascii="Times New Roman" w:eastAsiaTheme="minorEastAsia" w:hAnsiTheme="minorEastAsia" w:cs="Times New Roman"/>
          <w:color w:val="auto"/>
          <w:kern w:val="2"/>
        </w:rPr>
        <w:t>的原则</w:t>
      </w:r>
      <w:r w:rsidR="00D75C51" w:rsidRPr="00A72139">
        <w:rPr>
          <w:rFonts w:ascii="Times New Roman" w:eastAsiaTheme="minorEastAsia" w:hAnsiTheme="minorEastAsia" w:cs="Times New Roman"/>
          <w:color w:val="auto"/>
          <w:kern w:val="2"/>
        </w:rPr>
        <w:t>。</w:t>
      </w:r>
    </w:p>
    <w:p w:rsidR="0091596C" w:rsidRPr="00E24F74" w:rsidRDefault="0091596C" w:rsidP="00AA15FE">
      <w:pPr>
        <w:tabs>
          <w:tab w:val="left" w:pos="10440"/>
        </w:tabs>
        <w:spacing w:line="360" w:lineRule="auto"/>
        <w:ind w:firstLineChars="200" w:firstLine="480"/>
        <w:rPr>
          <w:rFonts w:eastAsiaTheme="minorEastAsia"/>
          <w:sz w:val="24"/>
        </w:rPr>
      </w:pPr>
      <w:r w:rsidRPr="00A72139">
        <w:rPr>
          <w:rFonts w:eastAsiaTheme="minorEastAsia" w:hAnsiTheme="minorEastAsia"/>
          <w:sz w:val="24"/>
        </w:rPr>
        <w:t>根据</w:t>
      </w:r>
      <w:r w:rsidR="00355496" w:rsidRPr="00A72139">
        <w:rPr>
          <w:rFonts w:eastAsiaTheme="minorEastAsia" w:hAnsiTheme="minorEastAsia"/>
          <w:sz w:val="24"/>
        </w:rPr>
        <w:t>招商证券</w:t>
      </w:r>
      <w:r w:rsidRPr="00A72139">
        <w:rPr>
          <w:rFonts w:eastAsiaTheme="minorEastAsia" w:hAnsiTheme="minorEastAsia"/>
          <w:sz w:val="24"/>
        </w:rPr>
        <w:t>于</w:t>
      </w:r>
      <w:r w:rsidRPr="00A72139">
        <w:rPr>
          <w:rFonts w:eastAsiaTheme="minorEastAsia"/>
          <w:sz w:val="24"/>
        </w:rPr>
        <w:t>2020</w:t>
      </w:r>
      <w:r w:rsidRPr="00A72139">
        <w:rPr>
          <w:rFonts w:eastAsiaTheme="minorEastAsia" w:hAnsiTheme="minorEastAsia"/>
          <w:sz w:val="24"/>
        </w:rPr>
        <w:t>年</w:t>
      </w:r>
      <w:r w:rsidR="00936400" w:rsidRPr="00A72139">
        <w:rPr>
          <w:rFonts w:eastAsiaTheme="minorEastAsia"/>
          <w:sz w:val="24"/>
        </w:rPr>
        <w:t>7</w:t>
      </w:r>
      <w:r w:rsidRPr="00A72139">
        <w:rPr>
          <w:rFonts w:eastAsiaTheme="minorEastAsia" w:hAnsiTheme="minorEastAsia"/>
          <w:sz w:val="24"/>
        </w:rPr>
        <w:t>月</w:t>
      </w:r>
      <w:r w:rsidR="00936400" w:rsidRPr="00A72139">
        <w:rPr>
          <w:rFonts w:eastAsiaTheme="minorEastAsia"/>
          <w:sz w:val="24"/>
        </w:rPr>
        <w:t>20</w:t>
      </w:r>
      <w:r w:rsidRPr="00A72139">
        <w:rPr>
          <w:rFonts w:eastAsiaTheme="minorEastAsia" w:hAnsiTheme="minorEastAsia"/>
          <w:sz w:val="24"/>
        </w:rPr>
        <w:t>日发布的《</w:t>
      </w:r>
      <w:r w:rsidR="00936400" w:rsidRPr="00A72139">
        <w:rPr>
          <w:rFonts w:eastAsiaTheme="minorEastAsia" w:hAnsiTheme="minorEastAsia"/>
          <w:sz w:val="24"/>
        </w:rPr>
        <w:t>招商证券股份有限公司</w:t>
      </w:r>
      <w:r w:rsidR="00936400" w:rsidRPr="00A72139">
        <w:rPr>
          <w:rFonts w:eastAsiaTheme="minorEastAsia"/>
          <w:sz w:val="24"/>
        </w:rPr>
        <w:t>A</w:t>
      </w:r>
      <w:r w:rsidR="00936400" w:rsidRPr="00A72139">
        <w:rPr>
          <w:rFonts w:eastAsiaTheme="minorEastAsia" w:hAnsiTheme="minorEastAsia"/>
          <w:sz w:val="24"/>
        </w:rPr>
        <w:t>股配股发行结果公告</w:t>
      </w:r>
      <w:r w:rsidRPr="00A72139">
        <w:rPr>
          <w:rFonts w:eastAsiaTheme="minorEastAsia" w:hAnsiTheme="minorEastAsia"/>
          <w:sz w:val="24"/>
        </w:rPr>
        <w:t>》，现将</w:t>
      </w:r>
      <w:r w:rsidR="002C3792" w:rsidRPr="00A72139">
        <w:rPr>
          <w:rFonts w:eastAsiaTheme="minorEastAsia" w:hAnsiTheme="minorEastAsia"/>
          <w:sz w:val="24"/>
        </w:rPr>
        <w:t>本公司旗下</w:t>
      </w:r>
      <w:r w:rsidR="00936400" w:rsidRPr="00A72139">
        <w:rPr>
          <w:rFonts w:eastAsiaTheme="minorEastAsia" w:hAnsiTheme="minorEastAsia"/>
          <w:sz w:val="24"/>
        </w:rPr>
        <w:t>公募</w:t>
      </w:r>
      <w:r w:rsidR="006C4B05" w:rsidRPr="00A72139">
        <w:rPr>
          <w:rFonts w:eastAsiaTheme="minorEastAsia" w:hAnsiTheme="minorEastAsia"/>
          <w:sz w:val="24"/>
        </w:rPr>
        <w:t>基金</w:t>
      </w:r>
      <w:r w:rsidRPr="00A72139">
        <w:rPr>
          <w:rFonts w:eastAsiaTheme="minorEastAsia" w:hAnsiTheme="minorEastAsia"/>
          <w:sz w:val="24"/>
        </w:rPr>
        <w:t>参与</w:t>
      </w:r>
      <w:r w:rsidR="00355496" w:rsidRPr="00A72139">
        <w:rPr>
          <w:rFonts w:eastAsiaTheme="minorEastAsia" w:hAnsiTheme="minorEastAsia"/>
          <w:sz w:val="24"/>
        </w:rPr>
        <w:t>招商证券</w:t>
      </w:r>
      <w:r w:rsidRPr="00A72139">
        <w:rPr>
          <w:rFonts w:eastAsiaTheme="minorEastAsia" w:hAnsiTheme="minorEastAsia"/>
          <w:sz w:val="24"/>
        </w:rPr>
        <w:t>本次</w:t>
      </w:r>
      <w:r w:rsidR="00936400" w:rsidRPr="00A72139">
        <w:rPr>
          <w:rFonts w:eastAsiaTheme="minorEastAsia"/>
          <w:sz w:val="24"/>
        </w:rPr>
        <w:t>A</w:t>
      </w:r>
      <w:r w:rsidR="00936400" w:rsidRPr="00A72139">
        <w:rPr>
          <w:rFonts w:eastAsiaTheme="minorEastAsia" w:hAnsiTheme="minorEastAsia"/>
          <w:sz w:val="24"/>
        </w:rPr>
        <w:t>股</w:t>
      </w:r>
      <w:r w:rsidR="00B5314F" w:rsidRPr="00A72139">
        <w:rPr>
          <w:rFonts w:eastAsiaTheme="minorEastAsia" w:hAnsiTheme="minorEastAsia"/>
          <w:sz w:val="24"/>
        </w:rPr>
        <w:t>配股发行的</w:t>
      </w:r>
      <w:r w:rsidRPr="00A72139">
        <w:rPr>
          <w:rFonts w:eastAsiaTheme="minorEastAsia" w:hAnsiTheme="minorEastAsia"/>
          <w:sz w:val="24"/>
        </w:rPr>
        <w:t>相关信息</w:t>
      </w:r>
      <w:r w:rsidRPr="00E24F74">
        <w:rPr>
          <w:rFonts w:eastAsiaTheme="minorEastAsia"/>
          <w:sz w:val="24"/>
        </w:rPr>
        <w:t>公告如下：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5"/>
        <w:gridCol w:w="1133"/>
        <w:gridCol w:w="1277"/>
        <w:gridCol w:w="1467"/>
      </w:tblGrid>
      <w:tr w:rsidR="003E7484" w:rsidRPr="000367FC" w:rsidTr="003E7484">
        <w:tc>
          <w:tcPr>
            <w:tcW w:w="2725" w:type="pct"/>
          </w:tcPr>
          <w:p w:rsidR="00B5314F" w:rsidRPr="000367FC" w:rsidRDefault="00B5314F" w:rsidP="000367FC">
            <w:pPr>
              <w:tabs>
                <w:tab w:val="left" w:pos="10440"/>
              </w:tabs>
              <w:spacing w:line="360" w:lineRule="auto"/>
              <w:jc w:val="center"/>
              <w:rPr>
                <w:rFonts w:eastAsiaTheme="minorEastAsia"/>
                <w:szCs w:val="21"/>
              </w:rPr>
            </w:pPr>
            <w:bookmarkStart w:id="1" w:name="OLE_LINK17"/>
            <w:bookmarkStart w:id="2" w:name="OLE_LINK18"/>
            <w:r w:rsidRPr="000367FC">
              <w:rPr>
                <w:rFonts w:eastAsiaTheme="minorEastAsia"/>
                <w:szCs w:val="21"/>
              </w:rPr>
              <w:t>基金名称</w:t>
            </w:r>
          </w:p>
        </w:tc>
        <w:tc>
          <w:tcPr>
            <w:tcW w:w="665" w:type="pct"/>
          </w:tcPr>
          <w:p w:rsidR="00B5314F" w:rsidRPr="000367FC" w:rsidRDefault="00B5314F" w:rsidP="000367FC">
            <w:pPr>
              <w:tabs>
                <w:tab w:val="left" w:pos="10440"/>
              </w:tabs>
              <w:spacing w:line="360" w:lineRule="auto"/>
              <w:jc w:val="center"/>
              <w:rPr>
                <w:rFonts w:eastAsiaTheme="minorEastAsia"/>
                <w:szCs w:val="21"/>
              </w:rPr>
            </w:pPr>
            <w:r w:rsidRPr="000367FC">
              <w:rPr>
                <w:rFonts w:eastAsiaTheme="minorEastAsia"/>
                <w:szCs w:val="21"/>
              </w:rPr>
              <w:t>获配证券名称</w:t>
            </w:r>
          </w:p>
        </w:tc>
        <w:tc>
          <w:tcPr>
            <w:tcW w:w="749" w:type="pct"/>
          </w:tcPr>
          <w:p w:rsidR="000367FC" w:rsidRDefault="00B5314F" w:rsidP="000367FC">
            <w:pPr>
              <w:tabs>
                <w:tab w:val="left" w:pos="10440"/>
              </w:tabs>
              <w:spacing w:line="360" w:lineRule="auto"/>
              <w:jc w:val="center"/>
              <w:rPr>
                <w:rFonts w:eastAsiaTheme="minorEastAsia"/>
                <w:szCs w:val="21"/>
              </w:rPr>
            </w:pPr>
            <w:r w:rsidRPr="000367FC">
              <w:rPr>
                <w:rFonts w:eastAsiaTheme="minorEastAsia"/>
                <w:szCs w:val="21"/>
              </w:rPr>
              <w:t>配售数量</w:t>
            </w:r>
          </w:p>
          <w:p w:rsidR="00B5314F" w:rsidRPr="000367FC" w:rsidRDefault="00B5314F" w:rsidP="000367FC">
            <w:pPr>
              <w:tabs>
                <w:tab w:val="left" w:pos="10440"/>
              </w:tabs>
              <w:spacing w:line="360" w:lineRule="auto"/>
              <w:jc w:val="center"/>
              <w:rPr>
                <w:rFonts w:eastAsiaTheme="minorEastAsia"/>
                <w:szCs w:val="21"/>
              </w:rPr>
            </w:pPr>
            <w:r w:rsidRPr="000367FC">
              <w:rPr>
                <w:rFonts w:eastAsiaTheme="minorEastAsia"/>
                <w:szCs w:val="21"/>
              </w:rPr>
              <w:t>（股）</w:t>
            </w:r>
          </w:p>
        </w:tc>
        <w:tc>
          <w:tcPr>
            <w:tcW w:w="861" w:type="pct"/>
          </w:tcPr>
          <w:p w:rsidR="000367FC" w:rsidRDefault="00B5314F" w:rsidP="000367FC">
            <w:pPr>
              <w:tabs>
                <w:tab w:val="left" w:pos="10440"/>
              </w:tabs>
              <w:spacing w:line="360" w:lineRule="auto"/>
              <w:jc w:val="center"/>
              <w:rPr>
                <w:rFonts w:eastAsiaTheme="minorEastAsia"/>
                <w:szCs w:val="21"/>
              </w:rPr>
            </w:pPr>
            <w:r w:rsidRPr="000367FC">
              <w:rPr>
                <w:rFonts w:eastAsiaTheme="minorEastAsia"/>
                <w:szCs w:val="21"/>
              </w:rPr>
              <w:t>配售金额</w:t>
            </w:r>
          </w:p>
          <w:p w:rsidR="00B5314F" w:rsidRPr="000367FC" w:rsidRDefault="00B5314F" w:rsidP="000367FC">
            <w:pPr>
              <w:tabs>
                <w:tab w:val="left" w:pos="10440"/>
              </w:tabs>
              <w:spacing w:line="360" w:lineRule="auto"/>
              <w:jc w:val="center"/>
              <w:rPr>
                <w:rFonts w:eastAsiaTheme="minorEastAsia"/>
                <w:szCs w:val="21"/>
              </w:rPr>
            </w:pPr>
            <w:r w:rsidRPr="000367FC">
              <w:rPr>
                <w:rFonts w:eastAsiaTheme="minorEastAsia"/>
                <w:szCs w:val="21"/>
              </w:rPr>
              <w:t>（元）</w:t>
            </w:r>
          </w:p>
        </w:tc>
      </w:tr>
      <w:tr w:rsidR="003E7484" w:rsidRPr="000367FC" w:rsidTr="003E7484">
        <w:tc>
          <w:tcPr>
            <w:tcW w:w="2725" w:type="pct"/>
            <w:vAlign w:val="center"/>
          </w:tcPr>
          <w:p w:rsidR="003E7484" w:rsidRPr="000367FC" w:rsidRDefault="003E7484" w:rsidP="00F911B9">
            <w:pPr>
              <w:autoSpaceDE w:val="0"/>
              <w:autoSpaceDN w:val="0"/>
              <w:adjustRightInd w:val="0"/>
              <w:spacing w:before="29" w:line="360" w:lineRule="auto"/>
              <w:ind w:left="15"/>
              <w:rPr>
                <w:rFonts w:eastAsiaTheme="minorEastAsia"/>
                <w:szCs w:val="21"/>
              </w:rPr>
            </w:pPr>
            <w:r w:rsidRPr="00915F65">
              <w:rPr>
                <w:color w:val="000000"/>
                <w:kern w:val="0"/>
                <w:szCs w:val="21"/>
              </w:rPr>
              <w:t>华夏沪深</w:t>
            </w:r>
            <w:r w:rsidRPr="00915F65">
              <w:rPr>
                <w:color w:val="000000"/>
                <w:kern w:val="0"/>
                <w:szCs w:val="21"/>
              </w:rPr>
              <w:t>300</w:t>
            </w:r>
            <w:r w:rsidRPr="00915F65">
              <w:rPr>
                <w:color w:val="000000"/>
                <w:kern w:val="0"/>
                <w:szCs w:val="21"/>
              </w:rPr>
              <w:t>交易型开放式指数证券投资基金</w:t>
            </w:r>
          </w:p>
        </w:tc>
        <w:tc>
          <w:tcPr>
            <w:tcW w:w="665" w:type="pct"/>
            <w:vAlign w:val="center"/>
          </w:tcPr>
          <w:p w:rsidR="003E7484" w:rsidRPr="000367FC" w:rsidRDefault="003E7484" w:rsidP="0058170B">
            <w:pPr>
              <w:autoSpaceDE w:val="0"/>
              <w:autoSpaceDN w:val="0"/>
              <w:adjustRightInd w:val="0"/>
              <w:spacing w:before="29" w:line="360" w:lineRule="auto"/>
              <w:ind w:left="15"/>
              <w:rPr>
                <w:rFonts w:eastAsiaTheme="minorEastAsia"/>
                <w:szCs w:val="21"/>
              </w:rPr>
            </w:pPr>
            <w:r>
              <w:rPr>
                <w:rFonts w:eastAsiaTheme="minorEastAsia"/>
                <w:szCs w:val="21"/>
              </w:rPr>
              <w:t>招商证券</w:t>
            </w:r>
          </w:p>
        </w:tc>
        <w:tc>
          <w:tcPr>
            <w:tcW w:w="749" w:type="pct"/>
            <w:vAlign w:val="center"/>
          </w:tcPr>
          <w:p w:rsidR="003E7484" w:rsidRPr="003E7484" w:rsidRDefault="003E7484" w:rsidP="003E7484">
            <w:pPr>
              <w:jc w:val="right"/>
              <w:rPr>
                <w:color w:val="000000"/>
                <w:szCs w:val="21"/>
              </w:rPr>
            </w:pPr>
            <w:r w:rsidRPr="003E7484">
              <w:rPr>
                <w:color w:val="000000"/>
                <w:szCs w:val="21"/>
              </w:rPr>
              <w:t>1,414,756</w:t>
            </w:r>
          </w:p>
        </w:tc>
        <w:tc>
          <w:tcPr>
            <w:tcW w:w="861" w:type="pct"/>
            <w:vAlign w:val="center"/>
          </w:tcPr>
          <w:p w:rsidR="003E7484" w:rsidRPr="003E7484" w:rsidRDefault="003E7484" w:rsidP="003E7484">
            <w:pPr>
              <w:jc w:val="right"/>
              <w:rPr>
                <w:color w:val="000000"/>
                <w:szCs w:val="21"/>
              </w:rPr>
            </w:pPr>
            <w:r w:rsidRPr="003E7484">
              <w:rPr>
                <w:color w:val="000000"/>
                <w:szCs w:val="21"/>
              </w:rPr>
              <w:t xml:space="preserve">10,554,079.76 </w:t>
            </w:r>
          </w:p>
        </w:tc>
      </w:tr>
      <w:tr w:rsidR="003E7484" w:rsidRPr="000367FC" w:rsidTr="003E7484">
        <w:tc>
          <w:tcPr>
            <w:tcW w:w="2725" w:type="pct"/>
            <w:vAlign w:val="center"/>
          </w:tcPr>
          <w:p w:rsidR="003E7484" w:rsidRPr="000367FC" w:rsidRDefault="003E7484" w:rsidP="00F911B9">
            <w:pPr>
              <w:autoSpaceDE w:val="0"/>
              <w:autoSpaceDN w:val="0"/>
              <w:adjustRightInd w:val="0"/>
              <w:spacing w:before="29" w:line="360" w:lineRule="auto"/>
              <w:ind w:left="15"/>
              <w:rPr>
                <w:rFonts w:eastAsiaTheme="minorEastAsia"/>
                <w:szCs w:val="21"/>
              </w:rPr>
            </w:pPr>
            <w:r w:rsidRPr="00915F65">
              <w:rPr>
                <w:color w:val="000000"/>
                <w:kern w:val="0"/>
                <w:szCs w:val="21"/>
              </w:rPr>
              <w:t>上证金融地产交易型开放式指数发起式证券投资基金</w:t>
            </w:r>
          </w:p>
        </w:tc>
        <w:tc>
          <w:tcPr>
            <w:tcW w:w="665" w:type="pct"/>
            <w:vAlign w:val="center"/>
          </w:tcPr>
          <w:p w:rsidR="003E7484" w:rsidRPr="000367FC" w:rsidRDefault="003E7484" w:rsidP="0058170B">
            <w:pPr>
              <w:autoSpaceDE w:val="0"/>
              <w:autoSpaceDN w:val="0"/>
              <w:adjustRightInd w:val="0"/>
              <w:spacing w:before="29" w:line="360" w:lineRule="auto"/>
              <w:ind w:left="15"/>
              <w:rPr>
                <w:rFonts w:eastAsiaTheme="minorEastAsia"/>
                <w:szCs w:val="21"/>
              </w:rPr>
            </w:pPr>
            <w:r>
              <w:rPr>
                <w:rFonts w:eastAsiaTheme="minorEastAsia"/>
                <w:szCs w:val="21"/>
              </w:rPr>
              <w:t>招商证券</w:t>
            </w:r>
          </w:p>
        </w:tc>
        <w:tc>
          <w:tcPr>
            <w:tcW w:w="749" w:type="pct"/>
            <w:vAlign w:val="center"/>
          </w:tcPr>
          <w:p w:rsidR="003E7484" w:rsidRPr="003E7484" w:rsidRDefault="003E7484" w:rsidP="003E7484">
            <w:pPr>
              <w:jc w:val="right"/>
              <w:rPr>
                <w:color w:val="000000"/>
                <w:szCs w:val="21"/>
              </w:rPr>
            </w:pPr>
            <w:r w:rsidRPr="003E7484">
              <w:rPr>
                <w:color w:val="000000"/>
                <w:szCs w:val="21"/>
              </w:rPr>
              <w:t>16,237</w:t>
            </w:r>
          </w:p>
        </w:tc>
        <w:tc>
          <w:tcPr>
            <w:tcW w:w="861" w:type="pct"/>
            <w:vAlign w:val="center"/>
          </w:tcPr>
          <w:p w:rsidR="003E7484" w:rsidRPr="003E7484" w:rsidRDefault="003E7484" w:rsidP="003E7484">
            <w:pPr>
              <w:jc w:val="right"/>
              <w:rPr>
                <w:color w:val="000000"/>
                <w:szCs w:val="21"/>
              </w:rPr>
            </w:pPr>
            <w:r w:rsidRPr="003E7484">
              <w:rPr>
                <w:color w:val="000000"/>
                <w:szCs w:val="21"/>
              </w:rPr>
              <w:t>121,128.02</w:t>
            </w:r>
          </w:p>
        </w:tc>
      </w:tr>
      <w:tr w:rsidR="003E7484" w:rsidRPr="000367FC" w:rsidTr="003E7484">
        <w:tc>
          <w:tcPr>
            <w:tcW w:w="2725" w:type="pct"/>
            <w:vAlign w:val="center"/>
          </w:tcPr>
          <w:p w:rsidR="003E7484" w:rsidRPr="000367FC" w:rsidRDefault="003E7484" w:rsidP="00F911B9">
            <w:pPr>
              <w:autoSpaceDE w:val="0"/>
              <w:autoSpaceDN w:val="0"/>
              <w:adjustRightInd w:val="0"/>
              <w:spacing w:before="29" w:line="360" w:lineRule="auto"/>
              <w:ind w:left="15"/>
              <w:rPr>
                <w:rFonts w:eastAsiaTheme="minorEastAsia"/>
                <w:szCs w:val="21"/>
              </w:rPr>
            </w:pPr>
            <w:r w:rsidRPr="00915F65">
              <w:rPr>
                <w:color w:val="000000"/>
                <w:kern w:val="0"/>
                <w:szCs w:val="21"/>
              </w:rPr>
              <w:t>华夏</w:t>
            </w:r>
            <w:r w:rsidRPr="00915F65">
              <w:rPr>
                <w:color w:val="000000"/>
                <w:kern w:val="0"/>
                <w:szCs w:val="21"/>
              </w:rPr>
              <w:t>MSCI</w:t>
            </w:r>
            <w:r w:rsidRPr="00915F65">
              <w:rPr>
                <w:color w:val="000000"/>
                <w:kern w:val="0"/>
                <w:szCs w:val="21"/>
              </w:rPr>
              <w:t>中国</w:t>
            </w:r>
            <w:r w:rsidRPr="00915F65">
              <w:rPr>
                <w:color w:val="000000"/>
                <w:kern w:val="0"/>
                <w:szCs w:val="21"/>
              </w:rPr>
              <w:t>A</w:t>
            </w:r>
            <w:r w:rsidRPr="00915F65">
              <w:rPr>
                <w:color w:val="000000"/>
                <w:kern w:val="0"/>
                <w:szCs w:val="21"/>
              </w:rPr>
              <w:t>股国际通交易型开放式指数证券投资基金</w:t>
            </w:r>
          </w:p>
        </w:tc>
        <w:tc>
          <w:tcPr>
            <w:tcW w:w="665" w:type="pct"/>
            <w:vAlign w:val="center"/>
          </w:tcPr>
          <w:p w:rsidR="003E7484" w:rsidRPr="000367FC" w:rsidRDefault="003E7484" w:rsidP="0058170B">
            <w:pPr>
              <w:autoSpaceDE w:val="0"/>
              <w:autoSpaceDN w:val="0"/>
              <w:adjustRightInd w:val="0"/>
              <w:spacing w:before="29" w:line="360" w:lineRule="auto"/>
              <w:ind w:left="15"/>
              <w:rPr>
                <w:rFonts w:eastAsiaTheme="minorEastAsia"/>
                <w:szCs w:val="21"/>
              </w:rPr>
            </w:pPr>
            <w:r>
              <w:rPr>
                <w:rFonts w:eastAsiaTheme="minorEastAsia"/>
                <w:szCs w:val="21"/>
              </w:rPr>
              <w:t>招商证券</w:t>
            </w:r>
          </w:p>
        </w:tc>
        <w:tc>
          <w:tcPr>
            <w:tcW w:w="749" w:type="pct"/>
            <w:vAlign w:val="center"/>
          </w:tcPr>
          <w:p w:rsidR="003E7484" w:rsidRPr="003E7484" w:rsidRDefault="003E7484" w:rsidP="003E7484">
            <w:pPr>
              <w:jc w:val="right"/>
              <w:rPr>
                <w:color w:val="000000"/>
                <w:szCs w:val="21"/>
              </w:rPr>
            </w:pPr>
            <w:r w:rsidRPr="003E7484">
              <w:rPr>
                <w:color w:val="000000"/>
                <w:szCs w:val="21"/>
              </w:rPr>
              <w:t>54,357</w:t>
            </w:r>
          </w:p>
        </w:tc>
        <w:tc>
          <w:tcPr>
            <w:tcW w:w="861" w:type="pct"/>
            <w:vAlign w:val="center"/>
          </w:tcPr>
          <w:p w:rsidR="003E7484" w:rsidRPr="003E7484" w:rsidRDefault="003E7484" w:rsidP="003E7484">
            <w:pPr>
              <w:jc w:val="right"/>
              <w:rPr>
                <w:color w:val="000000"/>
                <w:szCs w:val="21"/>
              </w:rPr>
            </w:pPr>
            <w:r w:rsidRPr="003E7484">
              <w:rPr>
                <w:color w:val="000000"/>
                <w:szCs w:val="21"/>
              </w:rPr>
              <w:t>405,503.22</w:t>
            </w:r>
          </w:p>
        </w:tc>
      </w:tr>
      <w:tr w:rsidR="003E7484" w:rsidRPr="000367FC" w:rsidTr="003E7484">
        <w:tc>
          <w:tcPr>
            <w:tcW w:w="2725" w:type="pct"/>
            <w:vAlign w:val="center"/>
          </w:tcPr>
          <w:p w:rsidR="00453882" w:rsidRPr="000367FC" w:rsidRDefault="00453882" w:rsidP="00F911B9">
            <w:pPr>
              <w:autoSpaceDE w:val="0"/>
              <w:autoSpaceDN w:val="0"/>
              <w:adjustRightInd w:val="0"/>
              <w:spacing w:before="29" w:line="360" w:lineRule="auto"/>
              <w:ind w:left="15"/>
              <w:rPr>
                <w:rFonts w:eastAsiaTheme="minorEastAsia"/>
                <w:szCs w:val="21"/>
              </w:rPr>
            </w:pPr>
            <w:r w:rsidRPr="00453882">
              <w:rPr>
                <w:rFonts w:eastAsiaTheme="minorEastAsia" w:hint="eastAsia"/>
                <w:szCs w:val="21"/>
              </w:rPr>
              <w:t>华夏</w:t>
            </w:r>
            <w:r w:rsidRPr="00453882">
              <w:rPr>
                <w:rFonts w:eastAsiaTheme="minorEastAsia" w:hint="eastAsia"/>
                <w:szCs w:val="21"/>
              </w:rPr>
              <w:t>MSCI</w:t>
            </w:r>
            <w:r w:rsidRPr="00453882">
              <w:rPr>
                <w:rFonts w:eastAsiaTheme="minorEastAsia" w:hint="eastAsia"/>
                <w:szCs w:val="21"/>
              </w:rPr>
              <w:t>中国</w:t>
            </w:r>
            <w:r w:rsidRPr="00453882">
              <w:rPr>
                <w:rFonts w:eastAsiaTheme="minorEastAsia" w:hint="eastAsia"/>
                <w:szCs w:val="21"/>
              </w:rPr>
              <w:t>A</w:t>
            </w:r>
            <w:r w:rsidRPr="00453882">
              <w:rPr>
                <w:rFonts w:eastAsiaTheme="minorEastAsia" w:hint="eastAsia"/>
                <w:szCs w:val="21"/>
              </w:rPr>
              <w:t>股国际通交易型开放式指数证券投资基金联接基金</w:t>
            </w:r>
          </w:p>
        </w:tc>
        <w:tc>
          <w:tcPr>
            <w:tcW w:w="665" w:type="pct"/>
            <w:vAlign w:val="center"/>
          </w:tcPr>
          <w:p w:rsidR="003E7484" w:rsidRPr="000367FC" w:rsidRDefault="003E7484" w:rsidP="0058170B">
            <w:pPr>
              <w:autoSpaceDE w:val="0"/>
              <w:autoSpaceDN w:val="0"/>
              <w:adjustRightInd w:val="0"/>
              <w:spacing w:before="29" w:line="360" w:lineRule="auto"/>
              <w:ind w:left="15"/>
              <w:rPr>
                <w:rFonts w:eastAsiaTheme="minorEastAsia"/>
                <w:szCs w:val="21"/>
              </w:rPr>
            </w:pPr>
            <w:r>
              <w:rPr>
                <w:rFonts w:eastAsiaTheme="minorEastAsia"/>
                <w:szCs w:val="21"/>
              </w:rPr>
              <w:t>招商证券</w:t>
            </w:r>
          </w:p>
        </w:tc>
        <w:tc>
          <w:tcPr>
            <w:tcW w:w="749" w:type="pct"/>
            <w:vAlign w:val="center"/>
          </w:tcPr>
          <w:p w:rsidR="003E7484" w:rsidRPr="003E7484" w:rsidRDefault="003E7484" w:rsidP="003E7484">
            <w:pPr>
              <w:jc w:val="right"/>
              <w:rPr>
                <w:color w:val="000000"/>
                <w:szCs w:val="21"/>
              </w:rPr>
            </w:pPr>
            <w:r w:rsidRPr="003E7484">
              <w:rPr>
                <w:color w:val="000000"/>
                <w:szCs w:val="21"/>
              </w:rPr>
              <w:t>60</w:t>
            </w:r>
          </w:p>
        </w:tc>
        <w:tc>
          <w:tcPr>
            <w:tcW w:w="861" w:type="pct"/>
            <w:vAlign w:val="center"/>
          </w:tcPr>
          <w:p w:rsidR="003E7484" w:rsidRPr="003E7484" w:rsidRDefault="003E7484" w:rsidP="003E7484">
            <w:pPr>
              <w:jc w:val="right"/>
              <w:rPr>
                <w:color w:val="000000"/>
                <w:szCs w:val="21"/>
              </w:rPr>
            </w:pPr>
            <w:r w:rsidRPr="003E7484">
              <w:rPr>
                <w:color w:val="000000"/>
                <w:szCs w:val="21"/>
              </w:rPr>
              <w:t>447.60</w:t>
            </w:r>
          </w:p>
        </w:tc>
      </w:tr>
      <w:tr w:rsidR="003E7484" w:rsidRPr="000367FC" w:rsidTr="003E7484">
        <w:tc>
          <w:tcPr>
            <w:tcW w:w="2725" w:type="pct"/>
            <w:vAlign w:val="center"/>
          </w:tcPr>
          <w:p w:rsidR="003E7484" w:rsidRPr="000367FC" w:rsidRDefault="003E7484" w:rsidP="00F911B9">
            <w:pPr>
              <w:autoSpaceDE w:val="0"/>
              <w:autoSpaceDN w:val="0"/>
              <w:adjustRightInd w:val="0"/>
              <w:spacing w:before="29" w:line="360" w:lineRule="auto"/>
              <w:ind w:left="15"/>
              <w:rPr>
                <w:rFonts w:eastAsiaTheme="minorEastAsia"/>
                <w:szCs w:val="21"/>
              </w:rPr>
            </w:pPr>
            <w:r w:rsidRPr="00A72139">
              <w:rPr>
                <w:rFonts w:eastAsiaTheme="minorEastAsia" w:hint="eastAsia"/>
                <w:szCs w:val="21"/>
              </w:rPr>
              <w:t>华夏新锦绣灵活配置混合型证券投资基金</w:t>
            </w:r>
          </w:p>
        </w:tc>
        <w:tc>
          <w:tcPr>
            <w:tcW w:w="665" w:type="pct"/>
            <w:vAlign w:val="center"/>
          </w:tcPr>
          <w:p w:rsidR="003E7484" w:rsidRPr="000367FC" w:rsidRDefault="003E7484" w:rsidP="0058170B">
            <w:pPr>
              <w:autoSpaceDE w:val="0"/>
              <w:autoSpaceDN w:val="0"/>
              <w:adjustRightInd w:val="0"/>
              <w:spacing w:before="29" w:line="360" w:lineRule="auto"/>
              <w:ind w:left="15"/>
              <w:rPr>
                <w:rFonts w:eastAsiaTheme="minorEastAsia"/>
                <w:szCs w:val="21"/>
              </w:rPr>
            </w:pPr>
            <w:r>
              <w:rPr>
                <w:rFonts w:eastAsiaTheme="minorEastAsia"/>
                <w:szCs w:val="21"/>
              </w:rPr>
              <w:t>招商证券</w:t>
            </w:r>
          </w:p>
        </w:tc>
        <w:tc>
          <w:tcPr>
            <w:tcW w:w="749" w:type="pct"/>
            <w:vAlign w:val="center"/>
          </w:tcPr>
          <w:p w:rsidR="003E7484" w:rsidRPr="003E7484" w:rsidRDefault="003E7484" w:rsidP="003E7484">
            <w:pPr>
              <w:jc w:val="right"/>
              <w:rPr>
                <w:szCs w:val="21"/>
              </w:rPr>
            </w:pPr>
            <w:r w:rsidRPr="003E7484">
              <w:rPr>
                <w:szCs w:val="21"/>
              </w:rPr>
              <w:t>9,840</w:t>
            </w:r>
          </w:p>
        </w:tc>
        <w:tc>
          <w:tcPr>
            <w:tcW w:w="861" w:type="pct"/>
            <w:vAlign w:val="center"/>
          </w:tcPr>
          <w:p w:rsidR="003E7484" w:rsidRPr="003E7484" w:rsidRDefault="003E7484" w:rsidP="003E7484">
            <w:pPr>
              <w:jc w:val="right"/>
              <w:rPr>
                <w:szCs w:val="21"/>
              </w:rPr>
            </w:pPr>
            <w:r w:rsidRPr="003E7484">
              <w:rPr>
                <w:szCs w:val="21"/>
              </w:rPr>
              <w:t>73,406.40</w:t>
            </w:r>
          </w:p>
        </w:tc>
      </w:tr>
      <w:tr w:rsidR="003E7484" w:rsidRPr="000367FC" w:rsidTr="003E7484">
        <w:tc>
          <w:tcPr>
            <w:tcW w:w="2725" w:type="pct"/>
            <w:vAlign w:val="center"/>
          </w:tcPr>
          <w:p w:rsidR="003E7484" w:rsidRPr="000367FC" w:rsidRDefault="003E7484" w:rsidP="00F911B9">
            <w:pPr>
              <w:autoSpaceDE w:val="0"/>
              <w:autoSpaceDN w:val="0"/>
              <w:adjustRightInd w:val="0"/>
              <w:spacing w:before="29" w:line="360" w:lineRule="auto"/>
              <w:ind w:left="15"/>
              <w:rPr>
                <w:rFonts w:eastAsiaTheme="minorEastAsia"/>
                <w:szCs w:val="21"/>
              </w:rPr>
            </w:pPr>
            <w:r w:rsidRPr="00A72139">
              <w:rPr>
                <w:rFonts w:eastAsiaTheme="minorEastAsia" w:hint="eastAsia"/>
                <w:szCs w:val="21"/>
              </w:rPr>
              <w:t>华夏中证</w:t>
            </w:r>
            <w:r w:rsidRPr="00A72139">
              <w:rPr>
                <w:rFonts w:eastAsiaTheme="minorEastAsia" w:hint="eastAsia"/>
                <w:szCs w:val="21"/>
              </w:rPr>
              <w:t>AH</w:t>
            </w:r>
            <w:r w:rsidRPr="00A72139">
              <w:rPr>
                <w:rFonts w:eastAsiaTheme="minorEastAsia" w:hint="eastAsia"/>
                <w:szCs w:val="21"/>
              </w:rPr>
              <w:t>经济蓝筹股票指数发起式证券投资基金</w:t>
            </w:r>
          </w:p>
        </w:tc>
        <w:tc>
          <w:tcPr>
            <w:tcW w:w="665" w:type="pct"/>
            <w:vAlign w:val="center"/>
          </w:tcPr>
          <w:p w:rsidR="003E7484" w:rsidRPr="000367FC" w:rsidRDefault="003E7484" w:rsidP="0058170B">
            <w:pPr>
              <w:autoSpaceDE w:val="0"/>
              <w:autoSpaceDN w:val="0"/>
              <w:adjustRightInd w:val="0"/>
              <w:spacing w:before="29" w:line="360" w:lineRule="auto"/>
              <w:ind w:left="15"/>
              <w:rPr>
                <w:rFonts w:eastAsiaTheme="minorEastAsia"/>
                <w:szCs w:val="21"/>
              </w:rPr>
            </w:pPr>
            <w:r>
              <w:rPr>
                <w:rFonts w:eastAsiaTheme="minorEastAsia"/>
                <w:szCs w:val="21"/>
              </w:rPr>
              <w:t>招商证券</w:t>
            </w:r>
          </w:p>
        </w:tc>
        <w:tc>
          <w:tcPr>
            <w:tcW w:w="749" w:type="pct"/>
            <w:vAlign w:val="center"/>
          </w:tcPr>
          <w:p w:rsidR="003E7484" w:rsidRPr="003E7484" w:rsidRDefault="003E7484" w:rsidP="003E7484">
            <w:pPr>
              <w:jc w:val="right"/>
              <w:rPr>
                <w:szCs w:val="21"/>
              </w:rPr>
            </w:pPr>
            <w:r w:rsidRPr="003E7484">
              <w:rPr>
                <w:szCs w:val="21"/>
              </w:rPr>
              <w:t>1,110</w:t>
            </w:r>
          </w:p>
        </w:tc>
        <w:tc>
          <w:tcPr>
            <w:tcW w:w="861" w:type="pct"/>
            <w:vAlign w:val="center"/>
          </w:tcPr>
          <w:p w:rsidR="003E7484" w:rsidRPr="003E7484" w:rsidRDefault="003E7484" w:rsidP="003E7484">
            <w:pPr>
              <w:jc w:val="right"/>
              <w:rPr>
                <w:szCs w:val="21"/>
              </w:rPr>
            </w:pPr>
            <w:r w:rsidRPr="003E7484">
              <w:rPr>
                <w:szCs w:val="21"/>
              </w:rPr>
              <w:t>8,280.60</w:t>
            </w:r>
          </w:p>
        </w:tc>
      </w:tr>
      <w:tr w:rsidR="003E7484" w:rsidRPr="000367FC" w:rsidTr="003E7484">
        <w:tc>
          <w:tcPr>
            <w:tcW w:w="2725" w:type="pct"/>
            <w:vAlign w:val="center"/>
          </w:tcPr>
          <w:p w:rsidR="003E7484" w:rsidRPr="000367FC" w:rsidRDefault="003E7484" w:rsidP="00F911B9">
            <w:pPr>
              <w:autoSpaceDE w:val="0"/>
              <w:autoSpaceDN w:val="0"/>
              <w:adjustRightInd w:val="0"/>
              <w:spacing w:before="29" w:line="360" w:lineRule="auto"/>
              <w:ind w:left="15"/>
              <w:rPr>
                <w:rFonts w:eastAsiaTheme="minorEastAsia"/>
                <w:szCs w:val="21"/>
              </w:rPr>
            </w:pPr>
            <w:r w:rsidRPr="00915F65">
              <w:rPr>
                <w:color w:val="000000"/>
                <w:kern w:val="0"/>
                <w:szCs w:val="21"/>
              </w:rPr>
              <w:t>华夏中证央企结构调整交易型开放式指数证券投</w:t>
            </w:r>
            <w:r w:rsidRPr="00915F65">
              <w:rPr>
                <w:color w:val="000000"/>
                <w:kern w:val="0"/>
                <w:szCs w:val="21"/>
              </w:rPr>
              <w:lastRenderedPageBreak/>
              <w:t>资基金</w:t>
            </w:r>
          </w:p>
        </w:tc>
        <w:tc>
          <w:tcPr>
            <w:tcW w:w="665" w:type="pct"/>
            <w:vAlign w:val="center"/>
          </w:tcPr>
          <w:p w:rsidR="003E7484" w:rsidRPr="000367FC" w:rsidRDefault="003E7484" w:rsidP="0058170B">
            <w:pPr>
              <w:autoSpaceDE w:val="0"/>
              <w:autoSpaceDN w:val="0"/>
              <w:adjustRightInd w:val="0"/>
              <w:spacing w:before="29" w:line="360" w:lineRule="auto"/>
              <w:ind w:left="15"/>
              <w:rPr>
                <w:rFonts w:eastAsiaTheme="minorEastAsia"/>
                <w:szCs w:val="21"/>
              </w:rPr>
            </w:pPr>
            <w:r>
              <w:rPr>
                <w:rFonts w:eastAsiaTheme="minorEastAsia"/>
                <w:szCs w:val="21"/>
              </w:rPr>
              <w:lastRenderedPageBreak/>
              <w:t>招商证券</w:t>
            </w:r>
          </w:p>
        </w:tc>
        <w:tc>
          <w:tcPr>
            <w:tcW w:w="749" w:type="pct"/>
            <w:vAlign w:val="center"/>
          </w:tcPr>
          <w:p w:rsidR="003E7484" w:rsidRPr="003E7484" w:rsidRDefault="003E7484" w:rsidP="003E7484">
            <w:pPr>
              <w:jc w:val="right"/>
              <w:rPr>
                <w:szCs w:val="21"/>
              </w:rPr>
            </w:pPr>
            <w:r w:rsidRPr="003E7484">
              <w:rPr>
                <w:szCs w:val="21"/>
              </w:rPr>
              <w:t>3,291,487</w:t>
            </w:r>
          </w:p>
        </w:tc>
        <w:tc>
          <w:tcPr>
            <w:tcW w:w="861" w:type="pct"/>
            <w:vAlign w:val="center"/>
          </w:tcPr>
          <w:p w:rsidR="003E7484" w:rsidRPr="003E7484" w:rsidRDefault="003E7484" w:rsidP="003E7484">
            <w:pPr>
              <w:jc w:val="right"/>
              <w:rPr>
                <w:szCs w:val="21"/>
              </w:rPr>
            </w:pPr>
            <w:r w:rsidRPr="003E7484">
              <w:rPr>
                <w:szCs w:val="21"/>
              </w:rPr>
              <w:t>24,554,493.02</w:t>
            </w:r>
          </w:p>
        </w:tc>
      </w:tr>
      <w:tr w:rsidR="003E7484" w:rsidRPr="000367FC" w:rsidTr="003E7484">
        <w:tc>
          <w:tcPr>
            <w:tcW w:w="2725" w:type="pct"/>
            <w:vAlign w:val="center"/>
          </w:tcPr>
          <w:p w:rsidR="003E7484" w:rsidRPr="000367FC" w:rsidRDefault="003E7484" w:rsidP="00F911B9">
            <w:pPr>
              <w:autoSpaceDE w:val="0"/>
              <w:autoSpaceDN w:val="0"/>
              <w:adjustRightInd w:val="0"/>
              <w:spacing w:before="29" w:line="360" w:lineRule="auto"/>
              <w:ind w:left="15"/>
              <w:rPr>
                <w:rFonts w:eastAsiaTheme="minorEastAsia"/>
                <w:szCs w:val="21"/>
              </w:rPr>
            </w:pPr>
            <w:r w:rsidRPr="000367FC">
              <w:rPr>
                <w:rFonts w:eastAsiaTheme="minorEastAsia"/>
                <w:szCs w:val="21"/>
              </w:rPr>
              <w:lastRenderedPageBreak/>
              <w:t>华夏中证全指证券公司交易型开放式指数证券投资基金</w:t>
            </w:r>
          </w:p>
        </w:tc>
        <w:tc>
          <w:tcPr>
            <w:tcW w:w="665" w:type="pct"/>
            <w:vAlign w:val="center"/>
          </w:tcPr>
          <w:p w:rsidR="003E7484" w:rsidRPr="000367FC" w:rsidRDefault="003E7484" w:rsidP="0058170B">
            <w:pPr>
              <w:autoSpaceDE w:val="0"/>
              <w:autoSpaceDN w:val="0"/>
              <w:adjustRightInd w:val="0"/>
              <w:spacing w:before="29" w:line="360" w:lineRule="auto"/>
              <w:ind w:left="15"/>
              <w:rPr>
                <w:rFonts w:eastAsiaTheme="minorEastAsia"/>
                <w:szCs w:val="21"/>
              </w:rPr>
            </w:pPr>
            <w:r>
              <w:rPr>
                <w:rFonts w:eastAsiaTheme="minorEastAsia"/>
                <w:szCs w:val="21"/>
              </w:rPr>
              <w:t>招商证券</w:t>
            </w:r>
          </w:p>
        </w:tc>
        <w:tc>
          <w:tcPr>
            <w:tcW w:w="749" w:type="pct"/>
            <w:vAlign w:val="center"/>
          </w:tcPr>
          <w:p w:rsidR="003E7484" w:rsidRPr="003E7484" w:rsidRDefault="003E7484" w:rsidP="003E7484">
            <w:pPr>
              <w:jc w:val="right"/>
              <w:rPr>
                <w:color w:val="000000"/>
                <w:szCs w:val="21"/>
              </w:rPr>
            </w:pPr>
            <w:r w:rsidRPr="003E7484">
              <w:rPr>
                <w:color w:val="000000"/>
                <w:szCs w:val="21"/>
              </w:rPr>
              <w:t>298,645</w:t>
            </w:r>
          </w:p>
        </w:tc>
        <w:tc>
          <w:tcPr>
            <w:tcW w:w="861" w:type="pct"/>
            <w:vAlign w:val="center"/>
          </w:tcPr>
          <w:p w:rsidR="003E7484" w:rsidRPr="003E7484" w:rsidRDefault="003E7484" w:rsidP="003E7484">
            <w:pPr>
              <w:jc w:val="right"/>
              <w:rPr>
                <w:color w:val="000000"/>
                <w:szCs w:val="21"/>
              </w:rPr>
            </w:pPr>
            <w:r w:rsidRPr="003E7484">
              <w:rPr>
                <w:color w:val="000000"/>
                <w:szCs w:val="21"/>
              </w:rPr>
              <w:t>2,227,891.70</w:t>
            </w:r>
          </w:p>
        </w:tc>
      </w:tr>
      <w:tr w:rsidR="003E7484" w:rsidRPr="000367FC" w:rsidTr="003E7484">
        <w:tc>
          <w:tcPr>
            <w:tcW w:w="2725" w:type="pct"/>
            <w:vAlign w:val="center"/>
          </w:tcPr>
          <w:p w:rsidR="003E7484" w:rsidRPr="000367FC" w:rsidRDefault="003E7484" w:rsidP="00F911B9">
            <w:pPr>
              <w:autoSpaceDE w:val="0"/>
              <w:autoSpaceDN w:val="0"/>
              <w:adjustRightInd w:val="0"/>
              <w:spacing w:before="29" w:line="360" w:lineRule="auto"/>
              <w:ind w:left="15"/>
              <w:rPr>
                <w:rFonts w:eastAsiaTheme="minorEastAsia"/>
                <w:szCs w:val="21"/>
              </w:rPr>
            </w:pPr>
            <w:r w:rsidRPr="00A72139">
              <w:rPr>
                <w:rFonts w:eastAsiaTheme="minorEastAsia" w:hint="eastAsia"/>
                <w:szCs w:val="21"/>
              </w:rPr>
              <w:t>华夏中证全指证券公司交易型开放式指数证券投资基金发起式联接基金</w:t>
            </w:r>
          </w:p>
        </w:tc>
        <w:tc>
          <w:tcPr>
            <w:tcW w:w="665" w:type="pct"/>
            <w:vAlign w:val="center"/>
          </w:tcPr>
          <w:p w:rsidR="003E7484" w:rsidRPr="000367FC" w:rsidRDefault="003E7484" w:rsidP="0058170B">
            <w:pPr>
              <w:autoSpaceDE w:val="0"/>
              <w:autoSpaceDN w:val="0"/>
              <w:adjustRightInd w:val="0"/>
              <w:spacing w:before="29" w:line="360" w:lineRule="auto"/>
              <w:ind w:left="15"/>
              <w:rPr>
                <w:rFonts w:eastAsiaTheme="minorEastAsia"/>
                <w:szCs w:val="21"/>
              </w:rPr>
            </w:pPr>
            <w:r>
              <w:rPr>
                <w:rFonts w:eastAsiaTheme="minorEastAsia"/>
                <w:szCs w:val="21"/>
              </w:rPr>
              <w:t>招商证券</w:t>
            </w:r>
          </w:p>
        </w:tc>
        <w:tc>
          <w:tcPr>
            <w:tcW w:w="749" w:type="pct"/>
            <w:vAlign w:val="center"/>
          </w:tcPr>
          <w:p w:rsidR="003E7484" w:rsidRPr="003E7484" w:rsidRDefault="003E7484" w:rsidP="003E7484">
            <w:pPr>
              <w:jc w:val="right"/>
              <w:rPr>
                <w:color w:val="000000"/>
                <w:szCs w:val="21"/>
              </w:rPr>
            </w:pPr>
            <w:r w:rsidRPr="003E7484">
              <w:rPr>
                <w:color w:val="000000"/>
                <w:szCs w:val="21"/>
              </w:rPr>
              <w:t>21,510</w:t>
            </w:r>
          </w:p>
        </w:tc>
        <w:tc>
          <w:tcPr>
            <w:tcW w:w="861" w:type="pct"/>
            <w:vAlign w:val="center"/>
          </w:tcPr>
          <w:p w:rsidR="003E7484" w:rsidRPr="003E7484" w:rsidRDefault="003E7484" w:rsidP="003E7484">
            <w:pPr>
              <w:jc w:val="right"/>
              <w:rPr>
                <w:color w:val="000000"/>
                <w:szCs w:val="21"/>
              </w:rPr>
            </w:pPr>
            <w:r w:rsidRPr="003E7484">
              <w:rPr>
                <w:color w:val="000000"/>
                <w:szCs w:val="21"/>
              </w:rPr>
              <w:t>160,464.60</w:t>
            </w:r>
          </w:p>
        </w:tc>
      </w:tr>
    </w:tbl>
    <w:bookmarkEnd w:id="1"/>
    <w:bookmarkEnd w:id="2"/>
    <w:p w:rsidR="00624130" w:rsidRDefault="00624130" w:rsidP="00590E64">
      <w:pPr>
        <w:tabs>
          <w:tab w:val="left" w:pos="10440"/>
        </w:tabs>
        <w:spacing w:line="360" w:lineRule="auto"/>
        <w:ind w:firstLineChars="200" w:firstLine="480"/>
        <w:rPr>
          <w:rFonts w:hAnsi="宋体"/>
          <w:color w:val="000000"/>
          <w:sz w:val="24"/>
        </w:rPr>
      </w:pPr>
      <w:r w:rsidRPr="00BE18ED">
        <w:rPr>
          <w:rFonts w:hAnsi="宋体"/>
          <w:color w:val="000000"/>
          <w:sz w:val="24"/>
        </w:rPr>
        <w:t>特此公告</w:t>
      </w:r>
    </w:p>
    <w:p w:rsidR="002E0184" w:rsidRDefault="002E0184" w:rsidP="00590E64">
      <w:pPr>
        <w:tabs>
          <w:tab w:val="left" w:pos="10440"/>
        </w:tabs>
        <w:spacing w:line="360" w:lineRule="auto"/>
        <w:ind w:firstLineChars="200" w:firstLine="480"/>
        <w:rPr>
          <w:rFonts w:hAnsi="宋体"/>
          <w:color w:val="000000"/>
          <w:sz w:val="24"/>
        </w:rPr>
      </w:pPr>
    </w:p>
    <w:p w:rsidR="002E0184" w:rsidRDefault="002E0184" w:rsidP="00590E64">
      <w:pPr>
        <w:tabs>
          <w:tab w:val="left" w:pos="10440"/>
        </w:tabs>
        <w:spacing w:line="360" w:lineRule="auto"/>
        <w:ind w:firstLineChars="200" w:firstLine="480"/>
        <w:rPr>
          <w:rFonts w:hAnsi="宋体"/>
          <w:color w:val="000000"/>
          <w:sz w:val="24"/>
        </w:rPr>
      </w:pPr>
    </w:p>
    <w:p w:rsidR="00624130" w:rsidRPr="00BE18ED" w:rsidRDefault="00624130" w:rsidP="00590E64">
      <w:pPr>
        <w:tabs>
          <w:tab w:val="left" w:pos="10440"/>
        </w:tabs>
        <w:snapToGrid w:val="0"/>
        <w:spacing w:line="360" w:lineRule="auto"/>
        <w:jc w:val="right"/>
        <w:rPr>
          <w:color w:val="000000"/>
          <w:sz w:val="24"/>
        </w:rPr>
      </w:pPr>
      <w:r w:rsidRPr="00BE18ED">
        <w:rPr>
          <w:rFonts w:hAnsi="宋体"/>
          <w:color w:val="000000"/>
          <w:sz w:val="24"/>
        </w:rPr>
        <w:t>华夏基金管理有限公司</w:t>
      </w:r>
    </w:p>
    <w:p w:rsidR="00624130" w:rsidRPr="00BE18ED" w:rsidRDefault="00D10D61" w:rsidP="00590E64">
      <w:pPr>
        <w:tabs>
          <w:tab w:val="left" w:pos="10440"/>
        </w:tabs>
        <w:snapToGrid w:val="0"/>
        <w:spacing w:line="360" w:lineRule="auto"/>
        <w:jc w:val="right"/>
        <w:rPr>
          <w:color w:val="000000"/>
        </w:rPr>
      </w:pPr>
      <w:r w:rsidRPr="00371013">
        <w:rPr>
          <w:rFonts w:ascii="宋体" w:hAnsi="宋体"/>
          <w:color w:val="000000"/>
          <w:sz w:val="24"/>
        </w:rPr>
        <w:t>二○</w:t>
      </w:r>
      <w:r w:rsidR="00346166" w:rsidRPr="00371013">
        <w:rPr>
          <w:rFonts w:ascii="宋体" w:hAnsi="宋体"/>
          <w:color w:val="000000"/>
          <w:sz w:val="24"/>
        </w:rPr>
        <w:t>二○</w:t>
      </w:r>
      <w:r w:rsidR="002C2308" w:rsidRPr="00371013">
        <w:rPr>
          <w:rFonts w:ascii="宋体" w:hAnsi="宋体"/>
          <w:color w:val="000000"/>
          <w:sz w:val="24"/>
        </w:rPr>
        <w:t>年</w:t>
      </w:r>
      <w:r w:rsidR="00346166">
        <w:rPr>
          <w:rFonts w:ascii="宋体" w:hAnsi="宋体" w:hint="eastAsia"/>
          <w:color w:val="000000"/>
          <w:sz w:val="24"/>
        </w:rPr>
        <w:t>七</w:t>
      </w:r>
      <w:r w:rsidR="002C2308" w:rsidRPr="005D26FA">
        <w:rPr>
          <w:rFonts w:hAnsi="宋体"/>
          <w:color w:val="000000"/>
          <w:sz w:val="24"/>
        </w:rPr>
        <w:t>月</w:t>
      </w:r>
      <w:r w:rsidR="00346166">
        <w:rPr>
          <w:rFonts w:hAnsi="宋体" w:hint="eastAsia"/>
          <w:color w:val="000000"/>
          <w:sz w:val="24"/>
        </w:rPr>
        <w:t>二十二</w:t>
      </w:r>
      <w:r w:rsidR="002C2308" w:rsidRPr="00BE18ED">
        <w:rPr>
          <w:rFonts w:hAnsi="宋体"/>
          <w:color w:val="000000"/>
          <w:sz w:val="24"/>
        </w:rPr>
        <w:t>日</w:t>
      </w:r>
    </w:p>
    <w:sectPr w:rsidR="00624130" w:rsidRPr="00BE18ED" w:rsidSect="003E7484">
      <w:headerReference w:type="default" r:id="rId7"/>
      <w:footerReference w:type="even" r:id="rId8"/>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400" w:rsidRDefault="00936400">
      <w:r>
        <w:separator/>
      </w:r>
    </w:p>
  </w:endnote>
  <w:endnote w:type="continuationSeparator" w:id="0">
    <w:p w:rsidR="00936400" w:rsidRDefault="00936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00" w:rsidRDefault="002F40D1" w:rsidP="005B461D">
    <w:pPr>
      <w:pStyle w:val="a4"/>
      <w:framePr w:wrap="around" w:vAnchor="text" w:hAnchor="margin" w:xAlign="center" w:y="1"/>
      <w:rPr>
        <w:rStyle w:val="a5"/>
      </w:rPr>
    </w:pPr>
    <w:r>
      <w:rPr>
        <w:rStyle w:val="a5"/>
      </w:rPr>
      <w:fldChar w:fldCharType="begin"/>
    </w:r>
    <w:r w:rsidR="00936400">
      <w:rPr>
        <w:rStyle w:val="a5"/>
      </w:rPr>
      <w:instrText xml:space="preserve">PAGE  </w:instrText>
    </w:r>
    <w:r>
      <w:rPr>
        <w:rStyle w:val="a5"/>
      </w:rPr>
      <w:fldChar w:fldCharType="end"/>
    </w:r>
  </w:p>
  <w:p w:rsidR="00936400" w:rsidRDefault="009364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400" w:rsidRDefault="00936400">
      <w:r>
        <w:separator/>
      </w:r>
    </w:p>
  </w:footnote>
  <w:footnote w:type="continuationSeparator" w:id="0">
    <w:p w:rsidR="00936400" w:rsidRDefault="00936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00" w:rsidRDefault="002F40D1" w:rsidP="008E0599">
    <w:pPr>
      <w:pStyle w:val="a6"/>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6147" type="#_x0000_t136" style="position:absolute;left:0;text-align:left;margin-left:0;margin-top:0;width:383.25pt;height:67.5pt;rotation:315;z-index:251658240;mso-position-horizontal:center;mso-position-horizontal-relative:margin;mso-position-vertical:center;mso-position-vertical-relative:margin" fillcolor="#ccc" stroked="f">
          <v:fill opacity="46531f"/>
          <v:shadow color="#868686"/>
          <v:textpath style="font-family:&quot;Arial&quot;;font-size:30pt;v-text-kern:t" trim="t" fitpath="t" string="华夏基金管理有限公司&#10;2020-07-21&amp;xiongt&amp;xiongting"/>
          <o:lock v:ext="edit" aspectratio="t"/>
          <w10:wrap side="largest"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合规部-邱曦">
    <w15:presenceInfo w15:providerId="AD" w15:userId="S-1-5-21-4040542111-3479009570-1042660180-155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8"/>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628D"/>
    <w:rsid w:val="000201D1"/>
    <w:rsid w:val="000206EF"/>
    <w:rsid w:val="00025E53"/>
    <w:rsid w:val="000267B3"/>
    <w:rsid w:val="00031833"/>
    <w:rsid w:val="00033ADD"/>
    <w:rsid w:val="000367FC"/>
    <w:rsid w:val="000376C5"/>
    <w:rsid w:val="00040722"/>
    <w:rsid w:val="00040D7F"/>
    <w:rsid w:val="00044E88"/>
    <w:rsid w:val="00047F69"/>
    <w:rsid w:val="00054D55"/>
    <w:rsid w:val="00057B85"/>
    <w:rsid w:val="000617AD"/>
    <w:rsid w:val="00064DBA"/>
    <w:rsid w:val="00067841"/>
    <w:rsid w:val="000709CA"/>
    <w:rsid w:val="00071A19"/>
    <w:rsid w:val="00074502"/>
    <w:rsid w:val="00074A02"/>
    <w:rsid w:val="00075225"/>
    <w:rsid w:val="000776E5"/>
    <w:rsid w:val="00084083"/>
    <w:rsid w:val="00086108"/>
    <w:rsid w:val="00092164"/>
    <w:rsid w:val="0009262A"/>
    <w:rsid w:val="00093145"/>
    <w:rsid w:val="000954D7"/>
    <w:rsid w:val="000A6DAC"/>
    <w:rsid w:val="000C06C9"/>
    <w:rsid w:val="000C4534"/>
    <w:rsid w:val="000C5FEC"/>
    <w:rsid w:val="000C691A"/>
    <w:rsid w:val="000D2119"/>
    <w:rsid w:val="000D277D"/>
    <w:rsid w:val="000D32CE"/>
    <w:rsid w:val="000D34E3"/>
    <w:rsid w:val="000E5968"/>
    <w:rsid w:val="000F3D56"/>
    <w:rsid w:val="000F5486"/>
    <w:rsid w:val="000F69B2"/>
    <w:rsid w:val="0010282D"/>
    <w:rsid w:val="001104A1"/>
    <w:rsid w:val="00110A7D"/>
    <w:rsid w:val="00111FA6"/>
    <w:rsid w:val="00113981"/>
    <w:rsid w:val="00114EFE"/>
    <w:rsid w:val="00117041"/>
    <w:rsid w:val="001175B1"/>
    <w:rsid w:val="001364E6"/>
    <w:rsid w:val="00140F4F"/>
    <w:rsid w:val="00143FE8"/>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7CD9"/>
    <w:rsid w:val="001A2404"/>
    <w:rsid w:val="001A33A1"/>
    <w:rsid w:val="001B29F8"/>
    <w:rsid w:val="001B33EC"/>
    <w:rsid w:val="001B37A5"/>
    <w:rsid w:val="001B559F"/>
    <w:rsid w:val="001C0BA4"/>
    <w:rsid w:val="001C6599"/>
    <w:rsid w:val="001C6889"/>
    <w:rsid w:val="001D4CDE"/>
    <w:rsid w:val="001D5B75"/>
    <w:rsid w:val="001E35F9"/>
    <w:rsid w:val="001F0B96"/>
    <w:rsid w:val="001F7306"/>
    <w:rsid w:val="002001F0"/>
    <w:rsid w:val="00200615"/>
    <w:rsid w:val="00203F2A"/>
    <w:rsid w:val="00207552"/>
    <w:rsid w:val="00215194"/>
    <w:rsid w:val="00216F3D"/>
    <w:rsid w:val="002171F8"/>
    <w:rsid w:val="0022391E"/>
    <w:rsid w:val="00223F21"/>
    <w:rsid w:val="00224F6A"/>
    <w:rsid w:val="00226E0E"/>
    <w:rsid w:val="00234948"/>
    <w:rsid w:val="00234EA8"/>
    <w:rsid w:val="00235108"/>
    <w:rsid w:val="00236BBD"/>
    <w:rsid w:val="00244DA0"/>
    <w:rsid w:val="002460C4"/>
    <w:rsid w:val="00251D83"/>
    <w:rsid w:val="00253517"/>
    <w:rsid w:val="0026682F"/>
    <w:rsid w:val="00266B90"/>
    <w:rsid w:val="00267914"/>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D0270"/>
    <w:rsid w:val="002D0584"/>
    <w:rsid w:val="002D7033"/>
    <w:rsid w:val="002E0184"/>
    <w:rsid w:val="002E67F8"/>
    <w:rsid w:val="002F13F3"/>
    <w:rsid w:val="002F2994"/>
    <w:rsid w:val="002F40D1"/>
    <w:rsid w:val="002F662D"/>
    <w:rsid w:val="002F7333"/>
    <w:rsid w:val="003019F7"/>
    <w:rsid w:val="00303075"/>
    <w:rsid w:val="00304363"/>
    <w:rsid w:val="00311094"/>
    <w:rsid w:val="00314115"/>
    <w:rsid w:val="00317E75"/>
    <w:rsid w:val="00327944"/>
    <w:rsid w:val="003329E5"/>
    <w:rsid w:val="003436F0"/>
    <w:rsid w:val="00346166"/>
    <w:rsid w:val="00352654"/>
    <w:rsid w:val="00352B5D"/>
    <w:rsid w:val="0035417D"/>
    <w:rsid w:val="00355496"/>
    <w:rsid w:val="00360CE1"/>
    <w:rsid w:val="00362652"/>
    <w:rsid w:val="00362858"/>
    <w:rsid w:val="00364F3E"/>
    <w:rsid w:val="003670E6"/>
    <w:rsid w:val="003701AD"/>
    <w:rsid w:val="003703F2"/>
    <w:rsid w:val="00371013"/>
    <w:rsid w:val="0037460D"/>
    <w:rsid w:val="003778F6"/>
    <w:rsid w:val="00381B26"/>
    <w:rsid w:val="00381B67"/>
    <w:rsid w:val="003A0AC8"/>
    <w:rsid w:val="003A1CA7"/>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D0D91"/>
    <w:rsid w:val="003D4E89"/>
    <w:rsid w:val="003D6616"/>
    <w:rsid w:val="003E0585"/>
    <w:rsid w:val="003E271A"/>
    <w:rsid w:val="003E48D4"/>
    <w:rsid w:val="003E4BBA"/>
    <w:rsid w:val="003E5CB0"/>
    <w:rsid w:val="003E7484"/>
    <w:rsid w:val="003E7CDD"/>
    <w:rsid w:val="003F4BEA"/>
    <w:rsid w:val="003F69F4"/>
    <w:rsid w:val="0040455D"/>
    <w:rsid w:val="00404A7C"/>
    <w:rsid w:val="00411EAA"/>
    <w:rsid w:val="00414407"/>
    <w:rsid w:val="004155AF"/>
    <w:rsid w:val="00425B0B"/>
    <w:rsid w:val="00425D09"/>
    <w:rsid w:val="00426433"/>
    <w:rsid w:val="00435DC8"/>
    <w:rsid w:val="00436147"/>
    <w:rsid w:val="00436B70"/>
    <w:rsid w:val="00436CF1"/>
    <w:rsid w:val="00437B5E"/>
    <w:rsid w:val="00437F51"/>
    <w:rsid w:val="00446203"/>
    <w:rsid w:val="00451D17"/>
    <w:rsid w:val="00453882"/>
    <w:rsid w:val="00462151"/>
    <w:rsid w:val="00462843"/>
    <w:rsid w:val="00463127"/>
    <w:rsid w:val="00464DD3"/>
    <w:rsid w:val="0046509D"/>
    <w:rsid w:val="00467E1B"/>
    <w:rsid w:val="004722F3"/>
    <w:rsid w:val="00472B6E"/>
    <w:rsid w:val="00476B59"/>
    <w:rsid w:val="00480E4B"/>
    <w:rsid w:val="004816ED"/>
    <w:rsid w:val="004831EE"/>
    <w:rsid w:val="0048617A"/>
    <w:rsid w:val="0048660A"/>
    <w:rsid w:val="00487DA3"/>
    <w:rsid w:val="00491BB0"/>
    <w:rsid w:val="00491FD9"/>
    <w:rsid w:val="00495FA4"/>
    <w:rsid w:val="004A0400"/>
    <w:rsid w:val="004A17EF"/>
    <w:rsid w:val="004A31D4"/>
    <w:rsid w:val="004A5E3C"/>
    <w:rsid w:val="004B109F"/>
    <w:rsid w:val="004B20FE"/>
    <w:rsid w:val="004B3D50"/>
    <w:rsid w:val="004B67FC"/>
    <w:rsid w:val="004C62F8"/>
    <w:rsid w:val="004D29FF"/>
    <w:rsid w:val="004D4D07"/>
    <w:rsid w:val="004D55F1"/>
    <w:rsid w:val="004D7714"/>
    <w:rsid w:val="004E13F2"/>
    <w:rsid w:val="004E4E21"/>
    <w:rsid w:val="004F0077"/>
    <w:rsid w:val="004F217A"/>
    <w:rsid w:val="004F6EA5"/>
    <w:rsid w:val="004F7597"/>
    <w:rsid w:val="00500892"/>
    <w:rsid w:val="00503077"/>
    <w:rsid w:val="00504847"/>
    <w:rsid w:val="00505AD1"/>
    <w:rsid w:val="005071DA"/>
    <w:rsid w:val="00510645"/>
    <w:rsid w:val="005117F6"/>
    <w:rsid w:val="00520B19"/>
    <w:rsid w:val="00526D6F"/>
    <w:rsid w:val="00532EED"/>
    <w:rsid w:val="0053655C"/>
    <w:rsid w:val="005437C6"/>
    <w:rsid w:val="005440EE"/>
    <w:rsid w:val="00544E7F"/>
    <w:rsid w:val="005458A8"/>
    <w:rsid w:val="00545E18"/>
    <w:rsid w:val="005515BC"/>
    <w:rsid w:val="00554EA5"/>
    <w:rsid w:val="005563B4"/>
    <w:rsid w:val="0056236F"/>
    <w:rsid w:val="005734C5"/>
    <w:rsid w:val="00573F67"/>
    <w:rsid w:val="00575AF9"/>
    <w:rsid w:val="005765F8"/>
    <w:rsid w:val="00580245"/>
    <w:rsid w:val="0058390B"/>
    <w:rsid w:val="0058565F"/>
    <w:rsid w:val="00590E64"/>
    <w:rsid w:val="005A105A"/>
    <w:rsid w:val="005A4092"/>
    <w:rsid w:val="005A5D9A"/>
    <w:rsid w:val="005A70C4"/>
    <w:rsid w:val="005B461D"/>
    <w:rsid w:val="005B6551"/>
    <w:rsid w:val="005B6CA2"/>
    <w:rsid w:val="005C73A0"/>
    <w:rsid w:val="005D26FA"/>
    <w:rsid w:val="005D6173"/>
    <w:rsid w:val="005E2B89"/>
    <w:rsid w:val="005E5C7B"/>
    <w:rsid w:val="005F0C13"/>
    <w:rsid w:val="005F1977"/>
    <w:rsid w:val="005F5E6A"/>
    <w:rsid w:val="005F7148"/>
    <w:rsid w:val="005F7D29"/>
    <w:rsid w:val="006014AA"/>
    <w:rsid w:val="00605D21"/>
    <w:rsid w:val="00610B15"/>
    <w:rsid w:val="006132A0"/>
    <w:rsid w:val="00624130"/>
    <w:rsid w:val="00625621"/>
    <w:rsid w:val="00625DEC"/>
    <w:rsid w:val="00626961"/>
    <w:rsid w:val="00635805"/>
    <w:rsid w:val="00637106"/>
    <w:rsid w:val="00641AD4"/>
    <w:rsid w:val="0067122B"/>
    <w:rsid w:val="00671689"/>
    <w:rsid w:val="0067349A"/>
    <w:rsid w:val="006775DA"/>
    <w:rsid w:val="00681582"/>
    <w:rsid w:val="0068423B"/>
    <w:rsid w:val="00687DE7"/>
    <w:rsid w:val="0069170A"/>
    <w:rsid w:val="00695904"/>
    <w:rsid w:val="006970A7"/>
    <w:rsid w:val="006A13B3"/>
    <w:rsid w:val="006A1CD8"/>
    <w:rsid w:val="006A544E"/>
    <w:rsid w:val="006A58F0"/>
    <w:rsid w:val="006C01AF"/>
    <w:rsid w:val="006C3586"/>
    <w:rsid w:val="006C3895"/>
    <w:rsid w:val="006C4B05"/>
    <w:rsid w:val="006C5FF3"/>
    <w:rsid w:val="006D05C4"/>
    <w:rsid w:val="006D3591"/>
    <w:rsid w:val="006D5A4B"/>
    <w:rsid w:val="006D5A70"/>
    <w:rsid w:val="006D6552"/>
    <w:rsid w:val="006D7AEB"/>
    <w:rsid w:val="006E0997"/>
    <w:rsid w:val="006E20B4"/>
    <w:rsid w:val="006E229E"/>
    <w:rsid w:val="006E4C77"/>
    <w:rsid w:val="007009E2"/>
    <w:rsid w:val="00700E45"/>
    <w:rsid w:val="0070390B"/>
    <w:rsid w:val="00706B30"/>
    <w:rsid w:val="007111A4"/>
    <w:rsid w:val="00712C4A"/>
    <w:rsid w:val="00713A72"/>
    <w:rsid w:val="00714070"/>
    <w:rsid w:val="007140CF"/>
    <w:rsid w:val="007146CE"/>
    <w:rsid w:val="00714B78"/>
    <w:rsid w:val="00722D55"/>
    <w:rsid w:val="00724964"/>
    <w:rsid w:val="00727B8D"/>
    <w:rsid w:val="00730C14"/>
    <w:rsid w:val="007333A7"/>
    <w:rsid w:val="007342EF"/>
    <w:rsid w:val="00740EC6"/>
    <w:rsid w:val="00747B24"/>
    <w:rsid w:val="007539A4"/>
    <w:rsid w:val="00766085"/>
    <w:rsid w:val="00772775"/>
    <w:rsid w:val="007779FC"/>
    <w:rsid w:val="007817D2"/>
    <w:rsid w:val="0078300A"/>
    <w:rsid w:val="0078717C"/>
    <w:rsid w:val="00793C57"/>
    <w:rsid w:val="007947B5"/>
    <w:rsid w:val="00797CF1"/>
    <w:rsid w:val="007A0080"/>
    <w:rsid w:val="007A2305"/>
    <w:rsid w:val="007A3A52"/>
    <w:rsid w:val="007A4C5A"/>
    <w:rsid w:val="007A4D61"/>
    <w:rsid w:val="007A4FA3"/>
    <w:rsid w:val="007A5217"/>
    <w:rsid w:val="007B0D8B"/>
    <w:rsid w:val="007B1D38"/>
    <w:rsid w:val="007B41B5"/>
    <w:rsid w:val="007C034A"/>
    <w:rsid w:val="007C202D"/>
    <w:rsid w:val="007C2CE5"/>
    <w:rsid w:val="007C420F"/>
    <w:rsid w:val="007D3A0C"/>
    <w:rsid w:val="007D6F01"/>
    <w:rsid w:val="007E2598"/>
    <w:rsid w:val="007E2618"/>
    <w:rsid w:val="007E2811"/>
    <w:rsid w:val="007E52A8"/>
    <w:rsid w:val="007E781F"/>
    <w:rsid w:val="007F19DB"/>
    <w:rsid w:val="007F4920"/>
    <w:rsid w:val="007F7958"/>
    <w:rsid w:val="008140DA"/>
    <w:rsid w:val="00814B2B"/>
    <w:rsid w:val="00817B5F"/>
    <w:rsid w:val="00820664"/>
    <w:rsid w:val="00822CF8"/>
    <w:rsid w:val="008302D9"/>
    <w:rsid w:val="00833C35"/>
    <w:rsid w:val="00833D73"/>
    <w:rsid w:val="0083451B"/>
    <w:rsid w:val="00834E03"/>
    <w:rsid w:val="00834FED"/>
    <w:rsid w:val="00836F09"/>
    <w:rsid w:val="00837BE1"/>
    <w:rsid w:val="00843039"/>
    <w:rsid w:val="008442A5"/>
    <w:rsid w:val="00846B1B"/>
    <w:rsid w:val="00860F53"/>
    <w:rsid w:val="00866D55"/>
    <w:rsid w:val="00867D3E"/>
    <w:rsid w:val="00871FDB"/>
    <w:rsid w:val="00880788"/>
    <w:rsid w:val="00887E28"/>
    <w:rsid w:val="00890462"/>
    <w:rsid w:val="0089106C"/>
    <w:rsid w:val="008A0D9F"/>
    <w:rsid w:val="008A3CED"/>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6648"/>
    <w:rsid w:val="008F6D42"/>
    <w:rsid w:val="00913A0D"/>
    <w:rsid w:val="0091596C"/>
    <w:rsid w:val="00915B8F"/>
    <w:rsid w:val="00920C1C"/>
    <w:rsid w:val="0092337E"/>
    <w:rsid w:val="0092506A"/>
    <w:rsid w:val="00927F1A"/>
    <w:rsid w:val="00931C80"/>
    <w:rsid w:val="00932B68"/>
    <w:rsid w:val="00932BB8"/>
    <w:rsid w:val="00933D4D"/>
    <w:rsid w:val="00934EDE"/>
    <w:rsid w:val="00936400"/>
    <w:rsid w:val="009374AA"/>
    <w:rsid w:val="009403B3"/>
    <w:rsid w:val="009408B4"/>
    <w:rsid w:val="00950B93"/>
    <w:rsid w:val="00951D64"/>
    <w:rsid w:val="009549DA"/>
    <w:rsid w:val="00954E63"/>
    <w:rsid w:val="0095508A"/>
    <w:rsid w:val="009570F5"/>
    <w:rsid w:val="009615B2"/>
    <w:rsid w:val="00961B15"/>
    <w:rsid w:val="00961D11"/>
    <w:rsid w:val="009628F3"/>
    <w:rsid w:val="0096749A"/>
    <w:rsid w:val="00967776"/>
    <w:rsid w:val="0097151C"/>
    <w:rsid w:val="00974960"/>
    <w:rsid w:val="00977B49"/>
    <w:rsid w:val="00981E24"/>
    <w:rsid w:val="00983B17"/>
    <w:rsid w:val="009900CA"/>
    <w:rsid w:val="00991F25"/>
    <w:rsid w:val="009978B5"/>
    <w:rsid w:val="009A366E"/>
    <w:rsid w:val="009A4E08"/>
    <w:rsid w:val="009A6B3A"/>
    <w:rsid w:val="009B026F"/>
    <w:rsid w:val="009B1173"/>
    <w:rsid w:val="009B1995"/>
    <w:rsid w:val="009B296B"/>
    <w:rsid w:val="009B5E35"/>
    <w:rsid w:val="009C1E6C"/>
    <w:rsid w:val="009C327F"/>
    <w:rsid w:val="009C4990"/>
    <w:rsid w:val="009C4B29"/>
    <w:rsid w:val="009C6E82"/>
    <w:rsid w:val="009D0385"/>
    <w:rsid w:val="009D1F42"/>
    <w:rsid w:val="009D3453"/>
    <w:rsid w:val="009D3EDA"/>
    <w:rsid w:val="009D4596"/>
    <w:rsid w:val="009D56DE"/>
    <w:rsid w:val="009D7D4F"/>
    <w:rsid w:val="009D7F07"/>
    <w:rsid w:val="009E34BD"/>
    <w:rsid w:val="009F210B"/>
    <w:rsid w:val="009F2653"/>
    <w:rsid w:val="009F4981"/>
    <w:rsid w:val="00A013E6"/>
    <w:rsid w:val="00A0229B"/>
    <w:rsid w:val="00A03031"/>
    <w:rsid w:val="00A0460D"/>
    <w:rsid w:val="00A04ED6"/>
    <w:rsid w:val="00A11B7D"/>
    <w:rsid w:val="00A144FE"/>
    <w:rsid w:val="00A14C52"/>
    <w:rsid w:val="00A15EB8"/>
    <w:rsid w:val="00A239A8"/>
    <w:rsid w:val="00A24E41"/>
    <w:rsid w:val="00A27CA6"/>
    <w:rsid w:val="00A37E80"/>
    <w:rsid w:val="00A424E3"/>
    <w:rsid w:val="00A44DAD"/>
    <w:rsid w:val="00A45123"/>
    <w:rsid w:val="00A47DD9"/>
    <w:rsid w:val="00A54FC6"/>
    <w:rsid w:val="00A554A3"/>
    <w:rsid w:val="00A55675"/>
    <w:rsid w:val="00A56DF7"/>
    <w:rsid w:val="00A57BF3"/>
    <w:rsid w:val="00A677C6"/>
    <w:rsid w:val="00A72139"/>
    <w:rsid w:val="00A770A3"/>
    <w:rsid w:val="00A86FAE"/>
    <w:rsid w:val="00A92CB1"/>
    <w:rsid w:val="00A977DD"/>
    <w:rsid w:val="00AA0D80"/>
    <w:rsid w:val="00AA15FE"/>
    <w:rsid w:val="00AA18DA"/>
    <w:rsid w:val="00AA441B"/>
    <w:rsid w:val="00AA4BB9"/>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EA8"/>
    <w:rsid w:val="00AF1C2F"/>
    <w:rsid w:val="00AF3E00"/>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314F"/>
    <w:rsid w:val="00B53331"/>
    <w:rsid w:val="00B67897"/>
    <w:rsid w:val="00B67A2F"/>
    <w:rsid w:val="00B7553F"/>
    <w:rsid w:val="00B76EC1"/>
    <w:rsid w:val="00B8003C"/>
    <w:rsid w:val="00B815A9"/>
    <w:rsid w:val="00B85E4B"/>
    <w:rsid w:val="00B9418F"/>
    <w:rsid w:val="00B94BF5"/>
    <w:rsid w:val="00B9590C"/>
    <w:rsid w:val="00B959B7"/>
    <w:rsid w:val="00B978E8"/>
    <w:rsid w:val="00BA2133"/>
    <w:rsid w:val="00BA2B6C"/>
    <w:rsid w:val="00BB1BDD"/>
    <w:rsid w:val="00BB49EF"/>
    <w:rsid w:val="00BB59B7"/>
    <w:rsid w:val="00BC0AE5"/>
    <w:rsid w:val="00BC23FB"/>
    <w:rsid w:val="00BC5CD7"/>
    <w:rsid w:val="00BD0E3A"/>
    <w:rsid w:val="00BD158A"/>
    <w:rsid w:val="00BD5F47"/>
    <w:rsid w:val="00BE0198"/>
    <w:rsid w:val="00BE05FB"/>
    <w:rsid w:val="00BE18ED"/>
    <w:rsid w:val="00BE67EE"/>
    <w:rsid w:val="00BE7D11"/>
    <w:rsid w:val="00BE7EFF"/>
    <w:rsid w:val="00BF1179"/>
    <w:rsid w:val="00BF28A1"/>
    <w:rsid w:val="00BF4F50"/>
    <w:rsid w:val="00BF5BD2"/>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56B8"/>
    <w:rsid w:val="00C660AC"/>
    <w:rsid w:val="00C66E9B"/>
    <w:rsid w:val="00C71BA9"/>
    <w:rsid w:val="00C72375"/>
    <w:rsid w:val="00C803B0"/>
    <w:rsid w:val="00C81AC3"/>
    <w:rsid w:val="00C87B12"/>
    <w:rsid w:val="00C90B56"/>
    <w:rsid w:val="00C9243F"/>
    <w:rsid w:val="00C925B4"/>
    <w:rsid w:val="00C96A06"/>
    <w:rsid w:val="00CA0106"/>
    <w:rsid w:val="00CA0F9D"/>
    <w:rsid w:val="00CA3531"/>
    <w:rsid w:val="00CB1A09"/>
    <w:rsid w:val="00CB1D1A"/>
    <w:rsid w:val="00CB35C3"/>
    <w:rsid w:val="00CB3729"/>
    <w:rsid w:val="00CB3D67"/>
    <w:rsid w:val="00CB6D2E"/>
    <w:rsid w:val="00CC788D"/>
    <w:rsid w:val="00CD0FBE"/>
    <w:rsid w:val="00CE641F"/>
    <w:rsid w:val="00CE64EB"/>
    <w:rsid w:val="00CF2E8E"/>
    <w:rsid w:val="00CF46CF"/>
    <w:rsid w:val="00CF56F0"/>
    <w:rsid w:val="00D01C4A"/>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673F"/>
    <w:rsid w:val="00D577C5"/>
    <w:rsid w:val="00D60B6B"/>
    <w:rsid w:val="00D6238C"/>
    <w:rsid w:val="00D63FE9"/>
    <w:rsid w:val="00D74304"/>
    <w:rsid w:val="00D75C51"/>
    <w:rsid w:val="00D91080"/>
    <w:rsid w:val="00D94D4B"/>
    <w:rsid w:val="00DA59E1"/>
    <w:rsid w:val="00DA5C28"/>
    <w:rsid w:val="00DA7C11"/>
    <w:rsid w:val="00DB0CAA"/>
    <w:rsid w:val="00DB7940"/>
    <w:rsid w:val="00DC0D4D"/>
    <w:rsid w:val="00DC6AFA"/>
    <w:rsid w:val="00DD045E"/>
    <w:rsid w:val="00DD36B9"/>
    <w:rsid w:val="00DD747A"/>
    <w:rsid w:val="00DD768D"/>
    <w:rsid w:val="00DE408D"/>
    <w:rsid w:val="00DE43E7"/>
    <w:rsid w:val="00DE5800"/>
    <w:rsid w:val="00DF0232"/>
    <w:rsid w:val="00DF14B1"/>
    <w:rsid w:val="00DF2298"/>
    <w:rsid w:val="00E01E14"/>
    <w:rsid w:val="00E033AC"/>
    <w:rsid w:val="00E06864"/>
    <w:rsid w:val="00E140F6"/>
    <w:rsid w:val="00E17556"/>
    <w:rsid w:val="00E17EEA"/>
    <w:rsid w:val="00E25F1A"/>
    <w:rsid w:val="00E26E98"/>
    <w:rsid w:val="00E308D1"/>
    <w:rsid w:val="00E32E15"/>
    <w:rsid w:val="00E42557"/>
    <w:rsid w:val="00E432E9"/>
    <w:rsid w:val="00E4457B"/>
    <w:rsid w:val="00E5133E"/>
    <w:rsid w:val="00E601C0"/>
    <w:rsid w:val="00E6050E"/>
    <w:rsid w:val="00E61F24"/>
    <w:rsid w:val="00E62749"/>
    <w:rsid w:val="00E703F2"/>
    <w:rsid w:val="00E71492"/>
    <w:rsid w:val="00E72564"/>
    <w:rsid w:val="00E8181B"/>
    <w:rsid w:val="00E81D0D"/>
    <w:rsid w:val="00E85428"/>
    <w:rsid w:val="00E8794C"/>
    <w:rsid w:val="00E87C7B"/>
    <w:rsid w:val="00E91C14"/>
    <w:rsid w:val="00E95B62"/>
    <w:rsid w:val="00E963A6"/>
    <w:rsid w:val="00EB77D4"/>
    <w:rsid w:val="00EC232D"/>
    <w:rsid w:val="00ED1C28"/>
    <w:rsid w:val="00ED2832"/>
    <w:rsid w:val="00ED697D"/>
    <w:rsid w:val="00EE365F"/>
    <w:rsid w:val="00EE5593"/>
    <w:rsid w:val="00EE6B53"/>
    <w:rsid w:val="00EF1F00"/>
    <w:rsid w:val="00EF404F"/>
    <w:rsid w:val="00F01021"/>
    <w:rsid w:val="00F03E8C"/>
    <w:rsid w:val="00F03EEE"/>
    <w:rsid w:val="00F10964"/>
    <w:rsid w:val="00F117C9"/>
    <w:rsid w:val="00F12542"/>
    <w:rsid w:val="00F15BFB"/>
    <w:rsid w:val="00F15D23"/>
    <w:rsid w:val="00F16FCF"/>
    <w:rsid w:val="00F1726D"/>
    <w:rsid w:val="00F17794"/>
    <w:rsid w:val="00F20120"/>
    <w:rsid w:val="00F22340"/>
    <w:rsid w:val="00F25EFA"/>
    <w:rsid w:val="00F3097A"/>
    <w:rsid w:val="00F313B9"/>
    <w:rsid w:val="00F3257C"/>
    <w:rsid w:val="00F35CB9"/>
    <w:rsid w:val="00F41AC3"/>
    <w:rsid w:val="00F429A2"/>
    <w:rsid w:val="00F45512"/>
    <w:rsid w:val="00F45D1F"/>
    <w:rsid w:val="00F47179"/>
    <w:rsid w:val="00F55102"/>
    <w:rsid w:val="00F562CF"/>
    <w:rsid w:val="00F76463"/>
    <w:rsid w:val="00F80BC9"/>
    <w:rsid w:val="00F81A97"/>
    <w:rsid w:val="00F84CA3"/>
    <w:rsid w:val="00F90A47"/>
    <w:rsid w:val="00F911B9"/>
    <w:rsid w:val="00F91A6D"/>
    <w:rsid w:val="00F92CA1"/>
    <w:rsid w:val="00F9647C"/>
    <w:rsid w:val="00FA059B"/>
    <w:rsid w:val="00FA2009"/>
    <w:rsid w:val="00FA4B88"/>
    <w:rsid w:val="00FB1579"/>
    <w:rsid w:val="00FB27D3"/>
    <w:rsid w:val="00FC4DE4"/>
    <w:rsid w:val="00FC5F23"/>
    <w:rsid w:val="00FC6189"/>
    <w:rsid w:val="00FC7FD9"/>
    <w:rsid w:val="00FD5B6A"/>
    <w:rsid w:val="00FD6E2E"/>
    <w:rsid w:val="00FE0963"/>
    <w:rsid w:val="00FE1812"/>
    <w:rsid w:val="00FE444F"/>
    <w:rsid w:val="00FE63A1"/>
    <w:rsid w:val="00FE6967"/>
    <w:rsid w:val="00FF0034"/>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s>
</file>

<file path=word/webSettings.xml><?xml version="1.0" encoding="utf-8"?>
<w:webSettings xmlns:r="http://schemas.openxmlformats.org/officeDocument/2006/relationships" xmlns:w="http://schemas.openxmlformats.org/wordprocessingml/2006/main">
  <w:divs>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C1F63-B4A9-4E28-B743-03A3E2C3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865</Characters>
  <Application>Microsoft Office Word</Application>
  <DocSecurity>4</DocSecurity>
  <Lines>7</Lines>
  <Paragraphs>2</Paragraphs>
  <ScaleCrop>false</ScaleCrop>
  <Company>CHINAAMC</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2020-07-21T16:00:00Z</dcterms:created>
  <dcterms:modified xsi:type="dcterms:W3CDTF">2020-07-21T16:00:00Z</dcterms:modified>
</cp:coreProperties>
</file>