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8" w:rsidRDefault="00FD1468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鹏扬</w:t>
      </w:r>
      <w:r w:rsidRPr="00FD14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基金管理有限公司</w:t>
      </w:r>
      <w:r w:rsidR="0056360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旗下</w:t>
      </w:r>
      <w:r w:rsidR="0056360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部分</w:t>
      </w:r>
      <w:r w:rsidR="005E088E"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基金</w:t>
      </w:r>
    </w:p>
    <w:p w:rsidR="00BB3501" w:rsidRPr="00FD1468" w:rsidRDefault="00251A7D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2020</w:t>
      </w:r>
      <w:r w:rsidR="001E49F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年第二</w:t>
      </w:r>
      <w:bookmarkStart w:id="0" w:name="_GoBack"/>
      <w:bookmarkEnd w:id="0"/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季度报告提示性公告</w:t>
      </w:r>
    </w:p>
    <w:p w:rsidR="00B16987" w:rsidRPr="005E088E" w:rsidRDefault="00B16987" w:rsidP="00DE7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FD1468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</w:t>
      </w:r>
      <w:r>
        <w:rPr>
          <w:rFonts w:asciiTheme="minorEastAsia" w:hAnsiTheme="minorEastAsia"/>
          <w:color w:val="000000" w:themeColor="text1"/>
          <w:szCs w:val="21"/>
        </w:rPr>
        <w:t>基金管理有限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公司</w:t>
      </w:r>
      <w:r w:rsidR="00056EE0" w:rsidRPr="00FD1468">
        <w:rPr>
          <w:rFonts w:asciiTheme="minorEastAsia" w:hAnsiTheme="minorEastAsia" w:hint="eastAsia"/>
          <w:color w:val="000000" w:themeColor="text1"/>
          <w:szCs w:val="21"/>
        </w:rPr>
        <w:t>旗下</w:t>
      </w:r>
      <w:r w:rsidR="003E072D">
        <w:rPr>
          <w:rFonts w:asciiTheme="minorEastAsia" w:hAnsiTheme="minorEastAsia" w:hint="eastAsia"/>
          <w:color w:val="000000" w:themeColor="text1"/>
          <w:szCs w:val="21"/>
        </w:rPr>
        <w:t>:</w:t>
      </w:r>
    </w:p>
    <w:p w:rsidR="004F77C6" w:rsidRPr="00FD1468" w:rsidRDefault="004F77C6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鹏扬汇利债券型证券投资基金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9A7FB3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鹏扬景泰成长混合型发起式证券投资基金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鹏扬景升灵活配置混合型证券投资基金</w:t>
      </w:r>
    </w:p>
    <w:p w:rsidR="004F77C6" w:rsidRPr="00FD1468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鹏扬淳利定期开放债券型证券投资基金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鹏扬核心价值灵活配置混合型证券投资基金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鹏扬添利增强债券型证券投资基金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鹏扬现金通利货币市场基金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鹏扬双利债券型证券投资基金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鹏扬淳合债券型证券投资基金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鹏扬泓利债券型证券投资基金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鹏扬元合量化大盘优选股票型证券投资基金</w:t>
      </w: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鹏扬利泽债券型证券投资基金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鹏扬淳优一年定期开放债券型证券投资基金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鹏扬景欣混合型证券投资基金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鹏扬淳享债券型证券投资基金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鹏扬淳盈6个月定期开放债券型证券投资基金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CC5648">
        <w:rPr>
          <w:rFonts w:asciiTheme="minorEastAsia" w:hAnsiTheme="minorEastAsia" w:hint="eastAsia"/>
          <w:color w:val="000000" w:themeColor="text1"/>
          <w:szCs w:val="21"/>
        </w:rPr>
        <w:lastRenderedPageBreak/>
        <w:t>鹏扬景兴混合型证券投资基金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62349E">
        <w:rPr>
          <w:rFonts w:asciiTheme="minorEastAsia" w:hAnsiTheme="minorEastAsia" w:cs="宋体" w:hint="eastAsia"/>
          <w:kern w:val="0"/>
          <w:szCs w:val="21"/>
        </w:rPr>
        <w:t>鹏扬中证500质量成长指数证券投资基金</w:t>
      </w: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9B081A">
        <w:rPr>
          <w:rFonts w:asciiTheme="minorEastAsia" w:hAnsiTheme="minorEastAsia" w:cs="宋体" w:hint="eastAsia"/>
          <w:kern w:val="0"/>
          <w:szCs w:val="21"/>
        </w:rPr>
        <w:t>鹏扬利沣短债债券型证券投资基金</w:t>
      </w:r>
    </w:p>
    <w:p w:rsidR="00574062" w:rsidRPr="00DB7022" w:rsidRDefault="00574062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鹏扬淳开债券型证券投资基金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鹏扬浦利中短债债券型证券投资基金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鹏扬淳明债券型证券投资基金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鹏扬聚利六个月持有期债券型证券投资基金</w:t>
      </w:r>
    </w:p>
    <w:p w:rsidR="00B46E6C" w:rsidRPr="00DB7022" w:rsidRDefault="00B46E6C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鹏扬景瑞三年定期开放混合型证券投资基金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鹏扬淳悦一年定期开放债券型发起式证券投资基金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鹏扬景沃六个月持有期混合型证券投资基金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鹏扬景科混合型证券投资基金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鹏扬富利增强债券型证券投资基金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鹏扬景恒六个月持有期混合型证券投资基金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共</w:t>
      </w:r>
      <w:r w:rsidR="0015350C">
        <w:rPr>
          <w:rFonts w:asciiTheme="minorEastAsia" w:hAnsiTheme="minorEastAsia"/>
          <w:color w:val="000000" w:themeColor="text1"/>
          <w:szCs w:val="21"/>
        </w:rPr>
        <w:t>2</w:t>
      </w:r>
      <w:r w:rsidR="0015350C">
        <w:rPr>
          <w:rFonts w:asciiTheme="minorEastAsia" w:hAnsiTheme="minorEastAsia" w:hint="eastAsia"/>
          <w:color w:val="000000" w:themeColor="text1"/>
          <w:szCs w:val="21"/>
        </w:rPr>
        <w:t>9</w:t>
      </w:r>
      <w:r>
        <w:rPr>
          <w:rFonts w:asciiTheme="minorEastAsia" w:hAnsiTheme="minorEastAsia" w:hint="eastAsia"/>
          <w:color w:val="000000" w:themeColor="text1"/>
          <w:szCs w:val="21"/>
        </w:rPr>
        <w:t>只</w:t>
      </w:r>
      <w:r>
        <w:rPr>
          <w:rFonts w:asciiTheme="minorEastAsia" w:hAnsiTheme="minorEastAsia"/>
          <w:color w:val="000000" w:themeColor="text1"/>
          <w:szCs w:val="21"/>
        </w:rPr>
        <w:t>基金的</w:t>
      </w:r>
      <w:r w:rsidR="009A7FB3">
        <w:rPr>
          <w:rFonts w:asciiTheme="minorEastAsia" w:hAnsiTheme="minorEastAsia"/>
          <w:color w:val="000000" w:themeColor="text1"/>
          <w:szCs w:val="21"/>
        </w:rPr>
        <w:t>20</w:t>
      </w:r>
      <w:r w:rsidR="00251A7D">
        <w:rPr>
          <w:rFonts w:asciiTheme="minorEastAsia" w:hAnsiTheme="minorEastAsia" w:hint="eastAsia"/>
          <w:color w:val="000000" w:themeColor="text1"/>
          <w:szCs w:val="21"/>
        </w:rPr>
        <w:t>20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15350C">
        <w:rPr>
          <w:rFonts w:asciiTheme="minorEastAsia" w:hAnsiTheme="minorEastAsia" w:hint="eastAsia"/>
          <w:color w:val="000000" w:themeColor="text1"/>
          <w:szCs w:val="21"/>
        </w:rPr>
        <w:t>第二</w:t>
      </w:r>
      <w:r w:rsidR="00251A7D">
        <w:rPr>
          <w:rFonts w:asciiTheme="minorEastAsia" w:hAnsiTheme="minorEastAsia"/>
          <w:color w:val="000000" w:themeColor="text1"/>
          <w:szCs w:val="21"/>
        </w:rPr>
        <w:t>季度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报告全文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于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15350C">
        <w:rPr>
          <w:rFonts w:asciiTheme="minorEastAsia" w:hAnsiTheme="minorEastAsia" w:hint="eastAsia"/>
          <w:color w:val="000000" w:themeColor="text1"/>
          <w:szCs w:val="21"/>
        </w:rPr>
        <w:t>7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15350C">
        <w:rPr>
          <w:rFonts w:asciiTheme="minorEastAsia" w:hAnsiTheme="minorEastAsia" w:hint="eastAsia"/>
          <w:color w:val="000000" w:themeColor="text1"/>
          <w:szCs w:val="21"/>
        </w:rPr>
        <w:t>1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日在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本公司网站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(</w:t>
      </w:r>
      <w:r w:rsidR="009A7FB3" w:rsidRPr="009476B6">
        <w:rPr>
          <w:rFonts w:asciiTheme="minorEastAsia" w:hAnsiTheme="minorEastAsia"/>
          <w:color w:val="000000" w:themeColor="text1"/>
          <w:szCs w:val="21"/>
        </w:rPr>
        <w:t>http://www.pyamc.com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)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和中国证监会</w:t>
      </w:r>
      <w:r w:rsidR="00191702" w:rsidRPr="00FD1468">
        <w:rPr>
          <w:rFonts w:asciiTheme="minorEastAsia" w:hAnsiTheme="minorEastAsia" w:hint="eastAsia"/>
          <w:color w:val="000000" w:themeColor="text1"/>
          <w:szCs w:val="21"/>
        </w:rPr>
        <w:t>基金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电子披露网站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0F07E6" w:rsidRPr="009A7FB3">
        <w:rPr>
          <w:rFonts w:asciiTheme="minorEastAsia" w:hAnsiTheme="minorEastAsia" w:hint="eastAsia"/>
          <w:szCs w:val="21"/>
        </w:rPr>
        <w:t>http://eid.csrc.gov.cn/fund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披露，供投资者查阅。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如有疑问可拨打本公司客服电话（</w:t>
      </w:r>
      <w:r w:rsidR="009A7FB3" w:rsidRPr="009476B6">
        <w:rPr>
          <w:rFonts w:asciiTheme="minorEastAsia" w:hAnsiTheme="minorEastAsia"/>
          <w:szCs w:val="21"/>
        </w:rPr>
        <w:t>400-968-6688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）咨询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本基金管</w:t>
      </w:r>
      <w:r w:rsidR="000C1032" w:rsidRPr="00FD1468">
        <w:rPr>
          <w:rFonts w:asciiTheme="minorEastAsia" w:hAnsiTheme="min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FD1468">
        <w:rPr>
          <w:rFonts w:asciiTheme="minorEastAsia" w:hAnsiTheme="minorEastAsia" w:hint="eastAsia"/>
          <w:color w:val="000000" w:themeColor="text1"/>
          <w:szCs w:val="21"/>
        </w:rPr>
        <w:t>基金一定盈利，也不保证最低收益。请充分了解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基金的风险收益特征，审慎做出投资决定。</w:t>
      </w:r>
    </w:p>
    <w:p w:rsidR="009A7FB3" w:rsidRPr="00FD1468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特此公告。</w:t>
      </w:r>
    </w:p>
    <w:p w:rsidR="009A7FB3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P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鹏扬</w:t>
      </w:r>
      <w:r w:rsidR="009A7FB3">
        <w:rPr>
          <w:rFonts w:asciiTheme="minorEastAsia" w:hAnsiTheme="minorEastAsia"/>
          <w:color w:val="000000" w:themeColor="text1"/>
          <w:szCs w:val="21"/>
        </w:rPr>
        <w:t>基金管理有限</w:t>
      </w:r>
      <w:r w:rsidRPr="00FD1468">
        <w:rPr>
          <w:rFonts w:asciiTheme="minorEastAsia" w:hAnsiTheme="minorEastAsia"/>
          <w:color w:val="000000" w:themeColor="text1"/>
          <w:szCs w:val="21"/>
        </w:rPr>
        <w:t>公司</w:t>
      </w: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Pr="00FD1468">
        <w:rPr>
          <w:rFonts w:asciiTheme="minorEastAsia" w:hAnsiTheme="minorEastAsia"/>
          <w:color w:val="000000" w:themeColor="text1"/>
          <w:szCs w:val="21"/>
        </w:rPr>
        <w:t>年</w:t>
      </w:r>
      <w:r w:rsidR="00106189">
        <w:rPr>
          <w:rFonts w:asciiTheme="minorEastAsia" w:hAnsiTheme="minorEastAsia" w:hint="eastAsia"/>
          <w:color w:val="000000" w:themeColor="text1"/>
          <w:szCs w:val="21"/>
        </w:rPr>
        <w:t>7</w:t>
      </w:r>
      <w:r w:rsidRPr="00FD1468">
        <w:rPr>
          <w:rFonts w:asciiTheme="minorEastAsia" w:hAnsiTheme="minorEastAsia"/>
          <w:color w:val="000000" w:themeColor="text1"/>
          <w:szCs w:val="21"/>
        </w:rPr>
        <w:t>月</w:t>
      </w:r>
      <w:r w:rsidR="00106189">
        <w:rPr>
          <w:rFonts w:asciiTheme="minorEastAsia" w:hAnsiTheme="minorEastAsia"/>
          <w:color w:val="000000" w:themeColor="text1"/>
          <w:szCs w:val="21"/>
        </w:rPr>
        <w:t>2</w:t>
      </w:r>
      <w:r w:rsidR="00106189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FD1468">
        <w:rPr>
          <w:rFonts w:asciiTheme="minorEastAsia" w:hAnsiTheme="minorEastAsia"/>
          <w:color w:val="000000" w:themeColor="text1"/>
          <w:szCs w:val="21"/>
        </w:rPr>
        <w:t>日</w:t>
      </w:r>
    </w:p>
    <w:sectPr w:rsidR="00BB3501" w:rsidRPr="00FD146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46" w:rsidRDefault="00A94B46" w:rsidP="009A149B">
      <w:r>
        <w:separator/>
      </w:r>
    </w:p>
  </w:endnote>
  <w:endnote w:type="continuationSeparator" w:id="0">
    <w:p w:rsidR="00A94B46" w:rsidRDefault="00A94B4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C77B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7420" w:rsidRPr="00DE74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C77B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7420" w:rsidRPr="00DE74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46" w:rsidRDefault="00A94B46" w:rsidP="009A149B">
      <w:r>
        <w:separator/>
      </w:r>
    </w:p>
  </w:footnote>
  <w:footnote w:type="continuationSeparator" w:id="0">
    <w:p w:rsidR="00A94B46" w:rsidRDefault="00A94B4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D7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189"/>
    <w:rsid w:val="001279BE"/>
    <w:rsid w:val="0013251E"/>
    <w:rsid w:val="001445A9"/>
    <w:rsid w:val="00146307"/>
    <w:rsid w:val="001533B2"/>
    <w:rsid w:val="0015350C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CAA"/>
    <w:rsid w:val="001D04AB"/>
    <w:rsid w:val="001D2521"/>
    <w:rsid w:val="001D74AE"/>
    <w:rsid w:val="001E49FD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A7D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4B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72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3C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7B7"/>
    <w:rsid w:val="004E1D5E"/>
    <w:rsid w:val="004E630B"/>
    <w:rsid w:val="004F7313"/>
    <w:rsid w:val="004F77C6"/>
    <w:rsid w:val="005158A6"/>
    <w:rsid w:val="0052094C"/>
    <w:rsid w:val="0052379D"/>
    <w:rsid w:val="00534A41"/>
    <w:rsid w:val="0053650E"/>
    <w:rsid w:val="00542535"/>
    <w:rsid w:val="00544E6E"/>
    <w:rsid w:val="00547910"/>
    <w:rsid w:val="00551033"/>
    <w:rsid w:val="00560AC4"/>
    <w:rsid w:val="00563606"/>
    <w:rsid w:val="00563FE4"/>
    <w:rsid w:val="00567A02"/>
    <w:rsid w:val="005711D9"/>
    <w:rsid w:val="00574062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C9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29BD"/>
    <w:rsid w:val="0066309A"/>
    <w:rsid w:val="006630F2"/>
    <w:rsid w:val="0066627D"/>
    <w:rsid w:val="006832A2"/>
    <w:rsid w:val="00684A20"/>
    <w:rsid w:val="00690EC4"/>
    <w:rsid w:val="006962CB"/>
    <w:rsid w:val="006A0BB0"/>
    <w:rsid w:val="006A0D6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1D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28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D5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C46"/>
    <w:rsid w:val="009A7FB3"/>
    <w:rsid w:val="009B33C8"/>
    <w:rsid w:val="009B5D57"/>
    <w:rsid w:val="009C15E2"/>
    <w:rsid w:val="009C33BF"/>
    <w:rsid w:val="009C3820"/>
    <w:rsid w:val="009D3CE4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F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B46"/>
    <w:rsid w:val="00AA0BB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E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40A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33A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A66"/>
    <w:rsid w:val="00DA2D7C"/>
    <w:rsid w:val="00DB6F0A"/>
    <w:rsid w:val="00DB7022"/>
    <w:rsid w:val="00DD7BAA"/>
    <w:rsid w:val="00DE0FFA"/>
    <w:rsid w:val="00DE6A70"/>
    <w:rsid w:val="00DE7420"/>
    <w:rsid w:val="00DF3DF3"/>
    <w:rsid w:val="00DF5AA8"/>
    <w:rsid w:val="00E11D7D"/>
    <w:rsid w:val="00E1254C"/>
    <w:rsid w:val="00E16895"/>
    <w:rsid w:val="00E32614"/>
    <w:rsid w:val="00E33250"/>
    <w:rsid w:val="00E3526B"/>
    <w:rsid w:val="00E46A4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46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8F29-DEA9-48D5-BD04-EE44093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4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