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D706E8" w:rsidRDefault="00267AAD" w:rsidP="00624F69">
      <w:pPr>
        <w:pStyle w:val="Default"/>
        <w:jc w:val="center"/>
        <w:rPr>
          <w:rFonts w:ascii="宋体" w:eastAsia="宋体" w:hAnsi="宋体"/>
          <w:b/>
          <w:bCs/>
          <w:sz w:val="28"/>
          <w:szCs w:val="28"/>
        </w:rPr>
      </w:pPr>
      <w:r w:rsidRPr="00D706E8">
        <w:rPr>
          <w:rFonts w:ascii="宋体" w:eastAsia="宋体" w:hAnsi="宋体" w:hint="eastAsia"/>
          <w:b/>
          <w:bCs/>
          <w:sz w:val="28"/>
          <w:szCs w:val="28"/>
        </w:rPr>
        <w:t>泰达宏利基金管理有限公司关于旗下部分基金参加</w:t>
      </w:r>
      <w:r w:rsidR="00D93265">
        <w:rPr>
          <w:rFonts w:ascii="宋体" w:eastAsia="宋体" w:hAnsi="宋体" w:hint="eastAsia"/>
          <w:b/>
          <w:bCs/>
          <w:sz w:val="28"/>
          <w:szCs w:val="28"/>
        </w:rPr>
        <w:t>中信</w:t>
      </w:r>
      <w:r w:rsidR="007132F1">
        <w:rPr>
          <w:rFonts w:ascii="宋体" w:eastAsia="宋体" w:hAnsi="宋体" w:hint="eastAsia"/>
          <w:b/>
          <w:bCs/>
          <w:sz w:val="28"/>
          <w:szCs w:val="28"/>
        </w:rPr>
        <w:t>证券、中信山东、中信华南、中信期货</w:t>
      </w:r>
      <w:r w:rsidRPr="00D706E8">
        <w:rPr>
          <w:rFonts w:ascii="宋体" w:eastAsia="宋体" w:hAnsi="宋体" w:hint="eastAsia"/>
          <w:b/>
          <w:bCs/>
          <w:sz w:val="28"/>
          <w:szCs w:val="28"/>
        </w:rPr>
        <w:t>费率优惠活动的公告</w:t>
      </w:r>
    </w:p>
    <w:p w:rsidR="00267AAD" w:rsidRPr="00D706E8"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CB194B" w:rsidRPr="00E667F5" w:rsidRDefault="00CB194B" w:rsidP="00CB194B">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为更好的满足投资者的理财需求，答谢投资者长期以来给予的信任与支持，经与</w:t>
      </w:r>
      <w:r w:rsidR="00D93265">
        <w:rPr>
          <w:rFonts w:ascii="宋体" w:eastAsia="宋体" w:hAnsi="宋体" w:cs="宋体" w:hint="eastAsia"/>
          <w:color w:val="000000"/>
          <w:kern w:val="0"/>
          <w:sz w:val="24"/>
          <w:szCs w:val="24"/>
        </w:rPr>
        <w:t>中信</w:t>
      </w:r>
      <w:r w:rsidRPr="00D706E8">
        <w:rPr>
          <w:rFonts w:ascii="宋体" w:eastAsia="宋体" w:hAnsi="宋体" w:cs="宋体" w:hint="eastAsia"/>
          <w:color w:val="000000"/>
          <w:kern w:val="0"/>
          <w:sz w:val="24"/>
          <w:szCs w:val="24"/>
        </w:rPr>
        <w:t>证券股份有限公司（以下简称“</w:t>
      </w:r>
      <w:r w:rsidR="00D93265">
        <w:rPr>
          <w:rFonts w:ascii="宋体" w:eastAsia="宋体" w:hAnsi="宋体" w:cs="宋体" w:hint="eastAsia"/>
          <w:color w:val="000000"/>
          <w:kern w:val="0"/>
          <w:sz w:val="24"/>
          <w:szCs w:val="24"/>
        </w:rPr>
        <w:t>中信</w:t>
      </w:r>
      <w:r>
        <w:rPr>
          <w:rFonts w:ascii="宋体" w:eastAsia="宋体" w:hAnsi="宋体" w:cs="宋体" w:hint="eastAsia"/>
          <w:color w:val="000000"/>
          <w:kern w:val="0"/>
          <w:sz w:val="24"/>
          <w:szCs w:val="24"/>
        </w:rPr>
        <w:t>证券</w:t>
      </w:r>
      <w:r w:rsidRPr="00D706E8">
        <w:rPr>
          <w:rFonts w:ascii="宋体" w:eastAsia="宋体" w:hAnsi="宋体" w:cs="宋体" w:hint="eastAsia"/>
          <w:color w:val="000000"/>
          <w:kern w:val="0"/>
          <w:sz w:val="24"/>
          <w:szCs w:val="24"/>
        </w:rPr>
        <w:t>”）</w:t>
      </w:r>
      <w:r w:rsidR="00C868BC">
        <w:rPr>
          <w:rFonts w:ascii="宋体" w:eastAsia="宋体" w:hAnsi="宋体" w:cs="宋体" w:hint="eastAsia"/>
          <w:color w:val="000000"/>
          <w:kern w:val="0"/>
          <w:sz w:val="24"/>
          <w:szCs w:val="24"/>
        </w:rPr>
        <w:t>、中信证券（山东）有限责任公司（以下简称“中信山东”）、中信证券华南股份有限公司（以下简称中“中信华南”）</w:t>
      </w:r>
      <w:r w:rsidR="00DF6B94">
        <w:rPr>
          <w:rFonts w:ascii="宋体" w:eastAsia="宋体" w:hAnsi="宋体" w:cs="宋体" w:hint="eastAsia"/>
          <w:color w:val="000000"/>
          <w:kern w:val="0"/>
          <w:sz w:val="24"/>
          <w:szCs w:val="24"/>
        </w:rPr>
        <w:t>、中信期货有限公司（以下简称“中信期货”）</w:t>
      </w:r>
      <w:r w:rsidRPr="00D706E8">
        <w:rPr>
          <w:rFonts w:ascii="宋体" w:eastAsia="宋体" w:hAnsi="宋体" w:cs="宋体" w:hint="eastAsia"/>
          <w:color w:val="000000"/>
          <w:kern w:val="0"/>
          <w:sz w:val="24"/>
          <w:szCs w:val="24"/>
        </w:rPr>
        <w:t>协商一致，泰达宏利基金管理有限公司（以下简称“本公司”）</w:t>
      </w:r>
      <w:r>
        <w:rPr>
          <w:rFonts w:ascii="宋体" w:eastAsia="宋体" w:hAnsi="宋体" w:cs="宋体" w:hint="eastAsia"/>
          <w:color w:val="000000"/>
          <w:kern w:val="0"/>
          <w:sz w:val="24"/>
          <w:szCs w:val="24"/>
        </w:rPr>
        <w:t>指定旗下部分基金（详见下表）</w:t>
      </w:r>
      <w:r w:rsidRPr="00D706E8">
        <w:rPr>
          <w:rFonts w:ascii="宋体" w:eastAsia="宋体" w:hAnsi="宋体" w:cs="宋体" w:hint="eastAsia"/>
          <w:color w:val="000000"/>
          <w:kern w:val="0"/>
          <w:sz w:val="24"/>
          <w:szCs w:val="24"/>
        </w:rPr>
        <w:t>决定自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DF6B94">
        <w:rPr>
          <w:rFonts w:ascii="宋体" w:eastAsia="宋体" w:hAnsi="宋体" w:cs="宋体"/>
          <w:color w:val="000000"/>
          <w:kern w:val="0"/>
          <w:sz w:val="24"/>
          <w:szCs w:val="24"/>
        </w:rPr>
        <w:t>7</w:t>
      </w:r>
      <w:r w:rsidRPr="00BD6498">
        <w:rPr>
          <w:rFonts w:ascii="宋体" w:eastAsia="宋体" w:hAnsi="宋体" w:cs="宋体"/>
          <w:color w:val="000000"/>
          <w:kern w:val="0"/>
          <w:sz w:val="24"/>
          <w:szCs w:val="24"/>
        </w:rPr>
        <w:t>月</w:t>
      </w:r>
      <w:r w:rsidR="00DF6B94">
        <w:rPr>
          <w:rFonts w:ascii="宋体" w:eastAsia="宋体" w:hAnsi="宋体" w:cs="宋体"/>
          <w:color w:val="000000"/>
          <w:kern w:val="0"/>
          <w:sz w:val="24"/>
          <w:szCs w:val="24"/>
        </w:rPr>
        <w:t>22</w:t>
      </w:r>
      <w:r w:rsidRPr="00BD6498">
        <w:rPr>
          <w:rFonts w:ascii="宋体" w:eastAsia="宋体" w:hAnsi="宋体" w:cs="宋体" w:hint="eastAsia"/>
          <w:color w:val="000000"/>
          <w:kern w:val="0"/>
          <w:sz w:val="24"/>
          <w:szCs w:val="24"/>
        </w:rPr>
        <w:t>日</w:t>
      </w:r>
      <w:r w:rsidRPr="00D706E8">
        <w:rPr>
          <w:rFonts w:ascii="宋体" w:eastAsia="宋体" w:hAnsi="宋体" w:cs="宋体" w:hint="eastAsia"/>
          <w:color w:val="000000"/>
          <w:kern w:val="0"/>
          <w:sz w:val="24"/>
          <w:szCs w:val="24"/>
        </w:rPr>
        <w:t>起，参加</w:t>
      </w:r>
      <w:r w:rsidR="00DF6B94">
        <w:rPr>
          <w:rFonts w:ascii="宋体" w:eastAsia="宋体" w:hAnsi="宋体" w:cs="宋体" w:hint="eastAsia"/>
          <w:color w:val="000000"/>
          <w:kern w:val="0"/>
          <w:sz w:val="24"/>
          <w:szCs w:val="24"/>
        </w:rPr>
        <w:t>以上销售机构</w:t>
      </w:r>
      <w:r w:rsidRPr="00D706E8">
        <w:rPr>
          <w:rFonts w:ascii="宋体" w:eastAsia="宋体" w:hAnsi="宋体" w:cs="宋体" w:hint="eastAsia"/>
          <w:color w:val="000000"/>
          <w:kern w:val="0"/>
          <w:sz w:val="24"/>
          <w:szCs w:val="24"/>
        </w:rPr>
        <w:t>的申购（含定期定额申购）费率优惠活动。具体安排如下：</w:t>
      </w:r>
    </w:p>
    <w:p w:rsidR="007A30FD" w:rsidRPr="00D706E8" w:rsidRDefault="001F4591"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w:t>
      </w:r>
      <w:r w:rsidR="005932D0" w:rsidRPr="00D706E8">
        <w:rPr>
          <w:rFonts w:ascii="宋体" w:eastAsia="宋体" w:hAnsi="宋体" w:cs="宋体" w:hint="eastAsia"/>
          <w:b/>
          <w:color w:val="000000"/>
          <w:kern w:val="0"/>
          <w:sz w:val="24"/>
          <w:szCs w:val="24"/>
        </w:rPr>
        <w:t>、</w:t>
      </w:r>
      <w:r w:rsidR="00502CA2" w:rsidRPr="00D706E8">
        <w:rPr>
          <w:rFonts w:ascii="宋体" w:eastAsia="宋体" w:hAnsi="宋体" w:cs="宋体" w:hint="eastAsia"/>
          <w:b/>
          <w:color w:val="000000"/>
          <w:kern w:val="0"/>
          <w:sz w:val="24"/>
          <w:szCs w:val="24"/>
        </w:rPr>
        <w:t>适用基金</w:t>
      </w:r>
    </w:p>
    <w:p w:rsidR="0057314A" w:rsidRPr="00D706E8" w:rsidRDefault="00502CA2" w:rsidP="0057314A">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与</w:t>
      </w:r>
      <w:r w:rsidR="00D93265">
        <w:rPr>
          <w:rFonts w:ascii="宋体" w:eastAsia="宋体" w:hAnsi="宋体" w:cs="宋体" w:hint="eastAsia"/>
          <w:color w:val="000000"/>
          <w:kern w:val="0"/>
          <w:sz w:val="24"/>
          <w:szCs w:val="24"/>
        </w:rPr>
        <w:t>中信</w:t>
      </w:r>
      <w:r w:rsidR="0081116E">
        <w:rPr>
          <w:rFonts w:ascii="宋体" w:eastAsia="宋体" w:hAnsi="宋体" w:cs="宋体" w:hint="eastAsia"/>
          <w:color w:val="000000"/>
          <w:kern w:val="0"/>
          <w:sz w:val="24"/>
          <w:szCs w:val="24"/>
        </w:rPr>
        <w:t>证券</w:t>
      </w:r>
      <w:r w:rsidR="00DF6B94">
        <w:rPr>
          <w:rFonts w:ascii="宋体" w:eastAsia="宋体" w:hAnsi="宋体" w:cs="宋体" w:hint="eastAsia"/>
          <w:color w:val="000000"/>
          <w:kern w:val="0"/>
          <w:sz w:val="24"/>
          <w:szCs w:val="24"/>
        </w:rPr>
        <w:t>、中信山东、中信华南、中信期货</w:t>
      </w:r>
      <w:r w:rsidRPr="00D706E8">
        <w:rPr>
          <w:rFonts w:ascii="宋体" w:eastAsia="宋体" w:hAnsi="宋体" w:cs="宋体" w:hint="eastAsia"/>
          <w:color w:val="000000"/>
          <w:kern w:val="0"/>
          <w:sz w:val="24"/>
          <w:szCs w:val="24"/>
        </w:rPr>
        <w:t>合作销售的本公司旗下开放式基金均可参与，具体参与基金</w:t>
      </w:r>
      <w:r w:rsidR="005932D0" w:rsidRPr="00D706E8">
        <w:rPr>
          <w:rFonts w:ascii="宋体" w:eastAsia="宋体" w:hAnsi="宋体" w:cs="宋体" w:hint="eastAsia"/>
          <w:color w:val="000000"/>
          <w:kern w:val="0"/>
          <w:sz w:val="24"/>
          <w:szCs w:val="24"/>
        </w:rPr>
        <w:t>见下</w:t>
      </w:r>
      <w:r w:rsidR="0057314A">
        <w:rPr>
          <w:rFonts w:ascii="宋体" w:eastAsia="宋体" w:hAnsi="宋体" w:cs="宋体" w:hint="eastAsia"/>
          <w:color w:val="000000"/>
          <w:kern w:val="0"/>
          <w:sz w:val="24"/>
          <w:szCs w:val="24"/>
        </w:rPr>
        <w:t>表：</w:t>
      </w:r>
    </w:p>
    <w:tbl>
      <w:tblPr>
        <w:tblStyle w:val="a4"/>
        <w:tblW w:w="8364" w:type="dxa"/>
        <w:jc w:val="center"/>
        <w:tblLook w:val="04A0"/>
      </w:tblPr>
      <w:tblGrid>
        <w:gridCol w:w="863"/>
        <w:gridCol w:w="4165"/>
        <w:gridCol w:w="3336"/>
      </w:tblGrid>
      <w:tr w:rsidR="009F0997" w:rsidRPr="00D706E8" w:rsidTr="00C37AE8">
        <w:trPr>
          <w:jc w:val="center"/>
        </w:trPr>
        <w:tc>
          <w:tcPr>
            <w:tcW w:w="863"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序号</w:t>
            </w:r>
          </w:p>
        </w:tc>
        <w:tc>
          <w:tcPr>
            <w:tcW w:w="4165" w:type="dxa"/>
          </w:tcPr>
          <w:p w:rsidR="009F0997" w:rsidRPr="00D706E8" w:rsidRDefault="009F0997" w:rsidP="00FE6DCE">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基金名称</w:t>
            </w:r>
          </w:p>
        </w:tc>
        <w:tc>
          <w:tcPr>
            <w:tcW w:w="3336"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基金代码</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泰达宏利价值优化型成长类行业混合型证券投资基金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162201</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泰达宏利价值优化型周期类行业混合型证券投资基金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162202</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泰达宏利价值优化型稳定类行业混合型证券投资基金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162203</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泰达宏利行业精选混合型证券投资基金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162204</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5</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泰达宏利风险预算混合型证券投资基金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162205</w:t>
            </w:r>
          </w:p>
        </w:tc>
      </w:tr>
      <w:tr w:rsidR="00C50E1F" w:rsidRPr="00D706E8"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6</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泰达宏利效率优选混合型证券投资基金（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162207</w:t>
            </w:r>
          </w:p>
        </w:tc>
      </w:tr>
      <w:tr w:rsidR="00C50E1F" w:rsidRPr="00D706E8"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7</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泰达宏利首选企业股票型证券投资基金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162208</w:t>
            </w:r>
          </w:p>
        </w:tc>
      </w:tr>
      <w:tr w:rsidR="00C50E1F" w:rsidRPr="00D706E8"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8</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泰达宏利市值优选混合型证券投资基金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162209</w:t>
            </w:r>
          </w:p>
        </w:tc>
      </w:tr>
      <w:tr w:rsidR="00C50E1F" w:rsidRPr="00D706E8"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9</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泰达宏利集利债券型证券投资基金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162210</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0</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泰达宏利品质生活灵活配置混合型证券投资基金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162211</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lastRenderedPageBreak/>
              <w:t>1</w:t>
            </w:r>
            <w:r w:rsidR="007132F1">
              <w:rPr>
                <w:rFonts w:ascii="宋体" w:eastAsia="宋体" w:cs="宋体"/>
                <w:color w:val="000000"/>
                <w:kern w:val="0"/>
                <w:sz w:val="24"/>
                <w:szCs w:val="24"/>
              </w:rPr>
              <w:t>1</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泰达宏利红利先锋混合型证券投资基金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162212</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2</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泰达宏利沪深</w:t>
            </w:r>
            <w:r w:rsidRPr="005D1801">
              <w:rPr>
                <w:rFonts w:ascii="宋体" w:eastAsia="宋体" w:cs="宋体"/>
                <w:color w:val="000000"/>
                <w:kern w:val="0"/>
                <w:sz w:val="24"/>
                <w:szCs w:val="24"/>
              </w:rPr>
              <w:t>300</w:t>
            </w:r>
            <w:r w:rsidRPr="005D1801">
              <w:rPr>
                <w:rFonts w:ascii="宋体" w:eastAsia="宋体" w:cs="宋体" w:hint="eastAsia"/>
                <w:color w:val="000000"/>
                <w:kern w:val="0"/>
                <w:sz w:val="24"/>
                <w:szCs w:val="24"/>
              </w:rPr>
              <w:t>指数增强型证券投资基金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162213</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3</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泰达宏利领先中小盘混合型证券投资基金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162214</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4</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泰达宏利聚利债券型证券投资基金（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162215</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5</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泰达宏利中证</w:t>
            </w:r>
            <w:r w:rsidRPr="005D1801">
              <w:rPr>
                <w:rFonts w:ascii="宋体" w:eastAsia="宋体" w:cs="宋体"/>
                <w:color w:val="000000"/>
                <w:kern w:val="0"/>
                <w:sz w:val="24"/>
                <w:szCs w:val="24"/>
              </w:rPr>
              <w:t>500</w:t>
            </w:r>
            <w:r w:rsidRPr="005D1801">
              <w:rPr>
                <w:rFonts w:ascii="宋体" w:eastAsia="宋体" w:cs="宋体" w:hint="eastAsia"/>
                <w:color w:val="000000"/>
                <w:kern w:val="0"/>
                <w:sz w:val="24"/>
                <w:szCs w:val="24"/>
              </w:rPr>
              <w:t>指数增强型证券投资基金（</w:t>
            </w:r>
            <w:r w:rsidRPr="005D1801">
              <w:rPr>
                <w:rFonts w:ascii="宋体" w:eastAsia="宋体" w:cs="宋体"/>
                <w:color w:val="000000"/>
                <w:kern w:val="0"/>
                <w:sz w:val="24"/>
                <w:szCs w:val="24"/>
              </w:rPr>
              <w:t>LOF</w:t>
            </w:r>
            <w:r w:rsidRPr="005D1801">
              <w:rPr>
                <w:rFonts w:ascii="宋体" w:eastAsia="宋体" w:cs="宋体" w:hint="eastAsia"/>
                <w:color w:val="000000"/>
                <w:kern w:val="0"/>
                <w:sz w:val="24"/>
                <w:szCs w:val="24"/>
              </w:rPr>
              <w:t>）</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162216</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6</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泰达宏利逆向策略混合型证券投资基金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229002</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7</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泰达宏利宏达混合型证券投资基金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000507</w:t>
            </w:r>
          </w:p>
        </w:tc>
      </w:tr>
      <w:tr w:rsidR="00C50E1F" w:rsidRPr="00D706E8"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1</w:t>
            </w:r>
            <w:r w:rsidR="007132F1">
              <w:rPr>
                <w:rFonts w:ascii="宋体" w:eastAsia="宋体" w:cs="宋体"/>
                <w:color w:val="000000"/>
                <w:kern w:val="0"/>
                <w:sz w:val="24"/>
                <w:szCs w:val="24"/>
              </w:rPr>
              <w:t>8</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泰达宏利淘利债券型证券投资基金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000319</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19</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泰达宏利转型机遇股票型证券投资基金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000828</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0</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泰达宏利改革动力量化策略灵活配置混合型证券投资基金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001017</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1</w:t>
            </w:r>
          </w:p>
        </w:tc>
        <w:tc>
          <w:tcPr>
            <w:tcW w:w="4165" w:type="dxa"/>
            <w:vAlign w:val="center"/>
          </w:tcPr>
          <w:p w:rsidR="00C50E1F" w:rsidRPr="00D305CF" w:rsidRDefault="00C50E1F" w:rsidP="00D305CF">
            <w:pPr>
              <w:autoSpaceDE w:val="0"/>
              <w:autoSpaceDN w:val="0"/>
              <w:adjustRightInd w:val="0"/>
              <w:jc w:val="center"/>
              <w:rPr>
                <w:rFonts w:ascii="宋体" w:eastAsia="宋体" w:cs="宋体"/>
                <w:color w:val="000000"/>
                <w:kern w:val="0"/>
                <w:sz w:val="24"/>
                <w:szCs w:val="24"/>
              </w:rPr>
            </w:pPr>
            <w:r w:rsidRPr="00D305CF">
              <w:rPr>
                <w:rFonts w:ascii="宋体" w:eastAsia="宋体" w:cs="宋体"/>
                <w:color w:val="000000"/>
                <w:kern w:val="0"/>
                <w:sz w:val="24"/>
                <w:szCs w:val="24"/>
              </w:rPr>
              <w:t>泰达宏利创盈灵活配置混合型证券投资基金</w:t>
            </w:r>
            <w:r w:rsidRPr="00D305CF">
              <w:rPr>
                <w:rFonts w:ascii="宋体" w:eastAsia="宋体" w:cs="宋体" w:hint="eastAsia"/>
                <w:color w:val="000000"/>
                <w:kern w:val="0"/>
                <w:sz w:val="24"/>
                <w:szCs w:val="24"/>
              </w:rPr>
              <w:t>A</w:t>
            </w:r>
          </w:p>
        </w:tc>
        <w:tc>
          <w:tcPr>
            <w:tcW w:w="3336" w:type="dxa"/>
            <w:vAlign w:val="center"/>
          </w:tcPr>
          <w:p w:rsidR="00C50E1F" w:rsidRPr="00214EC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001141</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2</w:t>
            </w:r>
          </w:p>
        </w:tc>
        <w:tc>
          <w:tcPr>
            <w:tcW w:w="4165" w:type="dxa"/>
            <w:vAlign w:val="center"/>
          </w:tcPr>
          <w:p w:rsidR="00C50E1F" w:rsidRPr="005D1801" w:rsidRDefault="00C50E1F" w:rsidP="0024706D">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泰达宏利复兴伟业灵活配置混合型证券投资基金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001170</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3</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泰达宏利新起点灵活配置混合型证券</w:t>
            </w:r>
          </w:p>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001254</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4</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泰达宏利蓝筹价值混合型证券</w:t>
            </w:r>
          </w:p>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001267</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5</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泰达宏利新思路灵活配置混合型证券投资基金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001419</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6</w:t>
            </w:r>
          </w:p>
        </w:tc>
        <w:tc>
          <w:tcPr>
            <w:tcW w:w="4165" w:type="dxa"/>
            <w:vAlign w:val="center"/>
          </w:tcPr>
          <w:p w:rsidR="00C50E1F" w:rsidRPr="00D305CF" w:rsidRDefault="00C50E1F" w:rsidP="00D305CF">
            <w:pPr>
              <w:autoSpaceDE w:val="0"/>
              <w:autoSpaceDN w:val="0"/>
              <w:adjustRightInd w:val="0"/>
              <w:jc w:val="center"/>
              <w:rPr>
                <w:rFonts w:ascii="宋体" w:eastAsia="宋体" w:cs="宋体"/>
                <w:color w:val="000000"/>
                <w:kern w:val="0"/>
                <w:sz w:val="24"/>
                <w:szCs w:val="24"/>
              </w:rPr>
            </w:pPr>
            <w:r w:rsidRPr="00D305CF">
              <w:rPr>
                <w:rFonts w:ascii="宋体" w:eastAsia="宋体" w:cs="宋体"/>
                <w:color w:val="000000"/>
                <w:kern w:val="0"/>
                <w:sz w:val="24"/>
                <w:szCs w:val="24"/>
              </w:rPr>
              <w:t>泰达宏利创益灵活配置混合型证券投资基金</w:t>
            </w:r>
            <w:r w:rsidRPr="00D305CF">
              <w:rPr>
                <w:rFonts w:ascii="宋体" w:eastAsia="宋体" w:cs="宋体" w:hint="eastAsia"/>
                <w:color w:val="000000"/>
                <w:kern w:val="0"/>
                <w:sz w:val="24"/>
                <w:szCs w:val="24"/>
              </w:rPr>
              <w:t>A</w:t>
            </w:r>
          </w:p>
        </w:tc>
        <w:tc>
          <w:tcPr>
            <w:tcW w:w="3336" w:type="dxa"/>
            <w:vAlign w:val="center"/>
          </w:tcPr>
          <w:p w:rsidR="00C50E1F" w:rsidRPr="00214EC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001418</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2</w:t>
            </w:r>
            <w:r w:rsidR="007132F1">
              <w:rPr>
                <w:rFonts w:ascii="宋体" w:eastAsia="宋体" w:cs="宋体"/>
                <w:color w:val="000000"/>
                <w:kern w:val="0"/>
                <w:sz w:val="24"/>
                <w:szCs w:val="24"/>
              </w:rPr>
              <w:t>7</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泰达宏利同顺大数据量化优选灵活配置混合型证券投资基金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002263</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28</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泰达宏利量化增强股票型证券投资基金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001733</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29</w:t>
            </w:r>
          </w:p>
        </w:tc>
        <w:tc>
          <w:tcPr>
            <w:tcW w:w="4165" w:type="dxa"/>
            <w:vAlign w:val="center"/>
          </w:tcPr>
          <w:p w:rsidR="00C50E1F" w:rsidRPr="00D23ED3" w:rsidRDefault="00C50E1F" w:rsidP="00D305CF">
            <w:pPr>
              <w:autoSpaceDE w:val="0"/>
              <w:autoSpaceDN w:val="0"/>
              <w:adjustRightInd w:val="0"/>
              <w:jc w:val="center"/>
              <w:rPr>
                <w:rFonts w:ascii="宋体" w:eastAsia="宋体" w:cs="宋体"/>
                <w:color w:val="000000"/>
                <w:kern w:val="0"/>
                <w:sz w:val="24"/>
                <w:szCs w:val="24"/>
              </w:rPr>
            </w:pPr>
            <w:r w:rsidRPr="00D23ED3">
              <w:rPr>
                <w:rFonts w:ascii="宋体" w:eastAsia="宋体" w:cs="宋体"/>
                <w:color w:val="000000"/>
                <w:kern w:val="0"/>
                <w:sz w:val="24"/>
                <w:szCs w:val="24"/>
              </w:rPr>
              <w:t>泰达宏利汇利债券型证券投资基金</w:t>
            </w:r>
            <w:r w:rsidRPr="00D23ED3">
              <w:rPr>
                <w:rFonts w:ascii="宋体" w:eastAsia="宋体" w:cs="宋体" w:hint="eastAsia"/>
                <w:color w:val="000000"/>
                <w:kern w:val="0"/>
                <w:sz w:val="24"/>
                <w:szCs w:val="24"/>
              </w:rPr>
              <w:t>A</w:t>
            </w:r>
          </w:p>
        </w:tc>
        <w:tc>
          <w:tcPr>
            <w:tcW w:w="3336" w:type="dxa"/>
            <w:vAlign w:val="center"/>
          </w:tcPr>
          <w:p w:rsidR="00C50E1F" w:rsidRPr="00D23ED3" w:rsidRDefault="00C50E1F" w:rsidP="00010219">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003073</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0</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泰达宏利睿智稳健灵活配置混合型证券投资基金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003501</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1</w:t>
            </w:r>
          </w:p>
        </w:tc>
        <w:tc>
          <w:tcPr>
            <w:tcW w:w="4165" w:type="dxa"/>
            <w:vAlign w:val="center"/>
          </w:tcPr>
          <w:p w:rsidR="00C50E1F" w:rsidRPr="008B0C66" w:rsidRDefault="00C50E1F" w:rsidP="00D305CF">
            <w:pPr>
              <w:autoSpaceDE w:val="0"/>
              <w:autoSpaceDN w:val="0"/>
              <w:adjustRightInd w:val="0"/>
              <w:jc w:val="center"/>
              <w:rPr>
                <w:rFonts w:ascii="宋体" w:eastAsia="宋体" w:cs="宋体"/>
                <w:color w:val="000000"/>
                <w:kern w:val="0"/>
                <w:sz w:val="24"/>
                <w:szCs w:val="24"/>
              </w:rPr>
            </w:pPr>
            <w:r w:rsidRPr="008B0C66">
              <w:rPr>
                <w:rFonts w:ascii="宋体" w:eastAsia="宋体" w:cs="宋体"/>
                <w:color w:val="000000"/>
                <w:kern w:val="0"/>
                <w:sz w:val="24"/>
                <w:szCs w:val="24"/>
              </w:rPr>
              <w:t>泰达宏利纯利债券型证券投资基金</w:t>
            </w:r>
            <w:r w:rsidRPr="008B0C66">
              <w:rPr>
                <w:rFonts w:ascii="宋体" w:eastAsia="宋体" w:cs="宋体" w:hint="eastAsia"/>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003767</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2</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泰达宏利睿选稳健灵活配置混合型证券投资基金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004000</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3</w:t>
            </w:r>
          </w:p>
        </w:tc>
        <w:tc>
          <w:tcPr>
            <w:tcW w:w="4165" w:type="dxa"/>
            <w:vAlign w:val="center"/>
          </w:tcPr>
          <w:p w:rsidR="00C50E1F" w:rsidRPr="008B0C66" w:rsidRDefault="00C50E1F" w:rsidP="00D305CF">
            <w:pPr>
              <w:autoSpaceDE w:val="0"/>
              <w:autoSpaceDN w:val="0"/>
              <w:adjustRightInd w:val="0"/>
              <w:jc w:val="center"/>
              <w:rPr>
                <w:rFonts w:ascii="宋体" w:eastAsia="宋体" w:cs="宋体"/>
                <w:color w:val="000000"/>
                <w:kern w:val="0"/>
                <w:sz w:val="24"/>
                <w:szCs w:val="24"/>
              </w:rPr>
            </w:pPr>
            <w:r w:rsidRPr="008B0C66">
              <w:rPr>
                <w:rFonts w:ascii="宋体" w:eastAsia="宋体" w:cs="宋体"/>
                <w:color w:val="000000"/>
                <w:kern w:val="0"/>
                <w:sz w:val="24"/>
                <w:szCs w:val="24"/>
              </w:rPr>
              <w:t>泰达宏利溢利债券型证券投资基金</w:t>
            </w:r>
            <w:r w:rsidRPr="008B0C66">
              <w:rPr>
                <w:rFonts w:ascii="宋体" w:eastAsia="宋体" w:cs="宋体" w:hint="eastAsia"/>
                <w:color w:val="000000"/>
                <w:kern w:val="0"/>
                <w:sz w:val="24"/>
                <w:szCs w:val="24"/>
              </w:rPr>
              <w:t>A</w:t>
            </w:r>
          </w:p>
        </w:tc>
        <w:tc>
          <w:tcPr>
            <w:tcW w:w="3336" w:type="dxa"/>
            <w:vAlign w:val="center"/>
          </w:tcPr>
          <w:p w:rsidR="00C50E1F" w:rsidRPr="008B0C66"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003793</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4</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泰达宏利业绩驱动量化股票型证券投资基金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004484</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lastRenderedPageBreak/>
              <w:t>3</w:t>
            </w:r>
            <w:r w:rsidR="007132F1">
              <w:rPr>
                <w:rFonts w:ascii="宋体" w:eastAsia="宋体" w:cs="宋体"/>
                <w:color w:val="000000"/>
                <w:kern w:val="0"/>
                <w:sz w:val="24"/>
                <w:szCs w:val="24"/>
              </w:rPr>
              <w:t>5</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泰达宏利全能优选混合型基金中基金（</w:t>
            </w:r>
            <w:r w:rsidRPr="005D1801">
              <w:rPr>
                <w:rFonts w:ascii="宋体" w:eastAsia="宋体" w:cs="宋体"/>
                <w:color w:val="000000"/>
                <w:kern w:val="0"/>
                <w:sz w:val="24"/>
                <w:szCs w:val="24"/>
              </w:rPr>
              <w:t>FOF</w:t>
            </w:r>
            <w:r w:rsidRPr="005D1801">
              <w:rPr>
                <w:rFonts w:ascii="宋体" w:eastAsia="宋体" w:cs="宋体" w:hint="eastAsia"/>
                <w:color w:val="000000"/>
                <w:kern w:val="0"/>
                <w:sz w:val="24"/>
                <w:szCs w:val="24"/>
              </w:rPr>
              <w:t>）</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005221</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3</w:t>
            </w:r>
            <w:r w:rsidR="007132F1">
              <w:rPr>
                <w:rFonts w:ascii="宋体" w:eastAsia="宋体" w:cs="宋体"/>
                <w:color w:val="000000"/>
                <w:kern w:val="0"/>
                <w:sz w:val="24"/>
                <w:szCs w:val="24"/>
              </w:rPr>
              <w:t>6</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泰达宏利绩优增长灵活配置混合型证券投资基金</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005903</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37</w:t>
            </w:r>
          </w:p>
        </w:tc>
        <w:tc>
          <w:tcPr>
            <w:tcW w:w="4165" w:type="dxa"/>
            <w:vAlign w:val="center"/>
          </w:tcPr>
          <w:p w:rsidR="00C50E1F" w:rsidRPr="00474CEB" w:rsidRDefault="00C50E1F" w:rsidP="00474CEB">
            <w:pPr>
              <w:jc w:val="center"/>
              <w:rPr>
                <w:rFonts w:ascii="宋体" w:eastAsia="宋体" w:cs="宋体"/>
                <w:color w:val="000000"/>
                <w:kern w:val="0"/>
                <w:sz w:val="24"/>
                <w:szCs w:val="24"/>
              </w:rPr>
            </w:pPr>
            <w:r w:rsidRPr="006465A9">
              <w:rPr>
                <w:rFonts w:ascii="宋体" w:eastAsia="宋体" w:cs="宋体"/>
                <w:color w:val="000000"/>
                <w:kern w:val="0"/>
                <w:sz w:val="24"/>
                <w:szCs w:val="24"/>
              </w:rPr>
              <w:t>泰达宏利泰和平衡养老目标三年持有期混合型基金中基金（FOF）</w:t>
            </w:r>
          </w:p>
        </w:tc>
        <w:tc>
          <w:tcPr>
            <w:tcW w:w="3336" w:type="dxa"/>
            <w:vAlign w:val="center"/>
          </w:tcPr>
          <w:p w:rsidR="00C50E1F"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006306</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38</w:t>
            </w:r>
          </w:p>
        </w:tc>
        <w:tc>
          <w:tcPr>
            <w:tcW w:w="4165" w:type="dxa"/>
            <w:vAlign w:val="center"/>
          </w:tcPr>
          <w:p w:rsidR="00C50E1F" w:rsidRPr="00474CEB" w:rsidRDefault="00C50E1F" w:rsidP="00474CEB">
            <w:pPr>
              <w:jc w:val="center"/>
              <w:rPr>
                <w:rFonts w:ascii="Microsoft Yahei" w:eastAsia="宋体" w:hAnsi="Microsoft Yahei" w:cs="宋体" w:hint="eastAsia"/>
                <w:color w:val="666666"/>
                <w:szCs w:val="21"/>
              </w:rPr>
            </w:pPr>
            <w:r w:rsidRPr="00474CEB">
              <w:rPr>
                <w:rFonts w:ascii="宋体" w:eastAsia="宋体" w:cs="宋体"/>
                <w:color w:val="000000"/>
                <w:kern w:val="0"/>
                <w:sz w:val="24"/>
                <w:szCs w:val="24"/>
              </w:rPr>
              <w:t>泰达宏利印度机会股票型证券投资基金（QDII）</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006105</w:t>
            </w:r>
          </w:p>
        </w:tc>
      </w:tr>
      <w:tr w:rsidR="00C50E1F" w:rsidRPr="00C563A4" w:rsidTr="00C50E1F">
        <w:trPr>
          <w:jc w:val="center"/>
        </w:trPr>
        <w:tc>
          <w:tcPr>
            <w:tcW w:w="863" w:type="dxa"/>
            <w:vAlign w:val="center"/>
          </w:tcPr>
          <w:p w:rsidR="00C50E1F" w:rsidRPr="00C50E1F" w:rsidRDefault="007132F1" w:rsidP="00C50E1F">
            <w:pPr>
              <w:jc w:val="center"/>
              <w:rPr>
                <w:rFonts w:ascii="宋体" w:eastAsia="宋体" w:cs="宋体"/>
                <w:color w:val="000000"/>
                <w:kern w:val="0"/>
                <w:sz w:val="24"/>
                <w:szCs w:val="24"/>
              </w:rPr>
            </w:pPr>
            <w:r>
              <w:rPr>
                <w:rFonts w:ascii="宋体" w:eastAsia="宋体" w:cs="宋体"/>
                <w:color w:val="000000"/>
                <w:kern w:val="0"/>
                <w:sz w:val="24"/>
                <w:szCs w:val="24"/>
              </w:rPr>
              <w:t>39</w:t>
            </w:r>
          </w:p>
        </w:tc>
        <w:tc>
          <w:tcPr>
            <w:tcW w:w="4165" w:type="dxa"/>
            <w:vAlign w:val="center"/>
          </w:tcPr>
          <w:p w:rsidR="00C50E1F" w:rsidRPr="00474CEB" w:rsidRDefault="00C50E1F" w:rsidP="00474CEB">
            <w:pPr>
              <w:jc w:val="center"/>
              <w:rPr>
                <w:rFonts w:ascii="Microsoft Yahei" w:eastAsia="宋体" w:hAnsi="Microsoft Yahei" w:cs="宋体" w:hint="eastAsia"/>
                <w:color w:val="666666"/>
                <w:szCs w:val="21"/>
              </w:rPr>
            </w:pPr>
            <w:r w:rsidRPr="00474CEB">
              <w:rPr>
                <w:rFonts w:ascii="宋体" w:eastAsia="宋体" w:cs="宋体"/>
                <w:color w:val="000000"/>
                <w:kern w:val="0"/>
                <w:sz w:val="24"/>
                <w:szCs w:val="24"/>
              </w:rPr>
              <w:t>泰达宏利品牌升级混合型证券投资基金</w:t>
            </w:r>
            <w:r w:rsidRPr="00474CEB">
              <w:rPr>
                <w:rFonts w:ascii="宋体" w:eastAsia="宋体" w:cs="宋体" w:hint="eastAsia"/>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007678</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r w:rsidR="007132F1">
              <w:rPr>
                <w:rFonts w:ascii="宋体" w:eastAsia="宋体" w:cs="宋体"/>
                <w:color w:val="000000"/>
                <w:kern w:val="0"/>
                <w:sz w:val="24"/>
                <w:szCs w:val="24"/>
              </w:rPr>
              <w:t>0</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泰达宏利消费行业量化精选混合型证券投资基金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008353</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r w:rsidR="007132F1">
              <w:rPr>
                <w:rFonts w:ascii="宋体" w:eastAsia="宋体" w:cs="宋体"/>
                <w:color w:val="000000"/>
                <w:kern w:val="0"/>
                <w:sz w:val="24"/>
                <w:szCs w:val="24"/>
              </w:rPr>
              <w:t>1</w:t>
            </w:r>
          </w:p>
        </w:tc>
        <w:tc>
          <w:tcPr>
            <w:tcW w:w="4165" w:type="dxa"/>
            <w:vAlign w:val="center"/>
          </w:tcPr>
          <w:p w:rsidR="00C50E1F" w:rsidRPr="006465A9" w:rsidRDefault="00C50E1F" w:rsidP="006465A9">
            <w:pPr>
              <w:jc w:val="center"/>
              <w:rPr>
                <w:rFonts w:ascii="宋体" w:eastAsia="宋体" w:cs="宋体"/>
                <w:color w:val="000000"/>
                <w:kern w:val="0"/>
                <w:sz w:val="24"/>
                <w:szCs w:val="24"/>
              </w:rPr>
            </w:pPr>
            <w:r w:rsidRPr="006465A9">
              <w:rPr>
                <w:rFonts w:ascii="宋体" w:eastAsia="宋体" w:cs="宋体"/>
                <w:color w:val="000000"/>
                <w:kern w:val="0"/>
                <w:sz w:val="24"/>
                <w:szCs w:val="24"/>
              </w:rPr>
              <w:t>泰达宏利养老目标日期2040三年持有期混合型发起式基金中基金（FOF）</w:t>
            </w:r>
            <w:r w:rsidRPr="006465A9">
              <w:rPr>
                <w:rFonts w:ascii="宋体" w:eastAsia="宋体" w:cs="宋体" w:hint="eastAsia"/>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007688</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r w:rsidR="007132F1">
              <w:rPr>
                <w:rFonts w:ascii="宋体" w:eastAsia="宋体" w:cs="宋体"/>
                <w:color w:val="000000"/>
                <w:kern w:val="0"/>
                <w:sz w:val="24"/>
                <w:szCs w:val="24"/>
              </w:rPr>
              <w:t>2</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泰达宏利中证主要消费红利指数型证券投资基金</w:t>
            </w:r>
            <w:r w:rsidRPr="005D1801">
              <w:rPr>
                <w:rFonts w:ascii="宋体" w:eastAsia="宋体" w:cs="宋体"/>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008928</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r w:rsidR="007132F1">
              <w:rPr>
                <w:rFonts w:ascii="宋体" w:eastAsia="宋体" w:cs="宋体"/>
                <w:color w:val="000000"/>
                <w:kern w:val="0"/>
                <w:sz w:val="24"/>
                <w:szCs w:val="24"/>
              </w:rPr>
              <w:t>3</w:t>
            </w:r>
          </w:p>
        </w:tc>
        <w:tc>
          <w:tcPr>
            <w:tcW w:w="4165" w:type="dxa"/>
            <w:vAlign w:val="center"/>
          </w:tcPr>
          <w:p w:rsidR="00C50E1F" w:rsidRPr="00474CEB" w:rsidRDefault="00C50E1F" w:rsidP="00474CEB">
            <w:pPr>
              <w:jc w:val="center"/>
              <w:rPr>
                <w:rFonts w:ascii="宋体" w:eastAsia="宋体" w:cs="宋体"/>
                <w:color w:val="000000"/>
                <w:kern w:val="0"/>
                <w:sz w:val="24"/>
                <w:szCs w:val="24"/>
              </w:rPr>
            </w:pPr>
            <w:r w:rsidRPr="00474CEB">
              <w:rPr>
                <w:rFonts w:ascii="宋体" w:eastAsia="宋体" w:cs="宋体"/>
                <w:color w:val="000000"/>
                <w:kern w:val="0"/>
                <w:sz w:val="24"/>
                <w:szCs w:val="24"/>
              </w:rPr>
              <w:t>泰达宏利价值长青混合型证券投资基金</w:t>
            </w:r>
            <w:r w:rsidRPr="00474CEB">
              <w:rPr>
                <w:rFonts w:ascii="宋体" w:eastAsia="宋体" w:cs="宋体" w:hint="eastAsia"/>
                <w:color w:val="000000"/>
                <w:kern w:val="0"/>
                <w:sz w:val="24"/>
                <w:szCs w:val="24"/>
              </w:rPr>
              <w:t>A</w:t>
            </w:r>
          </w:p>
        </w:tc>
        <w:tc>
          <w:tcPr>
            <w:tcW w:w="3336" w:type="dxa"/>
            <w:vAlign w:val="center"/>
          </w:tcPr>
          <w:p w:rsidR="00C50E1F" w:rsidRPr="00474CEB"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009141</w:t>
            </w:r>
          </w:p>
        </w:tc>
      </w:tr>
      <w:tr w:rsidR="00C50E1F" w:rsidRPr="00C563A4" w:rsidTr="00C50E1F">
        <w:trPr>
          <w:jc w:val="center"/>
        </w:trPr>
        <w:tc>
          <w:tcPr>
            <w:tcW w:w="863" w:type="dxa"/>
            <w:vAlign w:val="center"/>
          </w:tcPr>
          <w:p w:rsidR="00C50E1F" w:rsidRPr="00C50E1F" w:rsidRDefault="00C50E1F" w:rsidP="00C50E1F">
            <w:pPr>
              <w:jc w:val="center"/>
              <w:rPr>
                <w:rFonts w:ascii="宋体" w:eastAsia="宋体" w:cs="宋体"/>
                <w:color w:val="000000"/>
                <w:kern w:val="0"/>
                <w:sz w:val="24"/>
                <w:szCs w:val="24"/>
              </w:rPr>
            </w:pPr>
            <w:r w:rsidRPr="00C50E1F">
              <w:rPr>
                <w:rFonts w:ascii="宋体" w:eastAsia="宋体" w:cs="宋体"/>
                <w:color w:val="000000"/>
                <w:kern w:val="0"/>
                <w:sz w:val="24"/>
                <w:szCs w:val="24"/>
              </w:rPr>
              <w:t>4</w:t>
            </w:r>
            <w:r w:rsidR="007132F1">
              <w:rPr>
                <w:rFonts w:ascii="宋体" w:eastAsia="宋体" w:cs="宋体"/>
                <w:color w:val="000000"/>
                <w:kern w:val="0"/>
                <w:sz w:val="24"/>
                <w:szCs w:val="24"/>
              </w:rPr>
              <w:t>4</w:t>
            </w:r>
          </w:p>
        </w:tc>
        <w:tc>
          <w:tcPr>
            <w:tcW w:w="4165"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sidRPr="00474CEB">
              <w:rPr>
                <w:rFonts w:ascii="宋体" w:eastAsia="宋体" w:cs="宋体"/>
                <w:color w:val="000000"/>
                <w:kern w:val="0"/>
                <w:sz w:val="24"/>
                <w:szCs w:val="24"/>
              </w:rPr>
              <w:t>泰达宏利中证申万绩优策略指数增强型证券投资基金</w:t>
            </w:r>
            <w:r w:rsidRPr="00474CEB">
              <w:rPr>
                <w:rFonts w:ascii="宋体" w:eastAsia="宋体" w:cs="宋体" w:hint="eastAsia"/>
                <w:color w:val="000000"/>
                <w:kern w:val="0"/>
                <w:sz w:val="24"/>
                <w:szCs w:val="24"/>
              </w:rPr>
              <w:t>A</w:t>
            </w:r>
          </w:p>
        </w:tc>
        <w:tc>
          <w:tcPr>
            <w:tcW w:w="3336" w:type="dxa"/>
            <w:vAlign w:val="center"/>
          </w:tcPr>
          <w:p w:rsidR="00C50E1F" w:rsidRPr="005D1801" w:rsidRDefault="00C50E1F"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009194</w:t>
            </w:r>
          </w:p>
        </w:tc>
      </w:tr>
    </w:tbl>
    <w:p w:rsidR="007E0760" w:rsidRPr="00D706E8" w:rsidRDefault="007E0760"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F4591" w:rsidRPr="00D706E8" w:rsidRDefault="001F4591" w:rsidP="001F4591">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sidRPr="00D706E8">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参与优惠活动情况说明</w:t>
      </w:r>
    </w:p>
    <w:p w:rsidR="001F4591" w:rsidRPr="00496858" w:rsidRDefault="001F4591" w:rsidP="00496858">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BD6498">
        <w:rPr>
          <w:rFonts w:ascii="宋体" w:eastAsia="宋体" w:hAnsi="宋体" w:cs="宋体" w:hint="eastAsia"/>
          <w:color w:val="000000"/>
          <w:kern w:val="0"/>
          <w:sz w:val="24"/>
          <w:szCs w:val="24"/>
        </w:rPr>
        <w:t>1、自</w:t>
      </w:r>
      <w:r w:rsidRPr="00BD6498">
        <w:rPr>
          <w:rFonts w:ascii="宋体" w:eastAsia="宋体" w:hAnsi="宋体" w:cs="宋体"/>
          <w:color w:val="000000"/>
          <w:kern w:val="0"/>
          <w:sz w:val="24"/>
          <w:szCs w:val="24"/>
        </w:rPr>
        <w:t>2020</w:t>
      </w:r>
      <w:r w:rsidRPr="00BD6498">
        <w:rPr>
          <w:rFonts w:ascii="宋体" w:eastAsia="宋体" w:hAnsi="宋体" w:cs="宋体" w:hint="eastAsia"/>
          <w:color w:val="000000"/>
          <w:kern w:val="0"/>
          <w:sz w:val="24"/>
          <w:szCs w:val="24"/>
        </w:rPr>
        <w:t>年</w:t>
      </w:r>
      <w:r w:rsidR="00DF6B94">
        <w:rPr>
          <w:rFonts w:ascii="宋体" w:eastAsia="宋体" w:hAnsi="宋体" w:cs="宋体"/>
          <w:color w:val="000000"/>
          <w:kern w:val="0"/>
          <w:sz w:val="24"/>
          <w:szCs w:val="24"/>
        </w:rPr>
        <w:t>7</w:t>
      </w:r>
      <w:r w:rsidRPr="00BD6498">
        <w:rPr>
          <w:rFonts w:ascii="宋体" w:eastAsia="宋体" w:hAnsi="宋体" w:cs="宋体"/>
          <w:color w:val="000000"/>
          <w:kern w:val="0"/>
          <w:sz w:val="24"/>
          <w:szCs w:val="24"/>
        </w:rPr>
        <w:t>月</w:t>
      </w:r>
      <w:r w:rsidR="00DF6B94">
        <w:rPr>
          <w:rFonts w:ascii="宋体" w:eastAsia="宋体" w:hAnsi="宋体" w:cs="宋体"/>
          <w:color w:val="000000"/>
          <w:kern w:val="0"/>
          <w:sz w:val="24"/>
          <w:szCs w:val="24"/>
        </w:rPr>
        <w:t>22</w:t>
      </w:r>
      <w:r w:rsidRPr="00BD6498">
        <w:rPr>
          <w:rFonts w:ascii="宋体" w:eastAsia="宋体" w:hAnsi="宋体" w:cs="宋体" w:hint="eastAsia"/>
          <w:color w:val="000000"/>
          <w:kern w:val="0"/>
          <w:sz w:val="24"/>
          <w:szCs w:val="24"/>
        </w:rPr>
        <w:t>日（含</w:t>
      </w:r>
      <w:r w:rsidR="00DF6B94">
        <w:rPr>
          <w:rFonts w:ascii="宋体" w:eastAsia="宋体" w:hAnsi="宋体" w:cs="宋体"/>
          <w:color w:val="000000"/>
          <w:kern w:val="0"/>
          <w:sz w:val="24"/>
          <w:szCs w:val="24"/>
        </w:rPr>
        <w:t>7</w:t>
      </w:r>
      <w:r w:rsidRPr="00BD6498">
        <w:rPr>
          <w:rFonts w:ascii="宋体" w:eastAsia="宋体" w:hAnsi="宋体" w:cs="宋体"/>
          <w:color w:val="000000"/>
          <w:kern w:val="0"/>
          <w:sz w:val="24"/>
          <w:szCs w:val="24"/>
        </w:rPr>
        <w:t>月</w:t>
      </w:r>
      <w:r w:rsidR="00DF6B94">
        <w:rPr>
          <w:rFonts w:ascii="宋体" w:eastAsia="宋体" w:hAnsi="宋体" w:cs="宋体" w:hint="eastAsia"/>
          <w:color w:val="000000"/>
          <w:kern w:val="0"/>
          <w:sz w:val="24"/>
          <w:szCs w:val="24"/>
        </w:rPr>
        <w:t>2</w:t>
      </w:r>
      <w:r w:rsidR="00DF6B94">
        <w:rPr>
          <w:rFonts w:ascii="宋体" w:eastAsia="宋体" w:hAnsi="宋体" w:cs="宋体"/>
          <w:color w:val="000000"/>
          <w:kern w:val="0"/>
          <w:sz w:val="24"/>
          <w:szCs w:val="24"/>
        </w:rPr>
        <w:t>2</w:t>
      </w:r>
      <w:r w:rsidRPr="00BD6498">
        <w:rPr>
          <w:rFonts w:ascii="宋体" w:eastAsia="宋体" w:hAnsi="宋体" w:cs="宋体" w:hint="eastAsia"/>
          <w:color w:val="000000"/>
          <w:kern w:val="0"/>
          <w:sz w:val="24"/>
          <w:szCs w:val="24"/>
        </w:rPr>
        <w:t>日）起，凡通过</w:t>
      </w:r>
      <w:r w:rsidR="00D93265" w:rsidRPr="00BD6498">
        <w:rPr>
          <w:rFonts w:ascii="宋体" w:eastAsia="宋体" w:hAnsi="宋体" w:cs="宋体" w:hint="eastAsia"/>
          <w:color w:val="000000"/>
          <w:kern w:val="0"/>
          <w:sz w:val="24"/>
          <w:szCs w:val="24"/>
        </w:rPr>
        <w:t>中信</w:t>
      </w:r>
      <w:r w:rsidRPr="00BD6498">
        <w:rPr>
          <w:rFonts w:ascii="宋体" w:eastAsia="宋体" w:hAnsi="宋体" w:cs="宋体" w:hint="eastAsia"/>
          <w:color w:val="000000"/>
          <w:kern w:val="0"/>
          <w:sz w:val="24"/>
          <w:szCs w:val="24"/>
        </w:rPr>
        <w:t>证券</w:t>
      </w:r>
      <w:r w:rsidR="00D62F68">
        <w:rPr>
          <w:rFonts w:ascii="宋体" w:eastAsia="宋体" w:hAnsi="宋体" w:cs="宋体" w:hint="eastAsia"/>
          <w:color w:val="000000"/>
          <w:kern w:val="0"/>
          <w:sz w:val="24"/>
          <w:szCs w:val="24"/>
        </w:rPr>
        <w:t>、中信山东、中信华南、中信期货</w:t>
      </w:r>
      <w:r w:rsidRPr="00BD6498">
        <w:rPr>
          <w:rFonts w:ascii="宋体" w:eastAsia="宋体" w:hAnsi="宋体" w:cs="宋体" w:hint="eastAsia"/>
          <w:color w:val="000000"/>
          <w:kern w:val="0"/>
          <w:sz w:val="24"/>
          <w:szCs w:val="24"/>
        </w:rPr>
        <w:t>申购（含定期定额申购）上述开放式基金</w:t>
      </w:r>
      <w:r w:rsidR="00E72519">
        <w:rPr>
          <w:rFonts w:ascii="宋体" w:eastAsia="宋体" w:hAnsi="宋体" w:cs="宋体" w:hint="eastAsia"/>
          <w:color w:val="000000"/>
          <w:kern w:val="0"/>
          <w:sz w:val="24"/>
          <w:szCs w:val="24"/>
        </w:rPr>
        <w:t>（如为上市基金</w:t>
      </w:r>
      <w:r w:rsidR="00E72519" w:rsidRPr="00E72519">
        <w:rPr>
          <w:rFonts w:ascii="宋体" w:eastAsia="宋体" w:hAnsi="宋体" w:cs="宋体" w:hint="eastAsia"/>
          <w:color w:val="000000"/>
          <w:kern w:val="0"/>
          <w:sz w:val="24"/>
          <w:szCs w:val="24"/>
        </w:rPr>
        <w:t>仅限场外</w:t>
      </w:r>
      <w:r w:rsidR="00E72519">
        <w:rPr>
          <w:rFonts w:ascii="宋体" w:eastAsia="宋体" w:hAnsi="宋体" w:cs="宋体" w:hint="eastAsia"/>
          <w:color w:val="000000"/>
          <w:kern w:val="0"/>
          <w:sz w:val="24"/>
          <w:szCs w:val="24"/>
        </w:rPr>
        <w:t>部分）</w:t>
      </w:r>
      <w:r w:rsidRPr="00BD6498">
        <w:rPr>
          <w:rFonts w:ascii="宋体" w:eastAsia="宋体" w:hAnsi="宋体" w:cs="宋体" w:hint="eastAsia"/>
          <w:color w:val="000000"/>
          <w:kern w:val="0"/>
          <w:sz w:val="24"/>
          <w:szCs w:val="24"/>
        </w:rPr>
        <w:t>的投资者，</w:t>
      </w:r>
      <w:r w:rsidR="00496858" w:rsidRPr="005D5C67">
        <w:rPr>
          <w:rFonts w:ascii="宋体" w:eastAsia="宋体" w:hAnsi="宋体" w:cs="宋体" w:hint="eastAsia"/>
          <w:color w:val="000000"/>
          <w:kern w:val="0"/>
          <w:sz w:val="24"/>
          <w:szCs w:val="24"/>
        </w:rPr>
        <w:t>可享受申购费</w:t>
      </w:r>
      <w:r w:rsidR="00496858">
        <w:rPr>
          <w:rFonts w:ascii="宋体" w:eastAsia="宋体" w:hAnsi="宋体" w:cs="宋体"/>
          <w:color w:val="000000"/>
          <w:kern w:val="0"/>
          <w:sz w:val="24"/>
          <w:szCs w:val="24"/>
        </w:rPr>
        <w:t>4</w:t>
      </w:r>
      <w:r w:rsidR="00496858" w:rsidRPr="005D5C67">
        <w:rPr>
          <w:rFonts w:ascii="宋体" w:eastAsia="宋体" w:hAnsi="宋体" w:cs="宋体" w:hint="eastAsia"/>
          <w:color w:val="000000"/>
          <w:kern w:val="0"/>
          <w:sz w:val="24"/>
          <w:szCs w:val="24"/>
        </w:rPr>
        <w:t>折优惠，原申购费率为固定费用的，则按原申购费率执行。各基金费率请详见该基金基金合同、招募说明书（更新）等法律文件，以及本公司发布的最新业务公告。</w:t>
      </w:r>
      <w:bookmarkStart w:id="0" w:name="_GoBack"/>
      <w:bookmarkEnd w:id="0"/>
    </w:p>
    <w:p w:rsidR="001F4591" w:rsidRPr="00BD6498" w:rsidRDefault="001F4591" w:rsidP="00D62F68">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BD6498">
        <w:rPr>
          <w:rFonts w:ascii="宋体" w:eastAsia="宋体" w:hAnsi="宋体" w:cs="宋体" w:hint="eastAsia"/>
          <w:color w:val="000000"/>
          <w:kern w:val="0"/>
          <w:sz w:val="24"/>
          <w:szCs w:val="24"/>
        </w:rPr>
        <w:t>2</w:t>
      </w:r>
      <w:r w:rsidR="00D93265" w:rsidRPr="00BD6498">
        <w:rPr>
          <w:rFonts w:ascii="宋体" w:eastAsia="宋体" w:hAnsi="宋体" w:cs="宋体" w:hint="eastAsia"/>
          <w:color w:val="000000"/>
          <w:kern w:val="0"/>
          <w:sz w:val="24"/>
          <w:szCs w:val="24"/>
        </w:rPr>
        <w:t>、本费率优惠仅适用于本公司在中信</w:t>
      </w:r>
      <w:r w:rsidRPr="00BD6498">
        <w:rPr>
          <w:rFonts w:ascii="宋体" w:eastAsia="宋体" w:hAnsi="宋体" w:cs="宋体" w:hint="eastAsia"/>
          <w:color w:val="000000"/>
          <w:kern w:val="0"/>
          <w:sz w:val="24"/>
          <w:szCs w:val="24"/>
        </w:rPr>
        <w:t>证券</w:t>
      </w:r>
      <w:r w:rsidR="00D62F68">
        <w:rPr>
          <w:rFonts w:ascii="宋体" w:eastAsia="宋体" w:hAnsi="宋体" w:cs="宋体" w:hint="eastAsia"/>
          <w:color w:val="000000"/>
          <w:kern w:val="0"/>
          <w:sz w:val="24"/>
          <w:szCs w:val="24"/>
        </w:rPr>
        <w:t>、中信山东、中信华南、中信期货</w:t>
      </w:r>
      <w:r w:rsidRPr="00BD6498">
        <w:rPr>
          <w:rFonts w:ascii="宋体" w:eastAsia="宋体" w:hAnsi="宋体" w:cs="宋体" w:hint="eastAsia"/>
          <w:color w:val="000000"/>
          <w:kern w:val="0"/>
          <w:sz w:val="24"/>
          <w:szCs w:val="24"/>
        </w:rPr>
        <w:t>申购（含定期定额投资）业务的手续费，</w:t>
      </w:r>
      <w:r w:rsidRPr="00BD6498">
        <w:rPr>
          <w:rFonts w:ascii="宋体" w:eastAsia="宋体" w:hAnsi="宋体" w:cs="宋体" w:hint="eastAsia"/>
          <w:sz w:val="24"/>
          <w:szCs w:val="24"/>
        </w:rPr>
        <w:t>不包括基金赎回、转换业务等其他业务的手续费。</w:t>
      </w:r>
    </w:p>
    <w:p w:rsidR="00FC3FCF" w:rsidRPr="00BD6498" w:rsidRDefault="001F4591"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sidRPr="00BD6498">
        <w:rPr>
          <w:rFonts w:ascii="宋体" w:eastAsia="宋体" w:hAnsi="宋体" w:cs="宋体" w:hint="eastAsia"/>
          <w:b/>
          <w:color w:val="000000"/>
          <w:kern w:val="0"/>
          <w:sz w:val="24"/>
          <w:szCs w:val="24"/>
        </w:rPr>
        <w:t>三</w:t>
      </w:r>
      <w:r w:rsidR="005932D0" w:rsidRPr="00BD6498">
        <w:rPr>
          <w:rFonts w:ascii="宋体" w:eastAsia="宋体" w:hAnsi="宋体" w:cs="宋体" w:hint="eastAsia"/>
          <w:b/>
          <w:color w:val="000000"/>
          <w:kern w:val="0"/>
          <w:sz w:val="24"/>
          <w:szCs w:val="24"/>
        </w:rPr>
        <w:t>、</w:t>
      </w:r>
      <w:r w:rsidR="00FC3FCF" w:rsidRPr="00BD6498">
        <w:rPr>
          <w:rFonts w:ascii="宋体" w:eastAsia="宋体" w:hAnsi="宋体" w:cs="宋体" w:hint="eastAsia"/>
          <w:b/>
          <w:color w:val="000000"/>
          <w:kern w:val="0"/>
          <w:sz w:val="24"/>
          <w:szCs w:val="24"/>
        </w:rPr>
        <w:t>投资者可通过以下途径了解或咨询相关情况</w:t>
      </w:r>
    </w:p>
    <w:p w:rsidR="007E165F" w:rsidRPr="00E7251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519">
        <w:rPr>
          <w:rFonts w:ascii="宋体" w:eastAsia="宋体" w:hAnsi="宋体" w:cs="宋体"/>
          <w:color w:val="000000"/>
          <w:kern w:val="0"/>
          <w:sz w:val="24"/>
          <w:szCs w:val="24"/>
        </w:rPr>
        <w:t>1、泰达宏利基金管理有限公司</w:t>
      </w:r>
    </w:p>
    <w:p w:rsidR="007E165F" w:rsidRPr="00E7251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519">
        <w:rPr>
          <w:rFonts w:ascii="宋体" w:eastAsia="宋体" w:hAnsi="宋体" w:cs="宋体" w:hint="eastAsia"/>
          <w:color w:val="000000"/>
          <w:kern w:val="0"/>
          <w:sz w:val="24"/>
          <w:szCs w:val="24"/>
        </w:rPr>
        <w:t>客服电话：</w:t>
      </w:r>
      <w:r w:rsidRPr="00E72519">
        <w:rPr>
          <w:rFonts w:ascii="宋体" w:eastAsia="宋体" w:hAnsi="宋体" w:cs="宋体"/>
          <w:color w:val="000000"/>
          <w:kern w:val="0"/>
          <w:sz w:val="24"/>
          <w:szCs w:val="24"/>
        </w:rPr>
        <w:t>4006988888</w:t>
      </w:r>
    </w:p>
    <w:p w:rsidR="007E165F" w:rsidRPr="00E7251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519">
        <w:rPr>
          <w:rFonts w:ascii="宋体" w:eastAsia="宋体" w:hAnsi="宋体" w:cs="宋体" w:hint="eastAsia"/>
          <w:color w:val="000000"/>
          <w:kern w:val="0"/>
          <w:sz w:val="24"/>
          <w:szCs w:val="24"/>
        </w:rPr>
        <w:t>网站：</w:t>
      </w:r>
      <w:r w:rsidRPr="00E72519">
        <w:rPr>
          <w:rFonts w:ascii="宋体" w:eastAsia="宋体" w:hAnsi="宋体" w:cs="宋体"/>
          <w:color w:val="000000"/>
          <w:kern w:val="0"/>
          <w:sz w:val="24"/>
          <w:szCs w:val="24"/>
        </w:rPr>
        <w:t>www.mfcteda.com</w:t>
      </w:r>
    </w:p>
    <w:p w:rsidR="007E165F" w:rsidRPr="00E7251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519">
        <w:rPr>
          <w:rFonts w:ascii="宋体" w:eastAsia="宋体" w:hAnsi="宋体" w:cs="宋体"/>
          <w:color w:val="000000"/>
          <w:kern w:val="0"/>
          <w:sz w:val="24"/>
          <w:szCs w:val="24"/>
        </w:rPr>
        <w:t>2、</w:t>
      </w:r>
      <w:r w:rsidR="00D93265" w:rsidRPr="00E72519">
        <w:rPr>
          <w:rFonts w:ascii="宋体" w:eastAsia="宋体" w:hAnsi="宋体" w:cs="宋体" w:hint="eastAsia"/>
          <w:color w:val="000000"/>
          <w:kern w:val="0"/>
          <w:sz w:val="24"/>
          <w:szCs w:val="24"/>
        </w:rPr>
        <w:t>中信</w:t>
      </w:r>
      <w:r w:rsidRPr="00E72519">
        <w:rPr>
          <w:rFonts w:ascii="宋体" w:eastAsia="宋体" w:hAnsi="宋体" w:cs="宋体"/>
          <w:color w:val="000000"/>
          <w:kern w:val="0"/>
          <w:sz w:val="24"/>
          <w:szCs w:val="24"/>
        </w:rPr>
        <w:t>证券股份有限公司</w:t>
      </w:r>
    </w:p>
    <w:p w:rsidR="007E165F" w:rsidRPr="00E72519"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E72519">
        <w:rPr>
          <w:rFonts w:ascii="宋体" w:eastAsia="宋体" w:hAnsi="宋体" w:cs="宋体" w:hint="eastAsia"/>
          <w:color w:val="000000"/>
          <w:kern w:val="0"/>
          <w:sz w:val="24"/>
          <w:szCs w:val="24"/>
        </w:rPr>
        <w:t>客户服务电话：</w:t>
      </w:r>
      <w:r w:rsidR="00EB0E24" w:rsidRPr="00E72519">
        <w:rPr>
          <w:rFonts w:ascii="宋体" w:eastAsia="宋体" w:hAnsi="宋体" w:cs="宋体"/>
          <w:color w:val="000000"/>
          <w:kern w:val="0"/>
          <w:sz w:val="24"/>
          <w:szCs w:val="24"/>
        </w:rPr>
        <w:t>95548</w:t>
      </w:r>
    </w:p>
    <w:p w:rsidR="00F3612F" w:rsidRPr="000F512D" w:rsidRDefault="007E165F" w:rsidP="007675F4">
      <w:pPr>
        <w:autoSpaceDE w:val="0"/>
        <w:autoSpaceDN w:val="0"/>
        <w:adjustRightInd w:val="0"/>
        <w:spacing w:before="100" w:beforeAutospacing="1" w:line="360" w:lineRule="auto"/>
        <w:ind w:firstLine="465"/>
        <w:rPr>
          <w:rFonts w:ascii="宋体" w:eastAsia="宋体" w:hAnsi="宋体" w:cs="宋体"/>
          <w:kern w:val="0"/>
          <w:sz w:val="24"/>
          <w:szCs w:val="20"/>
        </w:rPr>
      </w:pPr>
      <w:r w:rsidRPr="00E72519">
        <w:rPr>
          <w:rFonts w:ascii="宋体" w:eastAsia="宋体" w:hAnsi="宋体" w:cs="宋体" w:hint="eastAsia"/>
          <w:color w:val="000000"/>
          <w:kern w:val="0"/>
          <w:sz w:val="24"/>
          <w:szCs w:val="24"/>
        </w:rPr>
        <w:t>网址：</w:t>
      </w:r>
      <w:hyperlink r:id="rId8" w:history="1">
        <w:r w:rsidR="00D62F68" w:rsidRPr="000F512D">
          <w:rPr>
            <w:rStyle w:val="a5"/>
            <w:rFonts w:ascii="宋体" w:eastAsia="宋体" w:hAnsi="宋体" w:cs="宋体"/>
            <w:kern w:val="0"/>
            <w:sz w:val="24"/>
            <w:szCs w:val="20"/>
          </w:rPr>
          <w:t>http://www.cs.ecitic.com</w:t>
        </w:r>
      </w:hyperlink>
    </w:p>
    <w:p w:rsidR="00D62F68" w:rsidRPr="000F512D" w:rsidRDefault="00D62F68" w:rsidP="007675F4">
      <w:pPr>
        <w:autoSpaceDE w:val="0"/>
        <w:autoSpaceDN w:val="0"/>
        <w:adjustRightInd w:val="0"/>
        <w:spacing w:before="100" w:beforeAutospacing="1" w:line="360" w:lineRule="auto"/>
        <w:ind w:firstLine="465"/>
        <w:rPr>
          <w:rFonts w:ascii="宋体" w:eastAsia="宋体" w:hAnsi="宋体"/>
          <w:sz w:val="24"/>
        </w:rPr>
      </w:pPr>
      <w:r w:rsidRPr="000F512D">
        <w:rPr>
          <w:rFonts w:ascii="宋体" w:eastAsia="宋体" w:hAnsi="宋体"/>
          <w:sz w:val="24"/>
        </w:rPr>
        <w:t>3</w:t>
      </w:r>
      <w:r w:rsidRPr="000F512D">
        <w:rPr>
          <w:rFonts w:ascii="宋体" w:eastAsia="宋体" w:hAnsi="宋体" w:hint="eastAsia"/>
          <w:sz w:val="24"/>
        </w:rPr>
        <w:t>、中信证券（山东）有限责任公司</w:t>
      </w:r>
    </w:p>
    <w:p w:rsidR="00D62F68" w:rsidRPr="000F512D" w:rsidRDefault="00D62F68" w:rsidP="007675F4">
      <w:pPr>
        <w:autoSpaceDE w:val="0"/>
        <w:autoSpaceDN w:val="0"/>
        <w:adjustRightInd w:val="0"/>
        <w:spacing w:before="100" w:beforeAutospacing="1" w:line="360" w:lineRule="auto"/>
        <w:ind w:firstLine="465"/>
        <w:rPr>
          <w:rFonts w:ascii="宋体" w:eastAsia="宋体" w:hAnsi="宋体"/>
          <w:sz w:val="24"/>
        </w:rPr>
      </w:pPr>
      <w:r w:rsidRPr="000F512D">
        <w:rPr>
          <w:rFonts w:ascii="宋体" w:eastAsia="宋体" w:hAnsi="宋体" w:hint="eastAsia"/>
          <w:sz w:val="24"/>
        </w:rPr>
        <w:t>客服电话：</w:t>
      </w:r>
      <w:r w:rsidR="00022830" w:rsidRPr="000F512D">
        <w:rPr>
          <w:rFonts w:ascii="宋体" w:eastAsia="宋体" w:hAnsi="宋体"/>
          <w:sz w:val="24"/>
        </w:rPr>
        <w:t>955448</w:t>
      </w:r>
    </w:p>
    <w:p w:rsidR="00022830" w:rsidRPr="000F512D" w:rsidRDefault="0024665B" w:rsidP="007675F4">
      <w:pPr>
        <w:autoSpaceDE w:val="0"/>
        <w:autoSpaceDN w:val="0"/>
        <w:adjustRightInd w:val="0"/>
        <w:spacing w:before="100" w:beforeAutospacing="1" w:line="360" w:lineRule="auto"/>
        <w:ind w:firstLine="465"/>
        <w:rPr>
          <w:rFonts w:ascii="宋体" w:eastAsia="宋体" w:hAnsi="宋体"/>
          <w:sz w:val="24"/>
        </w:rPr>
      </w:pPr>
      <w:r w:rsidRPr="000F512D">
        <w:rPr>
          <w:rFonts w:ascii="宋体" w:eastAsia="宋体" w:hAnsi="宋体" w:hint="eastAsia"/>
          <w:sz w:val="24"/>
        </w:rPr>
        <w:t>网址</w:t>
      </w:r>
      <w:r w:rsidR="00022830" w:rsidRPr="000F512D">
        <w:rPr>
          <w:rFonts w:ascii="宋体" w:eastAsia="宋体" w:hAnsi="宋体" w:hint="eastAsia"/>
          <w:sz w:val="24"/>
        </w:rPr>
        <w:t>：</w:t>
      </w:r>
      <w:r w:rsidR="00116C06" w:rsidRPr="000F512D">
        <w:rPr>
          <w:rFonts w:ascii="宋体" w:eastAsia="宋体" w:hAnsi="宋体"/>
          <w:sz w:val="24"/>
        </w:rPr>
        <w:t>http://sd.citics.com</w:t>
      </w:r>
    </w:p>
    <w:p w:rsidR="00022830" w:rsidRPr="000F512D" w:rsidRDefault="00022830" w:rsidP="007675F4">
      <w:pPr>
        <w:autoSpaceDE w:val="0"/>
        <w:autoSpaceDN w:val="0"/>
        <w:adjustRightInd w:val="0"/>
        <w:spacing w:before="100" w:beforeAutospacing="1" w:line="360" w:lineRule="auto"/>
        <w:ind w:firstLine="465"/>
        <w:rPr>
          <w:rFonts w:ascii="宋体" w:eastAsia="宋体" w:hAnsi="宋体"/>
          <w:sz w:val="24"/>
        </w:rPr>
      </w:pPr>
      <w:r w:rsidRPr="000F512D">
        <w:rPr>
          <w:rFonts w:ascii="宋体" w:eastAsia="宋体" w:hAnsi="宋体"/>
          <w:sz w:val="24"/>
        </w:rPr>
        <w:t>4、中信证券华南股份有限公司</w:t>
      </w:r>
    </w:p>
    <w:p w:rsidR="0024665B" w:rsidRPr="000F512D" w:rsidRDefault="0024665B" w:rsidP="0024665B">
      <w:pPr>
        <w:autoSpaceDE w:val="0"/>
        <w:autoSpaceDN w:val="0"/>
        <w:adjustRightInd w:val="0"/>
        <w:spacing w:before="100" w:beforeAutospacing="1" w:line="360" w:lineRule="auto"/>
        <w:ind w:firstLine="480"/>
        <w:rPr>
          <w:rFonts w:ascii="宋体" w:eastAsia="宋体" w:hAnsi="宋体"/>
          <w:sz w:val="24"/>
        </w:rPr>
      </w:pPr>
      <w:r w:rsidRPr="00E72519">
        <w:rPr>
          <w:rFonts w:ascii="宋体" w:eastAsia="宋体" w:hAnsi="宋体" w:hint="eastAsia"/>
          <w:sz w:val="24"/>
        </w:rPr>
        <w:t>客服电话：</w:t>
      </w:r>
      <w:r w:rsidRPr="000F512D">
        <w:rPr>
          <w:rFonts w:ascii="宋体" w:eastAsia="宋体" w:hAnsi="宋体"/>
          <w:sz w:val="24"/>
        </w:rPr>
        <w:t>95396</w:t>
      </w:r>
    </w:p>
    <w:p w:rsidR="0024665B" w:rsidRPr="000F512D" w:rsidRDefault="0024665B" w:rsidP="0024665B">
      <w:pPr>
        <w:autoSpaceDE w:val="0"/>
        <w:autoSpaceDN w:val="0"/>
        <w:adjustRightInd w:val="0"/>
        <w:spacing w:before="100" w:beforeAutospacing="1" w:line="360" w:lineRule="auto"/>
        <w:ind w:firstLine="480"/>
        <w:rPr>
          <w:rFonts w:ascii="宋体" w:eastAsia="宋体" w:hAnsi="宋体"/>
          <w:sz w:val="24"/>
        </w:rPr>
      </w:pPr>
      <w:r w:rsidRPr="000F512D">
        <w:rPr>
          <w:rFonts w:ascii="宋体" w:eastAsia="宋体" w:hAnsi="宋体" w:hint="eastAsia"/>
          <w:sz w:val="24"/>
        </w:rPr>
        <w:t>网址：</w:t>
      </w:r>
      <w:hyperlink r:id="rId9" w:history="1">
        <w:r w:rsidRPr="000F512D">
          <w:rPr>
            <w:rStyle w:val="a5"/>
            <w:rFonts w:ascii="宋体" w:eastAsia="宋体" w:hAnsi="宋体"/>
            <w:sz w:val="24"/>
          </w:rPr>
          <w:t>www.gzs.com.cn</w:t>
        </w:r>
      </w:hyperlink>
    </w:p>
    <w:p w:rsidR="0024665B" w:rsidRPr="000F512D" w:rsidRDefault="0024665B" w:rsidP="0024665B">
      <w:pPr>
        <w:autoSpaceDE w:val="0"/>
        <w:autoSpaceDN w:val="0"/>
        <w:adjustRightInd w:val="0"/>
        <w:spacing w:before="100" w:beforeAutospacing="1" w:line="360" w:lineRule="auto"/>
        <w:ind w:firstLine="480"/>
        <w:rPr>
          <w:rFonts w:ascii="宋体" w:eastAsia="宋体" w:hAnsi="宋体"/>
          <w:sz w:val="24"/>
        </w:rPr>
      </w:pPr>
      <w:r w:rsidRPr="000F512D">
        <w:rPr>
          <w:rFonts w:ascii="宋体" w:eastAsia="宋体" w:hAnsi="宋体"/>
          <w:sz w:val="24"/>
        </w:rPr>
        <w:t>5</w:t>
      </w:r>
      <w:r w:rsidRPr="000F512D">
        <w:rPr>
          <w:rFonts w:ascii="宋体" w:eastAsia="宋体" w:hAnsi="宋体" w:hint="eastAsia"/>
          <w:sz w:val="24"/>
        </w:rPr>
        <w:t>、中信期货有限公司</w:t>
      </w:r>
    </w:p>
    <w:p w:rsidR="0024665B" w:rsidRPr="000F512D" w:rsidRDefault="0024665B" w:rsidP="0024665B">
      <w:pPr>
        <w:autoSpaceDE w:val="0"/>
        <w:autoSpaceDN w:val="0"/>
        <w:adjustRightInd w:val="0"/>
        <w:spacing w:before="100" w:beforeAutospacing="1" w:line="360" w:lineRule="auto"/>
        <w:ind w:firstLine="480"/>
        <w:rPr>
          <w:rFonts w:ascii="宋体" w:eastAsia="宋体" w:hAnsi="宋体"/>
          <w:sz w:val="24"/>
        </w:rPr>
      </w:pPr>
      <w:r w:rsidRPr="000F512D">
        <w:rPr>
          <w:rFonts w:ascii="宋体" w:eastAsia="宋体" w:hAnsi="宋体" w:hint="eastAsia"/>
          <w:sz w:val="24"/>
        </w:rPr>
        <w:t>客服电话：</w:t>
      </w:r>
      <w:r w:rsidRPr="000F512D">
        <w:rPr>
          <w:rFonts w:ascii="宋体" w:eastAsia="宋体" w:hAnsi="宋体"/>
          <w:sz w:val="24"/>
        </w:rPr>
        <w:t>400-990-8826</w:t>
      </w:r>
    </w:p>
    <w:p w:rsidR="0024665B" w:rsidRPr="000F512D" w:rsidRDefault="0024665B" w:rsidP="0024665B">
      <w:pPr>
        <w:autoSpaceDE w:val="0"/>
        <w:autoSpaceDN w:val="0"/>
        <w:adjustRightInd w:val="0"/>
        <w:spacing w:before="100" w:beforeAutospacing="1" w:line="360" w:lineRule="auto"/>
        <w:ind w:firstLine="480"/>
        <w:rPr>
          <w:rFonts w:ascii="宋体" w:eastAsia="宋体" w:hAnsi="宋体"/>
          <w:sz w:val="24"/>
        </w:rPr>
      </w:pPr>
      <w:r w:rsidRPr="000F512D">
        <w:rPr>
          <w:rFonts w:ascii="宋体" w:eastAsia="宋体" w:hAnsi="宋体" w:hint="eastAsia"/>
          <w:sz w:val="24"/>
        </w:rPr>
        <w:t>网址：</w:t>
      </w:r>
      <w:r w:rsidRPr="000F512D">
        <w:rPr>
          <w:rFonts w:ascii="宋体" w:eastAsia="宋体" w:hAnsi="宋体"/>
          <w:sz w:val="24"/>
        </w:rPr>
        <w:t>www.citicsf.com</w:t>
      </w:r>
    </w:p>
    <w:p w:rsidR="00022830" w:rsidRPr="000F512D" w:rsidRDefault="00022830" w:rsidP="007675F4">
      <w:pPr>
        <w:autoSpaceDE w:val="0"/>
        <w:autoSpaceDN w:val="0"/>
        <w:adjustRightInd w:val="0"/>
        <w:spacing w:before="100" w:beforeAutospacing="1" w:line="360" w:lineRule="auto"/>
        <w:ind w:firstLine="465"/>
        <w:rPr>
          <w:rFonts w:ascii="宋体" w:eastAsia="宋体" w:hAnsi="宋体"/>
          <w:sz w:val="24"/>
        </w:rPr>
      </w:pPr>
    </w:p>
    <w:p w:rsidR="0033471A" w:rsidRPr="00BD649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BD6498">
        <w:rPr>
          <w:rFonts w:ascii="宋体" w:eastAsia="宋体" w:hAnsi="宋体" w:cs="宋体" w:hint="eastAsia"/>
          <w:color w:val="000000"/>
          <w:kern w:val="0"/>
          <w:sz w:val="24"/>
          <w:szCs w:val="24"/>
        </w:rPr>
        <w:t>风险提示：</w:t>
      </w:r>
      <w:r w:rsidR="0033471A" w:rsidRPr="00BD6498">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BD649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231975" w:rsidRPr="00BD649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BD6498">
        <w:rPr>
          <w:rFonts w:ascii="宋体" w:eastAsia="宋体" w:hAnsi="宋体" w:cs="宋体" w:hint="eastAsia"/>
          <w:color w:val="000000"/>
          <w:kern w:val="0"/>
          <w:sz w:val="24"/>
          <w:szCs w:val="24"/>
        </w:rPr>
        <w:t>特此公告。</w:t>
      </w:r>
    </w:p>
    <w:p w:rsidR="00231975" w:rsidRPr="00BD6498" w:rsidRDefault="00231975" w:rsidP="00F11817">
      <w:pPr>
        <w:autoSpaceDE w:val="0"/>
        <w:autoSpaceDN w:val="0"/>
        <w:adjustRightInd w:val="0"/>
        <w:spacing w:before="100" w:beforeAutospacing="1" w:line="360" w:lineRule="auto"/>
        <w:ind w:firstLineChars="2200" w:firstLine="5280"/>
        <w:rPr>
          <w:rFonts w:ascii="宋体" w:eastAsia="宋体" w:hAnsi="宋体" w:cs="宋体"/>
          <w:color w:val="000000"/>
          <w:kern w:val="0"/>
          <w:sz w:val="24"/>
          <w:szCs w:val="24"/>
        </w:rPr>
      </w:pPr>
      <w:r w:rsidRPr="00BD6498">
        <w:rPr>
          <w:rFonts w:ascii="宋体" w:eastAsia="宋体" w:hAnsi="宋体" w:cs="宋体" w:hint="eastAsia"/>
          <w:color w:val="000000"/>
          <w:kern w:val="0"/>
          <w:sz w:val="24"/>
          <w:szCs w:val="24"/>
        </w:rPr>
        <w:t>泰达宏利基金管理有限公司</w:t>
      </w:r>
    </w:p>
    <w:p w:rsidR="00231975" w:rsidRPr="00D706E8" w:rsidRDefault="00231975" w:rsidP="00F11817">
      <w:pPr>
        <w:autoSpaceDE w:val="0"/>
        <w:autoSpaceDN w:val="0"/>
        <w:adjustRightInd w:val="0"/>
        <w:spacing w:before="100" w:beforeAutospacing="1" w:line="360" w:lineRule="auto"/>
        <w:ind w:firstLineChars="2500" w:firstLine="6000"/>
        <w:rPr>
          <w:rFonts w:ascii="宋体" w:eastAsia="宋体" w:hAnsi="宋体" w:cs="宋体"/>
          <w:color w:val="000000"/>
          <w:kern w:val="0"/>
          <w:sz w:val="24"/>
          <w:szCs w:val="24"/>
        </w:rPr>
      </w:pPr>
      <w:r w:rsidRPr="00BD6498">
        <w:rPr>
          <w:rFonts w:ascii="宋体" w:eastAsia="宋体" w:hAnsi="宋体" w:cs="宋体"/>
          <w:color w:val="000000"/>
          <w:kern w:val="0"/>
          <w:sz w:val="24"/>
          <w:szCs w:val="24"/>
        </w:rPr>
        <w:t>20</w:t>
      </w:r>
      <w:r w:rsidR="001D0E6D" w:rsidRPr="00BD6498">
        <w:rPr>
          <w:rFonts w:ascii="宋体" w:eastAsia="宋体" w:hAnsi="宋体" w:cs="宋体"/>
          <w:color w:val="000000"/>
          <w:kern w:val="0"/>
          <w:sz w:val="24"/>
          <w:szCs w:val="24"/>
        </w:rPr>
        <w:t>20</w:t>
      </w:r>
      <w:r w:rsidRPr="00BD6498">
        <w:rPr>
          <w:rFonts w:ascii="宋体" w:eastAsia="宋体" w:hAnsi="宋体" w:cs="宋体" w:hint="eastAsia"/>
          <w:color w:val="000000"/>
          <w:kern w:val="0"/>
          <w:sz w:val="24"/>
          <w:szCs w:val="24"/>
        </w:rPr>
        <w:t>年</w:t>
      </w:r>
      <w:r w:rsidR="00022830">
        <w:rPr>
          <w:rFonts w:ascii="宋体" w:eastAsia="宋体" w:hAnsi="宋体" w:cs="宋体"/>
          <w:color w:val="000000"/>
          <w:kern w:val="0"/>
          <w:sz w:val="24"/>
          <w:szCs w:val="24"/>
        </w:rPr>
        <w:t>7</w:t>
      </w:r>
      <w:r w:rsidRPr="00BD6498">
        <w:rPr>
          <w:rFonts w:ascii="宋体" w:eastAsia="宋体" w:hAnsi="宋体" w:cs="宋体" w:hint="eastAsia"/>
          <w:color w:val="000000"/>
          <w:kern w:val="0"/>
          <w:sz w:val="24"/>
          <w:szCs w:val="24"/>
        </w:rPr>
        <w:t>月</w:t>
      </w:r>
      <w:r w:rsidR="00022830">
        <w:rPr>
          <w:rFonts w:ascii="宋体" w:eastAsia="宋体" w:hAnsi="宋体" w:cs="宋体"/>
          <w:color w:val="000000"/>
          <w:kern w:val="0"/>
          <w:sz w:val="24"/>
          <w:szCs w:val="24"/>
        </w:rPr>
        <w:t>21</w:t>
      </w:r>
      <w:r w:rsidRPr="00BD6498">
        <w:rPr>
          <w:rFonts w:ascii="宋体" w:eastAsia="宋体" w:hAnsi="宋体" w:cs="宋体" w:hint="eastAsia"/>
          <w:color w:val="000000"/>
          <w:kern w:val="0"/>
          <w:sz w:val="24"/>
          <w:szCs w:val="24"/>
        </w:rPr>
        <w:t>日</w:t>
      </w:r>
    </w:p>
    <w:sectPr w:rsidR="00231975" w:rsidRPr="00D706E8" w:rsidSect="0056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C3" w:rsidRDefault="001C55C3" w:rsidP="00E16B07">
      <w:r>
        <w:separator/>
      </w:r>
    </w:p>
  </w:endnote>
  <w:endnote w:type="continuationSeparator" w:id="0">
    <w:p w:rsidR="001C55C3" w:rsidRDefault="001C55C3" w:rsidP="00E1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C3" w:rsidRDefault="001C55C3" w:rsidP="00E16B07">
      <w:r>
        <w:separator/>
      </w:r>
    </w:p>
  </w:footnote>
  <w:footnote w:type="continuationSeparator" w:id="0">
    <w:p w:rsidR="001C55C3" w:rsidRDefault="001C55C3" w:rsidP="00E16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C0E"/>
    <w:rsid w:val="00010FE1"/>
    <w:rsid w:val="00022830"/>
    <w:rsid w:val="0009660B"/>
    <w:rsid w:val="000A40CC"/>
    <w:rsid w:val="000B1F2A"/>
    <w:rsid w:val="000B3131"/>
    <w:rsid w:val="000D7484"/>
    <w:rsid w:val="000F512D"/>
    <w:rsid w:val="00116C06"/>
    <w:rsid w:val="00155902"/>
    <w:rsid w:val="00163DB4"/>
    <w:rsid w:val="001741E8"/>
    <w:rsid w:val="001C55C3"/>
    <w:rsid w:val="001D0E6D"/>
    <w:rsid w:val="001D702C"/>
    <w:rsid w:val="001E5C74"/>
    <w:rsid w:val="001F0D13"/>
    <w:rsid w:val="001F4591"/>
    <w:rsid w:val="00214EC1"/>
    <w:rsid w:val="002168FA"/>
    <w:rsid w:val="00231975"/>
    <w:rsid w:val="0024665B"/>
    <w:rsid w:val="0024706D"/>
    <w:rsid w:val="00267AAD"/>
    <w:rsid w:val="002F62C0"/>
    <w:rsid w:val="0030773E"/>
    <w:rsid w:val="0033471A"/>
    <w:rsid w:val="00367833"/>
    <w:rsid w:val="003A2B97"/>
    <w:rsid w:val="003F0A26"/>
    <w:rsid w:val="00474CEB"/>
    <w:rsid w:val="00475A50"/>
    <w:rsid w:val="00496858"/>
    <w:rsid w:val="00502CA2"/>
    <w:rsid w:val="0054167D"/>
    <w:rsid w:val="0055509D"/>
    <w:rsid w:val="0055647F"/>
    <w:rsid w:val="005600E9"/>
    <w:rsid w:val="00563323"/>
    <w:rsid w:val="005720B3"/>
    <w:rsid w:val="00572CFD"/>
    <w:rsid w:val="0057314A"/>
    <w:rsid w:val="005932D0"/>
    <w:rsid w:val="00595F77"/>
    <w:rsid w:val="005A58C4"/>
    <w:rsid w:val="005C7E9A"/>
    <w:rsid w:val="005D1801"/>
    <w:rsid w:val="005E06B6"/>
    <w:rsid w:val="00610BDC"/>
    <w:rsid w:val="00624516"/>
    <w:rsid w:val="00624F69"/>
    <w:rsid w:val="006465A9"/>
    <w:rsid w:val="0065696A"/>
    <w:rsid w:val="0067487E"/>
    <w:rsid w:val="006E55F0"/>
    <w:rsid w:val="007132F1"/>
    <w:rsid w:val="00735F05"/>
    <w:rsid w:val="00750C4F"/>
    <w:rsid w:val="007675F4"/>
    <w:rsid w:val="007A30FD"/>
    <w:rsid w:val="007A33AB"/>
    <w:rsid w:val="007B7943"/>
    <w:rsid w:val="007E0760"/>
    <w:rsid w:val="007E165F"/>
    <w:rsid w:val="0081116E"/>
    <w:rsid w:val="00832348"/>
    <w:rsid w:val="008953F4"/>
    <w:rsid w:val="008B0C66"/>
    <w:rsid w:val="008C2E49"/>
    <w:rsid w:val="008D3DD5"/>
    <w:rsid w:val="009212C8"/>
    <w:rsid w:val="0092317D"/>
    <w:rsid w:val="0098795F"/>
    <w:rsid w:val="009A31FE"/>
    <w:rsid w:val="009A5099"/>
    <w:rsid w:val="009F0997"/>
    <w:rsid w:val="009F1C27"/>
    <w:rsid w:val="00A90EF6"/>
    <w:rsid w:val="00A97D1D"/>
    <w:rsid w:val="00AB27F4"/>
    <w:rsid w:val="00AC2AE3"/>
    <w:rsid w:val="00AE1182"/>
    <w:rsid w:val="00BA460A"/>
    <w:rsid w:val="00BD6498"/>
    <w:rsid w:val="00C14C29"/>
    <w:rsid w:val="00C36302"/>
    <w:rsid w:val="00C37AE8"/>
    <w:rsid w:val="00C50E1F"/>
    <w:rsid w:val="00C563A4"/>
    <w:rsid w:val="00C642DD"/>
    <w:rsid w:val="00C868BC"/>
    <w:rsid w:val="00CB194B"/>
    <w:rsid w:val="00CD68BD"/>
    <w:rsid w:val="00D02733"/>
    <w:rsid w:val="00D23ED3"/>
    <w:rsid w:val="00D305CF"/>
    <w:rsid w:val="00D3771C"/>
    <w:rsid w:val="00D62F68"/>
    <w:rsid w:val="00D706E8"/>
    <w:rsid w:val="00D93265"/>
    <w:rsid w:val="00D95745"/>
    <w:rsid w:val="00DA6A57"/>
    <w:rsid w:val="00DE0963"/>
    <w:rsid w:val="00DF4490"/>
    <w:rsid w:val="00DF6B94"/>
    <w:rsid w:val="00E16B07"/>
    <w:rsid w:val="00E72519"/>
    <w:rsid w:val="00EB0E24"/>
    <w:rsid w:val="00EB3E84"/>
    <w:rsid w:val="00EC47D6"/>
    <w:rsid w:val="00EC6223"/>
    <w:rsid w:val="00ED4794"/>
    <w:rsid w:val="00EE37B7"/>
    <w:rsid w:val="00EF6F7A"/>
    <w:rsid w:val="00F06C0E"/>
    <w:rsid w:val="00F11817"/>
    <w:rsid w:val="00F3612F"/>
    <w:rsid w:val="00FB2B36"/>
    <w:rsid w:val="00FC3FCF"/>
    <w:rsid w:val="00FE6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23"/>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1">
    <w:name w:val="未处理的提及1"/>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paragraph" w:styleId="aa">
    <w:name w:val="header"/>
    <w:basedOn w:val="a"/>
    <w:link w:val="Char2"/>
    <w:uiPriority w:val="99"/>
    <w:semiHidden/>
    <w:unhideWhenUsed/>
    <w:rsid w:val="00E16B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E16B07"/>
    <w:rPr>
      <w:sz w:val="18"/>
      <w:szCs w:val="18"/>
    </w:rPr>
  </w:style>
  <w:style w:type="paragraph" w:styleId="ab">
    <w:name w:val="footer"/>
    <w:basedOn w:val="a"/>
    <w:link w:val="Char3"/>
    <w:uiPriority w:val="99"/>
    <w:semiHidden/>
    <w:unhideWhenUsed/>
    <w:rsid w:val="00E16B07"/>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E16B07"/>
    <w:rPr>
      <w:sz w:val="18"/>
      <w:szCs w:val="18"/>
    </w:rPr>
  </w:style>
  <w:style w:type="character" w:customStyle="1" w:styleId="20">
    <w:name w:val="未处理的提及2"/>
    <w:basedOn w:val="a0"/>
    <w:uiPriority w:val="99"/>
    <w:semiHidden/>
    <w:unhideWhenUsed/>
    <w:rsid w:val="00F3612F"/>
    <w:rPr>
      <w:color w:val="605E5C"/>
      <w:shd w:val="clear" w:color="auto" w:fill="E1DFDD"/>
    </w:rPr>
  </w:style>
  <w:style w:type="character" w:customStyle="1" w:styleId="UnresolvedMention">
    <w:name w:val="Unresolved Mention"/>
    <w:basedOn w:val="a0"/>
    <w:uiPriority w:val="99"/>
    <w:semiHidden/>
    <w:unhideWhenUsed/>
    <w:rsid w:val="00D62F6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698607">
      <w:bodyDiv w:val="1"/>
      <w:marLeft w:val="0"/>
      <w:marRight w:val="0"/>
      <w:marTop w:val="0"/>
      <w:marBottom w:val="0"/>
      <w:divBdr>
        <w:top w:val="none" w:sz="0" w:space="0" w:color="auto"/>
        <w:left w:val="none" w:sz="0" w:space="0" w:color="auto"/>
        <w:bottom w:val="none" w:sz="0" w:space="0" w:color="auto"/>
        <w:right w:val="none" w:sz="0" w:space="0" w:color="auto"/>
      </w:divBdr>
    </w:div>
    <w:div w:id="415176047">
      <w:bodyDiv w:val="1"/>
      <w:marLeft w:val="0"/>
      <w:marRight w:val="0"/>
      <w:marTop w:val="0"/>
      <w:marBottom w:val="0"/>
      <w:divBdr>
        <w:top w:val="none" w:sz="0" w:space="0" w:color="auto"/>
        <w:left w:val="none" w:sz="0" w:space="0" w:color="auto"/>
        <w:bottom w:val="none" w:sz="0" w:space="0" w:color="auto"/>
        <w:right w:val="none" w:sz="0" w:space="0" w:color="auto"/>
      </w:divBdr>
    </w:div>
    <w:div w:id="498351440">
      <w:bodyDiv w:val="1"/>
      <w:marLeft w:val="0"/>
      <w:marRight w:val="0"/>
      <w:marTop w:val="0"/>
      <w:marBottom w:val="0"/>
      <w:divBdr>
        <w:top w:val="none" w:sz="0" w:space="0" w:color="auto"/>
        <w:left w:val="none" w:sz="0" w:space="0" w:color="auto"/>
        <w:bottom w:val="none" w:sz="0" w:space="0" w:color="auto"/>
        <w:right w:val="none" w:sz="0" w:space="0" w:color="auto"/>
      </w:divBdr>
    </w:div>
    <w:div w:id="739639421">
      <w:bodyDiv w:val="1"/>
      <w:marLeft w:val="0"/>
      <w:marRight w:val="0"/>
      <w:marTop w:val="0"/>
      <w:marBottom w:val="0"/>
      <w:divBdr>
        <w:top w:val="none" w:sz="0" w:space="0" w:color="auto"/>
        <w:left w:val="none" w:sz="0" w:space="0" w:color="auto"/>
        <w:bottom w:val="none" w:sz="0" w:space="0" w:color="auto"/>
        <w:right w:val="none" w:sz="0" w:space="0" w:color="auto"/>
      </w:divBdr>
    </w:div>
    <w:div w:id="782959619">
      <w:bodyDiv w:val="1"/>
      <w:marLeft w:val="0"/>
      <w:marRight w:val="0"/>
      <w:marTop w:val="0"/>
      <w:marBottom w:val="0"/>
      <w:divBdr>
        <w:top w:val="none" w:sz="0" w:space="0" w:color="auto"/>
        <w:left w:val="none" w:sz="0" w:space="0" w:color="auto"/>
        <w:bottom w:val="none" w:sz="0" w:space="0" w:color="auto"/>
        <w:right w:val="none" w:sz="0" w:space="0" w:color="auto"/>
      </w:divBdr>
    </w:div>
    <w:div w:id="1028068514">
      <w:bodyDiv w:val="1"/>
      <w:marLeft w:val="0"/>
      <w:marRight w:val="0"/>
      <w:marTop w:val="0"/>
      <w:marBottom w:val="0"/>
      <w:divBdr>
        <w:top w:val="none" w:sz="0" w:space="0" w:color="auto"/>
        <w:left w:val="none" w:sz="0" w:space="0" w:color="auto"/>
        <w:bottom w:val="none" w:sz="0" w:space="0" w:color="auto"/>
        <w:right w:val="none" w:sz="0" w:space="0" w:color="auto"/>
      </w:divBdr>
    </w:div>
    <w:div w:id="1095201521">
      <w:bodyDiv w:val="1"/>
      <w:marLeft w:val="0"/>
      <w:marRight w:val="0"/>
      <w:marTop w:val="0"/>
      <w:marBottom w:val="0"/>
      <w:divBdr>
        <w:top w:val="none" w:sz="0" w:space="0" w:color="auto"/>
        <w:left w:val="none" w:sz="0" w:space="0" w:color="auto"/>
        <w:bottom w:val="none" w:sz="0" w:space="0" w:color="auto"/>
        <w:right w:val="none" w:sz="0" w:space="0" w:color="auto"/>
      </w:divBdr>
    </w:div>
    <w:div w:id="1124420879">
      <w:bodyDiv w:val="1"/>
      <w:marLeft w:val="0"/>
      <w:marRight w:val="0"/>
      <w:marTop w:val="0"/>
      <w:marBottom w:val="0"/>
      <w:divBdr>
        <w:top w:val="none" w:sz="0" w:space="0" w:color="auto"/>
        <w:left w:val="none" w:sz="0" w:space="0" w:color="auto"/>
        <w:bottom w:val="none" w:sz="0" w:space="0" w:color="auto"/>
        <w:right w:val="none" w:sz="0" w:space="0" w:color="auto"/>
      </w:divBdr>
    </w:div>
    <w:div w:id="1466773386">
      <w:bodyDiv w:val="1"/>
      <w:marLeft w:val="0"/>
      <w:marRight w:val="0"/>
      <w:marTop w:val="0"/>
      <w:marBottom w:val="0"/>
      <w:divBdr>
        <w:top w:val="none" w:sz="0" w:space="0" w:color="auto"/>
        <w:left w:val="none" w:sz="0" w:space="0" w:color="auto"/>
        <w:bottom w:val="none" w:sz="0" w:space="0" w:color="auto"/>
        <w:right w:val="none" w:sz="0" w:space="0" w:color="auto"/>
      </w:divBdr>
    </w:div>
    <w:div w:id="19114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citic.com/news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z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C05B-ABEB-4AD3-91A9-2A70709D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2209</Characters>
  <Application>Microsoft Office Word</Application>
  <DocSecurity>4</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2020-07-20T16:01:00Z</dcterms:created>
  <dcterms:modified xsi:type="dcterms:W3CDTF">2020-07-20T16:01:00Z</dcterms:modified>
</cp:coreProperties>
</file>