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73C" w:rsidRDefault="003E49D5" w:rsidP="00D2373C">
      <w:pPr>
        <w:spacing w:line="360" w:lineRule="auto"/>
        <w:jc w:val="center"/>
        <w:rPr>
          <w:rFonts w:asciiTheme="minorEastAsia" w:hAnsiTheme="minorEastAsia"/>
          <w:b/>
          <w:sz w:val="28"/>
          <w:szCs w:val="28"/>
          <w:lang w:eastAsia="zh-CN"/>
        </w:rPr>
      </w:pPr>
      <w:r w:rsidRPr="00D2373C">
        <w:rPr>
          <w:rFonts w:asciiTheme="minorEastAsia" w:hAnsiTheme="minorEastAsia" w:hint="eastAsia"/>
          <w:b/>
          <w:sz w:val="28"/>
          <w:szCs w:val="28"/>
          <w:lang w:eastAsia="zh-CN"/>
        </w:rPr>
        <w:t>红土创新转型精选灵活配置混合型证券投资基金（LOF）</w:t>
      </w:r>
    </w:p>
    <w:p w:rsidR="00D2373C" w:rsidRPr="00D2373C" w:rsidRDefault="003E49D5" w:rsidP="00D2373C">
      <w:pPr>
        <w:spacing w:line="360" w:lineRule="auto"/>
        <w:jc w:val="center"/>
        <w:rPr>
          <w:rFonts w:asciiTheme="minorEastAsia" w:hAnsiTheme="minorEastAsia"/>
          <w:b/>
          <w:sz w:val="28"/>
          <w:szCs w:val="28"/>
          <w:lang w:eastAsia="zh-CN"/>
        </w:rPr>
      </w:pPr>
      <w:r w:rsidRPr="00D2373C">
        <w:rPr>
          <w:rFonts w:asciiTheme="minorEastAsia" w:hAnsiTheme="minorEastAsia" w:hint="eastAsia"/>
          <w:b/>
          <w:sz w:val="28"/>
          <w:szCs w:val="28"/>
          <w:lang w:eastAsia="zh-CN"/>
        </w:rPr>
        <w:t>基金份额溢价风险提示公告</w:t>
      </w:r>
    </w:p>
    <w:p w:rsidR="00D2373C" w:rsidRPr="00D2373C" w:rsidRDefault="00D2373C" w:rsidP="00D2373C">
      <w:pPr>
        <w:spacing w:line="360" w:lineRule="auto"/>
        <w:rPr>
          <w:rFonts w:asciiTheme="minorEastAsia" w:hAnsiTheme="minorEastAsia"/>
          <w:sz w:val="24"/>
          <w:szCs w:val="24"/>
          <w:lang w:eastAsia="zh-CN"/>
        </w:rPr>
      </w:pPr>
    </w:p>
    <w:p w:rsidR="003E49D5" w:rsidRPr="00D2373C" w:rsidRDefault="003E49D5" w:rsidP="00D2373C">
      <w:pPr>
        <w:spacing w:line="360" w:lineRule="auto"/>
        <w:ind w:firstLineChars="200" w:firstLine="480"/>
        <w:rPr>
          <w:rFonts w:asciiTheme="minorEastAsia" w:hAnsiTheme="minorEastAsia"/>
          <w:sz w:val="24"/>
          <w:szCs w:val="24"/>
          <w:lang w:eastAsia="zh-CN"/>
        </w:rPr>
      </w:pPr>
      <w:r w:rsidRPr="00D2373C">
        <w:rPr>
          <w:rFonts w:asciiTheme="minorEastAsia" w:hAnsiTheme="minorEastAsia" w:hint="eastAsia"/>
          <w:sz w:val="24"/>
          <w:szCs w:val="24"/>
          <w:lang w:eastAsia="zh-CN"/>
        </w:rPr>
        <w:t>近期，红土创新基金管理有限公司（以下简称“本基金管理人”）旗下红土创新转型精选灵活配置混合型证券投资基金（LOF）（场内简称</w:t>
      </w:r>
      <w:r w:rsidR="00D2373C">
        <w:rPr>
          <w:rFonts w:asciiTheme="minorEastAsia" w:hAnsiTheme="minorEastAsia" w:hint="eastAsia"/>
          <w:sz w:val="24"/>
          <w:szCs w:val="24"/>
          <w:lang w:eastAsia="zh-CN"/>
        </w:rPr>
        <w:t>：</w:t>
      </w:r>
      <w:r w:rsidRPr="00D2373C">
        <w:rPr>
          <w:rFonts w:asciiTheme="minorEastAsia" w:hAnsiTheme="minorEastAsia" w:hint="eastAsia"/>
          <w:sz w:val="24"/>
          <w:szCs w:val="24"/>
          <w:lang w:eastAsia="zh-CN"/>
        </w:rPr>
        <w:t>红土精选</w:t>
      </w:r>
      <w:r w:rsidR="00D2373C">
        <w:rPr>
          <w:rFonts w:asciiTheme="minorEastAsia" w:hAnsiTheme="minorEastAsia" w:hint="eastAsia"/>
          <w:sz w:val="24"/>
          <w:szCs w:val="24"/>
          <w:lang w:eastAsia="zh-CN"/>
        </w:rPr>
        <w:t>；</w:t>
      </w:r>
      <w:r w:rsidRPr="00D2373C">
        <w:rPr>
          <w:rFonts w:asciiTheme="minorEastAsia" w:hAnsiTheme="minorEastAsia" w:hint="eastAsia"/>
          <w:sz w:val="24"/>
          <w:szCs w:val="24"/>
          <w:lang w:eastAsia="zh-CN"/>
        </w:rPr>
        <w:t>基金代码</w:t>
      </w:r>
      <w:r w:rsidR="00D2373C">
        <w:rPr>
          <w:rFonts w:asciiTheme="minorEastAsia" w:hAnsiTheme="minorEastAsia" w:hint="eastAsia"/>
          <w:sz w:val="24"/>
          <w:szCs w:val="24"/>
          <w:lang w:eastAsia="zh-CN"/>
        </w:rPr>
        <w:t>：</w:t>
      </w:r>
      <w:r w:rsidRPr="00D2373C">
        <w:rPr>
          <w:rFonts w:asciiTheme="minorEastAsia" w:hAnsiTheme="minorEastAsia" w:hint="eastAsia"/>
          <w:sz w:val="24"/>
          <w:szCs w:val="24"/>
          <w:lang w:eastAsia="zh-CN"/>
        </w:rPr>
        <w:t>168401，以下简称“本基金”）在二级市场的交易价格出现较大幅度的溢价，交易价格明显偏离基金份额净值</w:t>
      </w:r>
      <w:r w:rsidR="00D2373C">
        <w:rPr>
          <w:rFonts w:asciiTheme="minorEastAsia" w:hAnsiTheme="minorEastAsia" w:hint="eastAsia"/>
          <w:sz w:val="24"/>
          <w:szCs w:val="24"/>
          <w:lang w:eastAsia="zh-CN"/>
        </w:rPr>
        <w:t>。</w:t>
      </w:r>
      <w:r w:rsidRPr="00D2373C">
        <w:rPr>
          <w:rFonts w:asciiTheme="minorEastAsia" w:hAnsiTheme="minorEastAsia" w:hint="eastAsia"/>
          <w:sz w:val="24"/>
          <w:szCs w:val="24"/>
          <w:lang w:eastAsia="zh-CN"/>
        </w:rPr>
        <w:t>2020年7月20日，本基金在二级市场的收盘价为2.076元，相对于2020年7月20日</w:t>
      </w:r>
      <w:r w:rsidR="00EC14D7" w:rsidRPr="00511B39">
        <w:rPr>
          <w:rFonts w:asciiTheme="minorEastAsia" w:hAnsiTheme="minorEastAsia" w:hint="eastAsia"/>
          <w:sz w:val="24"/>
          <w:szCs w:val="24"/>
          <w:lang w:eastAsia="zh-CN"/>
        </w:rPr>
        <w:t>1.6942元</w:t>
      </w:r>
      <w:r w:rsidRPr="00D2373C">
        <w:rPr>
          <w:rFonts w:asciiTheme="minorEastAsia" w:hAnsiTheme="minorEastAsia" w:hint="eastAsia"/>
          <w:sz w:val="24"/>
          <w:szCs w:val="24"/>
          <w:lang w:eastAsia="zh-CN"/>
        </w:rPr>
        <w:t>的基金份额净值，溢价幅度达到22.5%，投资者如果盲目追高，可能遭受重大损失。</w:t>
      </w:r>
    </w:p>
    <w:p w:rsidR="003E49D5" w:rsidRPr="00D2373C" w:rsidRDefault="003E49D5" w:rsidP="00D2373C">
      <w:pPr>
        <w:spacing w:line="360" w:lineRule="auto"/>
        <w:rPr>
          <w:rFonts w:asciiTheme="minorEastAsia" w:hAnsiTheme="minorEastAsia"/>
          <w:sz w:val="24"/>
          <w:szCs w:val="24"/>
          <w:lang w:eastAsia="zh-CN"/>
        </w:rPr>
      </w:pPr>
      <w:r w:rsidRPr="00D2373C">
        <w:rPr>
          <w:rFonts w:asciiTheme="minorEastAsia" w:hAnsiTheme="minorEastAsia" w:hint="eastAsia"/>
          <w:sz w:val="24"/>
          <w:szCs w:val="24"/>
          <w:lang w:eastAsia="zh-CN"/>
        </w:rPr>
        <w:t xml:space="preserve">   为此，本基金管理人提示如下：</w:t>
      </w:r>
    </w:p>
    <w:p w:rsidR="003E49D5" w:rsidRPr="00D2373C" w:rsidRDefault="003E49D5" w:rsidP="00D2373C">
      <w:pPr>
        <w:spacing w:line="360" w:lineRule="auto"/>
        <w:rPr>
          <w:rFonts w:asciiTheme="minorEastAsia" w:hAnsiTheme="minorEastAsia"/>
          <w:sz w:val="24"/>
          <w:szCs w:val="24"/>
          <w:lang w:eastAsia="zh-CN"/>
        </w:rPr>
      </w:pPr>
      <w:r w:rsidRPr="00D2373C">
        <w:rPr>
          <w:rFonts w:asciiTheme="minorEastAsia" w:hAnsiTheme="minorEastAsia" w:hint="eastAsia"/>
          <w:sz w:val="24"/>
          <w:szCs w:val="24"/>
          <w:lang w:eastAsia="zh-CN"/>
        </w:rPr>
        <w:t xml:space="preserve">    1、本基金</w:t>
      </w:r>
      <w:r w:rsidR="00D2373C" w:rsidRPr="00D2373C">
        <w:rPr>
          <w:rFonts w:asciiTheme="minorEastAsia" w:hAnsiTheme="minorEastAsia" w:hint="eastAsia"/>
          <w:sz w:val="24"/>
          <w:szCs w:val="24"/>
          <w:lang w:eastAsia="zh-CN"/>
        </w:rPr>
        <w:t>为上市开放式运作方式</w:t>
      </w:r>
      <w:r w:rsidRPr="00D2373C">
        <w:rPr>
          <w:rFonts w:asciiTheme="minorEastAsia" w:hAnsiTheme="minorEastAsia" w:hint="eastAsia"/>
          <w:sz w:val="24"/>
          <w:szCs w:val="24"/>
          <w:lang w:eastAsia="zh-CN"/>
        </w:rPr>
        <w:t>，本基金的申购、赎回价格以申请当日收市后计算的基金份额净值为基准计算，与本基金的二级市场交易价格无关。</w:t>
      </w:r>
    </w:p>
    <w:p w:rsidR="003E49D5" w:rsidRPr="00D2373C" w:rsidRDefault="003E49D5" w:rsidP="00D2373C">
      <w:pPr>
        <w:spacing w:line="360" w:lineRule="auto"/>
        <w:rPr>
          <w:rFonts w:asciiTheme="minorEastAsia" w:hAnsiTheme="minorEastAsia"/>
          <w:sz w:val="24"/>
          <w:szCs w:val="24"/>
          <w:lang w:eastAsia="zh-CN"/>
        </w:rPr>
      </w:pPr>
      <w:r w:rsidRPr="00D2373C">
        <w:rPr>
          <w:rFonts w:asciiTheme="minorEastAsia" w:hAnsiTheme="minorEastAsia" w:hint="eastAsia"/>
          <w:sz w:val="24"/>
          <w:szCs w:val="24"/>
          <w:lang w:eastAsia="zh-CN"/>
        </w:rPr>
        <w:t xml:space="preserve">    </w:t>
      </w:r>
      <w:r w:rsidR="00D2373C" w:rsidRPr="00D2373C">
        <w:rPr>
          <w:rFonts w:asciiTheme="minorEastAsia" w:hAnsiTheme="minorEastAsia" w:hint="eastAsia"/>
          <w:sz w:val="24"/>
          <w:szCs w:val="24"/>
          <w:lang w:eastAsia="zh-CN"/>
        </w:rPr>
        <w:t>2、</w:t>
      </w:r>
      <w:r w:rsidRPr="00D2373C">
        <w:rPr>
          <w:rFonts w:asciiTheme="minorEastAsia" w:hAnsiTheme="minorEastAsia" w:hint="eastAsia"/>
          <w:sz w:val="24"/>
          <w:szCs w:val="24"/>
          <w:lang w:eastAsia="zh-CN"/>
        </w:rPr>
        <w:t>本基金是混合型基金，其预期收益及风险水平高于货币市场基金、债券型基金，低于股票型基金，属于中高预期风险、中高预期收益的基金品种。投资者投资本基金时应认真阅读《基金合同》、《招募说明书》 等基金法律文件，了解基金的风险收益特征，并根据自身的投资目的、投资期限、投资经验、资产状况等判断基金是否和投资人的风险承受能力相适应。</w:t>
      </w:r>
    </w:p>
    <w:p w:rsidR="003E49D5" w:rsidRPr="00D2373C" w:rsidRDefault="003E49D5" w:rsidP="00D2373C">
      <w:pPr>
        <w:spacing w:line="360" w:lineRule="auto"/>
        <w:rPr>
          <w:rFonts w:asciiTheme="minorEastAsia" w:hAnsiTheme="minorEastAsia"/>
          <w:sz w:val="24"/>
          <w:szCs w:val="24"/>
          <w:lang w:eastAsia="zh-CN"/>
        </w:rPr>
      </w:pPr>
      <w:r w:rsidRPr="00D2373C">
        <w:rPr>
          <w:rFonts w:asciiTheme="minorEastAsia" w:hAnsiTheme="minorEastAsia" w:hint="eastAsia"/>
          <w:sz w:val="24"/>
          <w:szCs w:val="24"/>
          <w:lang w:eastAsia="zh-CN"/>
        </w:rPr>
        <w:t xml:space="preserve">    </w:t>
      </w:r>
      <w:r w:rsidR="00D2373C">
        <w:rPr>
          <w:rFonts w:asciiTheme="minorEastAsia" w:hAnsiTheme="minorEastAsia" w:hint="eastAsia"/>
          <w:sz w:val="24"/>
          <w:szCs w:val="24"/>
          <w:lang w:eastAsia="zh-CN"/>
        </w:rPr>
        <w:t>3</w:t>
      </w:r>
      <w:r w:rsidRPr="00D2373C">
        <w:rPr>
          <w:rFonts w:asciiTheme="minorEastAsia" w:hAnsiTheme="minorEastAsia" w:hint="eastAsia"/>
          <w:sz w:val="24"/>
          <w:szCs w:val="24"/>
          <w:lang w:eastAsia="zh-CN"/>
        </w:rPr>
        <w:t>、</w:t>
      </w:r>
      <w:r w:rsidR="00D2373C" w:rsidRPr="00D2373C">
        <w:rPr>
          <w:rFonts w:asciiTheme="minorEastAsia" w:hAnsiTheme="minorEastAsia" w:hint="eastAsia"/>
          <w:sz w:val="24"/>
          <w:szCs w:val="24"/>
          <w:lang w:eastAsia="zh-CN"/>
        </w:rPr>
        <w:t>红土精选</w:t>
      </w:r>
      <w:r w:rsidRPr="00D2373C">
        <w:rPr>
          <w:rFonts w:asciiTheme="minorEastAsia" w:hAnsiTheme="minorEastAsia" w:hint="eastAsia"/>
          <w:sz w:val="24"/>
          <w:szCs w:val="24"/>
          <w:lang w:eastAsia="zh-CN"/>
        </w:rPr>
        <w:t>的交易价格，除了有份额净值变化的风险外，还会受到市场供求关系、系统性风险、流动性风险等其他因素的影响，在当前溢价水平下买入，可能使投资人面临损失。</w:t>
      </w:r>
    </w:p>
    <w:p w:rsidR="003E49D5" w:rsidRPr="00D2373C" w:rsidRDefault="003E49D5" w:rsidP="00D2373C">
      <w:pPr>
        <w:spacing w:line="360" w:lineRule="auto"/>
        <w:rPr>
          <w:rFonts w:asciiTheme="minorEastAsia" w:hAnsiTheme="minorEastAsia"/>
          <w:sz w:val="24"/>
          <w:szCs w:val="24"/>
          <w:lang w:eastAsia="zh-CN"/>
        </w:rPr>
      </w:pPr>
      <w:r w:rsidRPr="00D2373C">
        <w:rPr>
          <w:rFonts w:asciiTheme="minorEastAsia" w:hAnsiTheme="minorEastAsia" w:hint="eastAsia"/>
          <w:sz w:val="24"/>
          <w:szCs w:val="24"/>
          <w:lang w:eastAsia="zh-CN"/>
        </w:rPr>
        <w:t xml:space="preserve">    3、截至本公告披露日，本基金运作正常。本基金管理人仍将严格按照法律法规及基金合同的相关规定进行投资运作。</w:t>
      </w:r>
    </w:p>
    <w:p w:rsidR="003E49D5" w:rsidRPr="00D2373C" w:rsidRDefault="003E49D5" w:rsidP="00D2373C">
      <w:pPr>
        <w:spacing w:line="360" w:lineRule="auto"/>
        <w:rPr>
          <w:rFonts w:asciiTheme="minorEastAsia" w:hAnsiTheme="minorEastAsia"/>
          <w:sz w:val="24"/>
          <w:szCs w:val="24"/>
          <w:lang w:eastAsia="zh-CN"/>
        </w:rPr>
      </w:pPr>
      <w:r w:rsidRPr="00D2373C">
        <w:rPr>
          <w:rFonts w:asciiTheme="minorEastAsia" w:hAnsiTheme="minorEastAsia" w:hint="eastAsia"/>
          <w:sz w:val="24"/>
          <w:szCs w:val="24"/>
          <w:lang w:eastAsia="zh-CN"/>
        </w:rPr>
        <w:t xml:space="preserve">    4、截至本公告披露日，本基金无其他应披露而未披露的重大信息。本基金管理人仍将严格按照有关规定和要求，及时做好信息披露工作。</w:t>
      </w:r>
    </w:p>
    <w:p w:rsidR="003E49D5" w:rsidRPr="00D2373C" w:rsidRDefault="003E49D5" w:rsidP="00D2373C">
      <w:pPr>
        <w:spacing w:line="360" w:lineRule="auto"/>
        <w:rPr>
          <w:rFonts w:asciiTheme="minorEastAsia" w:hAnsiTheme="minorEastAsia"/>
          <w:sz w:val="24"/>
          <w:szCs w:val="24"/>
          <w:lang w:eastAsia="zh-CN"/>
        </w:rPr>
      </w:pPr>
      <w:r w:rsidRPr="00D2373C">
        <w:rPr>
          <w:rFonts w:asciiTheme="minorEastAsia" w:hAnsiTheme="minorEastAsia" w:hint="eastAsia"/>
          <w:sz w:val="24"/>
          <w:szCs w:val="24"/>
          <w:lang w:eastAsia="zh-CN"/>
        </w:rPr>
        <w:t xml:space="preserve">    风险提示</w:t>
      </w:r>
      <w:r w:rsidR="00D2373C">
        <w:rPr>
          <w:rFonts w:asciiTheme="minorEastAsia" w:hAnsiTheme="minorEastAsia" w:hint="eastAsia"/>
          <w:sz w:val="24"/>
          <w:szCs w:val="24"/>
          <w:lang w:eastAsia="zh-CN"/>
        </w:rPr>
        <w:t>：</w:t>
      </w:r>
      <w:r w:rsidRPr="00D2373C">
        <w:rPr>
          <w:rFonts w:asciiTheme="minorEastAsia" w:hAnsiTheme="minorEastAsia" w:hint="eastAsia"/>
          <w:sz w:val="24"/>
          <w:szCs w:val="24"/>
          <w:lang w:eastAsia="zh-CN"/>
        </w:rPr>
        <w:t>基金管理人承诺以诚实信用、勤勉尽责的原则管理和运用基金资产,但不保证基金一定盈利,也不保证最低收益。本基金以定期开放方式进行运作，在非开放期间投资者不能进行申购、赎回。投资人投资于本基金前应认真阅读本基金的基金合同和招募说明书等相关法律文件。</w:t>
      </w:r>
    </w:p>
    <w:p w:rsidR="003E49D5" w:rsidRPr="00D2373C" w:rsidRDefault="003E49D5" w:rsidP="00D2373C">
      <w:pPr>
        <w:spacing w:line="360" w:lineRule="auto"/>
        <w:rPr>
          <w:rFonts w:asciiTheme="minorEastAsia" w:hAnsiTheme="minorEastAsia"/>
          <w:sz w:val="24"/>
          <w:szCs w:val="24"/>
          <w:lang w:eastAsia="zh-CN"/>
        </w:rPr>
      </w:pPr>
      <w:r w:rsidRPr="00D2373C">
        <w:rPr>
          <w:rFonts w:asciiTheme="minorEastAsia" w:hAnsiTheme="minorEastAsia" w:hint="eastAsia"/>
          <w:sz w:val="24"/>
          <w:szCs w:val="24"/>
          <w:lang w:eastAsia="zh-CN"/>
        </w:rPr>
        <w:t xml:space="preserve">    特此公告。</w:t>
      </w:r>
    </w:p>
    <w:p w:rsidR="003E49D5" w:rsidRPr="00D2373C" w:rsidRDefault="003E49D5" w:rsidP="00D2373C">
      <w:pPr>
        <w:spacing w:line="360" w:lineRule="auto"/>
        <w:rPr>
          <w:rFonts w:asciiTheme="minorEastAsia" w:hAnsiTheme="minorEastAsia"/>
          <w:sz w:val="24"/>
          <w:szCs w:val="24"/>
          <w:lang w:eastAsia="zh-CN"/>
        </w:rPr>
      </w:pPr>
      <w:r w:rsidRPr="00D2373C">
        <w:rPr>
          <w:rFonts w:asciiTheme="minorEastAsia" w:hAnsiTheme="minorEastAsia" w:hint="eastAsia"/>
          <w:sz w:val="24"/>
          <w:szCs w:val="24"/>
          <w:lang w:eastAsia="zh-CN"/>
        </w:rPr>
        <w:t xml:space="preserve">                                                </w:t>
      </w:r>
      <w:r w:rsidR="00D2373C" w:rsidRPr="00D2373C">
        <w:rPr>
          <w:rFonts w:asciiTheme="minorEastAsia" w:hAnsiTheme="minorEastAsia" w:hint="eastAsia"/>
          <w:sz w:val="24"/>
          <w:szCs w:val="24"/>
          <w:lang w:eastAsia="zh-CN"/>
        </w:rPr>
        <w:t>红土创新</w:t>
      </w:r>
      <w:r w:rsidRPr="00D2373C">
        <w:rPr>
          <w:rFonts w:asciiTheme="minorEastAsia" w:hAnsiTheme="minorEastAsia" w:hint="eastAsia"/>
          <w:sz w:val="24"/>
          <w:szCs w:val="24"/>
          <w:lang w:eastAsia="zh-CN"/>
        </w:rPr>
        <w:t>基金管理有限公司</w:t>
      </w:r>
    </w:p>
    <w:p w:rsidR="004535A0" w:rsidRPr="00D2373C" w:rsidRDefault="003E49D5" w:rsidP="00D2373C">
      <w:pPr>
        <w:spacing w:line="360" w:lineRule="auto"/>
        <w:rPr>
          <w:rFonts w:asciiTheme="minorEastAsia" w:hAnsiTheme="minorEastAsia"/>
          <w:sz w:val="24"/>
          <w:szCs w:val="24"/>
        </w:rPr>
      </w:pPr>
      <w:r w:rsidRPr="00D2373C">
        <w:rPr>
          <w:rFonts w:asciiTheme="minorEastAsia" w:hAnsiTheme="minorEastAsia" w:hint="eastAsia"/>
          <w:sz w:val="24"/>
          <w:szCs w:val="24"/>
          <w:lang w:eastAsia="zh-CN"/>
        </w:rPr>
        <w:t xml:space="preserve">                                                      </w:t>
      </w:r>
      <w:r w:rsidRPr="00D2373C">
        <w:rPr>
          <w:rFonts w:asciiTheme="minorEastAsia" w:hAnsiTheme="minorEastAsia" w:hint="eastAsia"/>
          <w:sz w:val="24"/>
          <w:szCs w:val="24"/>
        </w:rPr>
        <w:t xml:space="preserve">2020 年 </w:t>
      </w:r>
      <w:r w:rsidR="00D2373C" w:rsidRPr="00D2373C">
        <w:rPr>
          <w:rFonts w:asciiTheme="minorEastAsia" w:hAnsiTheme="minorEastAsia" w:hint="eastAsia"/>
          <w:sz w:val="24"/>
          <w:szCs w:val="24"/>
          <w:lang w:eastAsia="zh-CN"/>
        </w:rPr>
        <w:t>7</w:t>
      </w:r>
      <w:r w:rsidRPr="00D2373C">
        <w:rPr>
          <w:rFonts w:asciiTheme="minorEastAsia" w:hAnsiTheme="minorEastAsia" w:hint="eastAsia"/>
          <w:sz w:val="24"/>
          <w:szCs w:val="24"/>
        </w:rPr>
        <w:t xml:space="preserve">月 </w:t>
      </w:r>
      <w:r w:rsidR="00D2373C" w:rsidRPr="00D2373C">
        <w:rPr>
          <w:rFonts w:asciiTheme="minorEastAsia" w:hAnsiTheme="minorEastAsia" w:hint="eastAsia"/>
          <w:sz w:val="24"/>
          <w:szCs w:val="24"/>
          <w:lang w:eastAsia="zh-CN"/>
        </w:rPr>
        <w:t>21</w:t>
      </w:r>
      <w:r w:rsidRPr="00D2373C">
        <w:rPr>
          <w:rFonts w:asciiTheme="minorEastAsia" w:hAnsiTheme="minorEastAsia" w:hint="eastAsia"/>
          <w:sz w:val="24"/>
          <w:szCs w:val="24"/>
        </w:rPr>
        <w:t xml:space="preserve"> 日</w:t>
      </w:r>
    </w:p>
    <w:sectPr w:rsidR="004535A0" w:rsidRPr="00D2373C" w:rsidSect="0089312A">
      <w:pgSz w:w="11907" w:h="16840"/>
      <w:pgMar w:top="1560" w:right="15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A40" w:rsidRDefault="002E1A40" w:rsidP="00E31DB7">
      <w:r>
        <w:separator/>
      </w:r>
    </w:p>
  </w:endnote>
  <w:endnote w:type="continuationSeparator" w:id="0">
    <w:p w:rsidR="002E1A40" w:rsidRDefault="002E1A40" w:rsidP="00E31D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JhengHei">
    <w:altName w:val="Microsoft JhengHei"/>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A40" w:rsidRDefault="002E1A40" w:rsidP="00E31DB7">
      <w:r>
        <w:separator/>
      </w:r>
    </w:p>
  </w:footnote>
  <w:footnote w:type="continuationSeparator" w:id="0">
    <w:p w:rsidR="002E1A40" w:rsidRDefault="002E1A40" w:rsidP="00E31D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DB7"/>
    <w:rsid w:val="000B4833"/>
    <w:rsid w:val="00236B1A"/>
    <w:rsid w:val="002E1A40"/>
    <w:rsid w:val="003E49D5"/>
    <w:rsid w:val="004535A0"/>
    <w:rsid w:val="006E038F"/>
    <w:rsid w:val="006F6E23"/>
    <w:rsid w:val="00D2373C"/>
    <w:rsid w:val="00E31DB7"/>
    <w:rsid w:val="00EC14D7"/>
    <w:rsid w:val="00F27A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31DB7"/>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1DB7"/>
    <w:pPr>
      <w:pBdr>
        <w:bottom w:val="single" w:sz="6" w:space="1" w:color="auto"/>
      </w:pBdr>
      <w:tabs>
        <w:tab w:val="center" w:pos="4153"/>
        <w:tab w:val="right" w:pos="8306"/>
      </w:tabs>
      <w:snapToGrid w:val="0"/>
      <w:jc w:val="center"/>
    </w:pPr>
    <w:rPr>
      <w:kern w:val="2"/>
      <w:sz w:val="18"/>
      <w:szCs w:val="18"/>
      <w:lang w:eastAsia="zh-CN"/>
    </w:rPr>
  </w:style>
  <w:style w:type="character" w:customStyle="1" w:styleId="Char">
    <w:name w:val="页眉 Char"/>
    <w:basedOn w:val="a0"/>
    <w:link w:val="a3"/>
    <w:uiPriority w:val="99"/>
    <w:semiHidden/>
    <w:rsid w:val="00E31DB7"/>
    <w:rPr>
      <w:sz w:val="18"/>
      <w:szCs w:val="18"/>
    </w:rPr>
  </w:style>
  <w:style w:type="paragraph" w:styleId="a4">
    <w:name w:val="footer"/>
    <w:basedOn w:val="a"/>
    <w:link w:val="Char0"/>
    <w:uiPriority w:val="99"/>
    <w:semiHidden/>
    <w:unhideWhenUsed/>
    <w:rsid w:val="00E31DB7"/>
    <w:pPr>
      <w:tabs>
        <w:tab w:val="center" w:pos="4153"/>
        <w:tab w:val="right" w:pos="8306"/>
      </w:tabs>
      <w:snapToGrid w:val="0"/>
    </w:pPr>
    <w:rPr>
      <w:kern w:val="2"/>
      <w:sz w:val="18"/>
      <w:szCs w:val="18"/>
      <w:lang w:eastAsia="zh-CN"/>
    </w:rPr>
  </w:style>
  <w:style w:type="character" w:customStyle="1" w:styleId="Char0">
    <w:name w:val="页脚 Char"/>
    <w:basedOn w:val="a0"/>
    <w:link w:val="a4"/>
    <w:uiPriority w:val="99"/>
    <w:semiHidden/>
    <w:rsid w:val="00E31DB7"/>
    <w:rPr>
      <w:sz w:val="18"/>
      <w:szCs w:val="18"/>
    </w:rPr>
  </w:style>
  <w:style w:type="paragraph" w:styleId="a5">
    <w:name w:val="Body Text"/>
    <w:basedOn w:val="a"/>
    <w:link w:val="Char1"/>
    <w:uiPriority w:val="1"/>
    <w:qFormat/>
    <w:rsid w:val="00E31DB7"/>
    <w:pPr>
      <w:spacing w:before="24"/>
      <w:ind w:left="120"/>
    </w:pPr>
    <w:rPr>
      <w:rFonts w:ascii="Microsoft JhengHei" w:eastAsia="Microsoft JhengHei" w:hAnsi="Microsoft JhengHei"/>
      <w:sz w:val="21"/>
      <w:szCs w:val="21"/>
    </w:rPr>
  </w:style>
  <w:style w:type="character" w:customStyle="1" w:styleId="Char1">
    <w:name w:val="正文文本 Char"/>
    <w:basedOn w:val="a0"/>
    <w:link w:val="a5"/>
    <w:uiPriority w:val="1"/>
    <w:rsid w:val="00E31DB7"/>
    <w:rPr>
      <w:rFonts w:ascii="Microsoft JhengHei" w:eastAsia="Microsoft JhengHei" w:hAnsi="Microsoft JhengHei"/>
      <w:kern w:val="0"/>
      <w:szCs w:val="21"/>
      <w:lang w:eastAsia="en-US"/>
    </w:rPr>
  </w:style>
  <w:style w:type="paragraph" w:customStyle="1" w:styleId="Heading1">
    <w:name w:val="Heading 1"/>
    <w:basedOn w:val="a"/>
    <w:uiPriority w:val="1"/>
    <w:qFormat/>
    <w:rsid w:val="00E31DB7"/>
    <w:pPr>
      <w:ind w:left="59"/>
      <w:outlineLvl w:val="1"/>
    </w:pPr>
    <w:rPr>
      <w:rFonts w:ascii="Microsoft JhengHei" w:eastAsia="Microsoft JhengHei" w:hAnsi="Microsoft JhengHei"/>
      <w:sz w:val="32"/>
      <w:szCs w:val="32"/>
    </w:rPr>
  </w:style>
  <w:style w:type="paragraph" w:styleId="a6">
    <w:name w:val="Document Map"/>
    <w:basedOn w:val="a"/>
    <w:link w:val="Char2"/>
    <w:uiPriority w:val="99"/>
    <w:semiHidden/>
    <w:unhideWhenUsed/>
    <w:rsid w:val="00E31DB7"/>
    <w:rPr>
      <w:rFonts w:ascii="宋体" w:eastAsia="宋体"/>
      <w:sz w:val="18"/>
      <w:szCs w:val="18"/>
    </w:rPr>
  </w:style>
  <w:style w:type="character" w:customStyle="1" w:styleId="Char2">
    <w:name w:val="文档结构图 Char"/>
    <w:basedOn w:val="a0"/>
    <w:link w:val="a6"/>
    <w:uiPriority w:val="99"/>
    <w:semiHidden/>
    <w:rsid w:val="00E31DB7"/>
    <w:rPr>
      <w:rFonts w:ascii="宋体" w:eastAsia="宋体"/>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4</DocSecurity>
  <Lines>7</Lines>
  <Paragraphs>1</Paragraphs>
  <ScaleCrop>false</ScaleCrop>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张雷</dc:creator>
  <cp:keywords/>
  <dc:description/>
  <cp:lastModifiedBy>ZHONGM</cp:lastModifiedBy>
  <cp:revision>2</cp:revision>
  <dcterms:created xsi:type="dcterms:W3CDTF">2020-07-20T16:04:00Z</dcterms:created>
  <dcterms:modified xsi:type="dcterms:W3CDTF">2020-07-20T16:04:00Z</dcterms:modified>
</cp:coreProperties>
</file>