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6602FD" w:rsidRDefault="00893436" w:rsidP="00B14D73">
      <w:pPr>
        <w:widowControl/>
        <w:spacing w:line="360" w:lineRule="auto"/>
        <w:jc w:val="center"/>
        <w:rPr>
          <w:rFonts w:asciiTheme="minorEastAsia" w:eastAsiaTheme="minorEastAsia" w:hAnsiTheme="minorEastAsia" w:cs="宋体"/>
          <w:b/>
          <w:kern w:val="0"/>
          <w:sz w:val="30"/>
          <w:szCs w:val="30"/>
        </w:rPr>
      </w:pPr>
      <w:bookmarkStart w:id="0" w:name="_GoBack"/>
      <w:bookmarkEnd w:id="0"/>
      <w:r w:rsidRPr="006602FD">
        <w:rPr>
          <w:rFonts w:asciiTheme="minorEastAsia" w:eastAsiaTheme="minorEastAsia" w:hAnsiTheme="minorEastAsia" w:cs="宋体" w:hint="eastAsia"/>
          <w:b/>
          <w:kern w:val="0"/>
          <w:sz w:val="30"/>
          <w:szCs w:val="30"/>
        </w:rPr>
        <w:t>关于华安强化收益债券型证券投资基金分红公告</w:t>
      </w:r>
    </w:p>
    <w:p w:rsidR="00893436" w:rsidRPr="008656F5" w:rsidRDefault="00893436" w:rsidP="00B14D73">
      <w:pPr>
        <w:spacing w:line="360" w:lineRule="auto"/>
        <w:jc w:val="center"/>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公告送出日期：</w:t>
      </w:r>
      <w:r w:rsidRPr="008656F5">
        <w:rPr>
          <w:rFonts w:asciiTheme="minorEastAsia" w:eastAsiaTheme="minorEastAsia" w:hAnsiTheme="minorEastAsia" w:cs="宋体"/>
          <w:bCs/>
          <w:sz w:val="24"/>
          <w:szCs w:val="24"/>
        </w:rPr>
        <w:t>2020年7月16日</w:t>
      </w:r>
    </w:p>
    <w:p w:rsidR="00893436" w:rsidRPr="008656F5" w:rsidRDefault="00893436" w:rsidP="00B14D73">
      <w:pPr>
        <w:spacing w:line="360" w:lineRule="auto"/>
        <w:jc w:val="center"/>
        <w:rPr>
          <w:rFonts w:asciiTheme="minorEastAsia" w:eastAsiaTheme="minorEastAsia" w:hAnsiTheme="minorEastAsia"/>
          <w:color w:val="000000"/>
          <w:sz w:val="24"/>
          <w:szCs w:val="24"/>
        </w:rPr>
      </w:pP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1" w:name="_Toc275961418"/>
      <w:r w:rsidRPr="008656F5">
        <w:rPr>
          <w:rFonts w:asciiTheme="minorEastAsia" w:eastAsiaTheme="minorEastAsia" w:hAnsiTheme="minorEastAsia"/>
          <w:bCs w:val="0"/>
          <w:color w:val="000000"/>
          <w:sz w:val="24"/>
          <w:szCs w:val="24"/>
        </w:rPr>
        <w:t>1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552"/>
        <w:gridCol w:w="2268"/>
        <w:gridCol w:w="2451"/>
      </w:tblGrid>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华安强化收益债券型证券投资基金</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基金简称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基金主代码</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040012</w:t>
            </w:r>
          </w:p>
        </w:tc>
      </w:tr>
      <w:tr w:rsidR="0039192C" w:rsidRPr="008656F5" w:rsidTr="00FE7BF2">
        <w:trPr>
          <w:jc w:val="center"/>
        </w:trPr>
        <w:tc>
          <w:tcPr>
            <w:tcW w:w="4920" w:type="dxa"/>
            <w:gridSpan w:val="2"/>
            <w:vAlign w:val="center"/>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基金合同生效日</w:t>
            </w:r>
          </w:p>
        </w:tc>
        <w:tc>
          <w:tcPr>
            <w:tcW w:w="4719" w:type="dxa"/>
            <w:gridSpan w:val="2"/>
            <w:vAlign w:val="center"/>
          </w:tcPr>
          <w:p w:rsidR="0039192C" w:rsidRPr="008656F5" w:rsidRDefault="003E51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2009年4月13日</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基金管理人名称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华安基金管理有限公司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基金托管人名称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中国工商银行股份有限公司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公告依据</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根据《证券投资基金法》、《公开募集证券投资基金信息披露管理办法》和《华安强化收益债券型证券投资基金基金合同》的约定</w:t>
            </w:r>
          </w:p>
        </w:tc>
      </w:tr>
      <w:tr w:rsidR="00893436" w:rsidRPr="008656F5" w:rsidTr="00FE7BF2">
        <w:trPr>
          <w:jc w:val="center"/>
        </w:trPr>
        <w:tc>
          <w:tcPr>
            <w:tcW w:w="4920" w:type="dxa"/>
            <w:gridSpan w:val="2"/>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收益分配基准日</w:t>
            </w:r>
          </w:p>
        </w:tc>
        <w:tc>
          <w:tcPr>
            <w:tcW w:w="4719" w:type="dxa"/>
            <w:gridSpan w:val="2"/>
          </w:tcPr>
          <w:p w:rsidR="00893436"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2020年6月30日</w:t>
            </w:r>
          </w:p>
        </w:tc>
      </w:tr>
      <w:tr w:rsidR="00893436" w:rsidRPr="008656F5" w:rsidTr="00FE7BF2">
        <w:trPr>
          <w:jc w:val="center"/>
        </w:trPr>
        <w:tc>
          <w:tcPr>
            <w:tcW w:w="4920" w:type="dxa"/>
            <w:gridSpan w:val="2"/>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有关年度分红次数的说明</w:t>
            </w:r>
          </w:p>
        </w:tc>
        <w:tc>
          <w:tcPr>
            <w:tcW w:w="4719" w:type="dxa"/>
            <w:gridSpan w:val="2"/>
            <w:vAlign w:val="center"/>
          </w:tcPr>
          <w:p w:rsidR="00893436" w:rsidRPr="008656F5" w:rsidRDefault="009732A4"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本次分红为2020年度的第二次分红</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下属分级基金的基金简称</w:t>
            </w:r>
          </w:p>
        </w:tc>
        <w:tc>
          <w:tcPr>
            <w:tcW w:w="2268"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华安强化收益债券A</w:t>
            </w:r>
          </w:p>
        </w:tc>
        <w:tc>
          <w:tcPr>
            <w:tcW w:w="2451"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华安强化收益债券B</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下属分级基金的交易代码</w:t>
            </w:r>
          </w:p>
        </w:tc>
        <w:tc>
          <w:tcPr>
            <w:tcW w:w="2268"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040012</w:t>
            </w:r>
          </w:p>
        </w:tc>
        <w:tc>
          <w:tcPr>
            <w:tcW w:w="2451"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040013</w:t>
            </w:r>
          </w:p>
        </w:tc>
      </w:tr>
      <w:tr w:rsidR="00FE7BF2" w:rsidRPr="008656F5" w:rsidTr="00FE7BF2">
        <w:trPr>
          <w:jc w:val="center"/>
        </w:trPr>
        <w:tc>
          <w:tcPr>
            <w:tcW w:w="2368" w:type="dxa"/>
            <w:vMerge w:val="restart"/>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截止基准日下属分级基金的相关指标</w:t>
            </w:r>
          </w:p>
        </w:tc>
        <w:tc>
          <w:tcPr>
            <w:tcW w:w="2552" w:type="dxa"/>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基准日下属分级基金份额净值</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1.248</w:t>
            </w:r>
          </w:p>
        </w:tc>
        <w:tc>
          <w:tcPr>
            <w:tcW w:w="2451"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1.241</w:t>
            </w:r>
          </w:p>
        </w:tc>
      </w:tr>
      <w:tr w:rsidR="00FE7BF2" w:rsidRPr="008656F5" w:rsidTr="00FE7BF2">
        <w:trPr>
          <w:trHeight w:val="405"/>
          <w:jc w:val="center"/>
        </w:trPr>
        <w:tc>
          <w:tcPr>
            <w:tcW w:w="2368" w:type="dxa"/>
            <w:vMerge/>
          </w:tcPr>
          <w:p w:rsidR="00FE7BF2" w:rsidRPr="008656F5" w:rsidRDefault="00FE7BF2" w:rsidP="00B14D73">
            <w:pPr>
              <w:spacing w:line="360" w:lineRule="auto"/>
              <w:rPr>
                <w:rFonts w:asciiTheme="minorEastAsia" w:eastAsiaTheme="minorEastAsia" w:hAnsiTheme="minorEastAsia"/>
                <w:color w:val="000000"/>
                <w:sz w:val="24"/>
                <w:szCs w:val="24"/>
              </w:rPr>
            </w:pPr>
          </w:p>
        </w:tc>
        <w:tc>
          <w:tcPr>
            <w:tcW w:w="2552" w:type="dxa"/>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基准日下属分级基金可供分配利润</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2,357,144.76</w:t>
            </w:r>
          </w:p>
        </w:tc>
        <w:tc>
          <w:tcPr>
            <w:tcW w:w="2451" w:type="dxa"/>
          </w:tcPr>
          <w:p w:rsidR="00FE7BF2" w:rsidRPr="008656F5" w:rsidRDefault="00FE7B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2,148,086.54</w:t>
            </w:r>
          </w:p>
        </w:tc>
      </w:tr>
      <w:tr w:rsidR="00F74F10">
        <w:trPr>
          <w:jc w:val="center"/>
        </w:trPr>
        <w:tc>
          <w:tcPr>
            <w:tcW w:w="2368" w:type="dxa"/>
            <w:vMerge/>
          </w:tcPr>
          <w:p w:rsidR="00F74F10" w:rsidRDefault="00F74F10"/>
        </w:tc>
        <w:tc>
          <w:tcPr>
            <w:tcW w:w="2552" w:type="dxa"/>
            <w:vAlign w:val="center"/>
          </w:tcPr>
          <w:p w:rsidR="00F74F10" w:rsidRPr="004B6AB0" w:rsidRDefault="007567FE" w:rsidP="004B6AB0">
            <w:pPr>
              <w:spacing w:line="360" w:lineRule="auto"/>
              <w:rPr>
                <w:rFonts w:asciiTheme="minorEastAsia" w:eastAsiaTheme="minorEastAsia" w:hAnsiTheme="minorEastAsia"/>
                <w:color w:val="000000"/>
                <w:sz w:val="24"/>
                <w:szCs w:val="24"/>
              </w:rPr>
            </w:pPr>
            <w:r w:rsidRPr="004B6AB0">
              <w:rPr>
                <w:rFonts w:asciiTheme="minorEastAsia" w:eastAsiaTheme="minorEastAsia" w:hAnsiTheme="minorEastAsia"/>
                <w:color w:val="000000"/>
                <w:sz w:val="24"/>
                <w:szCs w:val="24"/>
              </w:rPr>
              <w:t>截止基准日按照基金合同约定的分红比例计算的应分配金额（单位：元）</w:t>
            </w:r>
          </w:p>
        </w:tc>
        <w:tc>
          <w:tcPr>
            <w:tcW w:w="2268" w:type="dxa"/>
            <w:vAlign w:val="center"/>
          </w:tcPr>
          <w:p w:rsidR="00F74F10" w:rsidRPr="004B6AB0" w:rsidRDefault="007567FE" w:rsidP="004B6AB0">
            <w:pPr>
              <w:spacing w:line="360" w:lineRule="auto"/>
              <w:rPr>
                <w:rFonts w:asciiTheme="minorEastAsia" w:eastAsiaTheme="minorEastAsia" w:hAnsiTheme="minorEastAsia"/>
                <w:color w:val="000000"/>
                <w:sz w:val="24"/>
                <w:szCs w:val="24"/>
              </w:rPr>
            </w:pPr>
            <w:r w:rsidRPr="004B6AB0">
              <w:rPr>
                <w:rFonts w:asciiTheme="minorEastAsia" w:eastAsiaTheme="minorEastAsia" w:hAnsiTheme="minorEastAsia"/>
                <w:color w:val="000000"/>
                <w:sz w:val="24"/>
                <w:szCs w:val="24"/>
              </w:rPr>
              <w:t>1,178,572.38</w:t>
            </w:r>
          </w:p>
        </w:tc>
        <w:tc>
          <w:tcPr>
            <w:tcW w:w="2451" w:type="dxa"/>
            <w:vAlign w:val="center"/>
          </w:tcPr>
          <w:p w:rsidR="00F74F10" w:rsidRPr="004B6AB0" w:rsidRDefault="007567FE" w:rsidP="004B6AB0">
            <w:pPr>
              <w:spacing w:line="360" w:lineRule="auto"/>
              <w:rPr>
                <w:rFonts w:asciiTheme="minorEastAsia" w:eastAsiaTheme="minorEastAsia" w:hAnsiTheme="minorEastAsia"/>
                <w:color w:val="000000"/>
                <w:sz w:val="24"/>
                <w:szCs w:val="24"/>
              </w:rPr>
            </w:pPr>
            <w:r w:rsidRPr="004B6AB0">
              <w:rPr>
                <w:rFonts w:asciiTheme="minorEastAsia" w:eastAsiaTheme="minorEastAsia" w:hAnsiTheme="minorEastAsia"/>
                <w:color w:val="000000"/>
                <w:sz w:val="24"/>
                <w:szCs w:val="24"/>
              </w:rPr>
              <w:t>1,074,043.27</w:t>
            </w:r>
          </w:p>
        </w:tc>
      </w:tr>
      <w:tr w:rsidR="00FE7BF2" w:rsidRPr="008656F5" w:rsidTr="00FE7BF2">
        <w:trPr>
          <w:jc w:val="center"/>
        </w:trPr>
        <w:tc>
          <w:tcPr>
            <w:tcW w:w="4920" w:type="dxa"/>
            <w:gridSpan w:val="2"/>
          </w:tcPr>
          <w:p w:rsidR="00FE7BF2" w:rsidRPr="008656F5" w:rsidRDefault="00FE7BF2" w:rsidP="0061143B">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本次下属分级基金分红方案（单位：元/10份</w:t>
            </w:r>
            <w:r w:rsidRPr="008656F5">
              <w:rPr>
                <w:rFonts w:asciiTheme="minorEastAsia" w:eastAsiaTheme="minorEastAsia" w:hAnsiTheme="minorEastAsia"/>
                <w:color w:val="000000"/>
                <w:sz w:val="24"/>
                <w:szCs w:val="24"/>
              </w:rPr>
              <w:lastRenderedPageBreak/>
              <w:t>基金份额）</w:t>
            </w:r>
          </w:p>
        </w:tc>
        <w:tc>
          <w:tcPr>
            <w:tcW w:w="2268" w:type="dxa"/>
          </w:tcPr>
          <w:p w:rsidR="00FE7BF2" w:rsidRPr="008656F5" w:rsidRDefault="00FE7BF2" w:rsidP="0061143B">
            <w:pPr>
              <w:spacing w:line="360" w:lineRule="auto"/>
              <w:rPr>
                <w:rFonts w:asciiTheme="minorEastAsia" w:eastAsiaTheme="minorEastAsia" w:hAnsiTheme="minorEastAsia"/>
                <w:sz w:val="24"/>
                <w:szCs w:val="24"/>
              </w:rPr>
            </w:pPr>
            <w:r w:rsidRPr="008656F5">
              <w:rPr>
                <w:rFonts w:asciiTheme="minorEastAsia" w:eastAsiaTheme="minorEastAsia" w:hAnsiTheme="minorEastAsia" w:hint="eastAsia"/>
                <w:sz w:val="24"/>
                <w:szCs w:val="24"/>
              </w:rPr>
              <w:lastRenderedPageBreak/>
              <w:t>0.300</w:t>
            </w:r>
          </w:p>
        </w:tc>
        <w:tc>
          <w:tcPr>
            <w:tcW w:w="2451" w:type="dxa"/>
          </w:tcPr>
          <w:p w:rsidR="00FE7BF2" w:rsidRPr="008656F5" w:rsidRDefault="00FE7BF2" w:rsidP="0061143B">
            <w:pPr>
              <w:spacing w:line="360" w:lineRule="auto"/>
              <w:rPr>
                <w:rFonts w:asciiTheme="minorEastAsia" w:eastAsiaTheme="minorEastAsia" w:hAnsiTheme="minorEastAsia"/>
                <w:sz w:val="24"/>
                <w:szCs w:val="24"/>
              </w:rPr>
            </w:pPr>
            <w:r w:rsidRPr="008656F5">
              <w:rPr>
                <w:rFonts w:asciiTheme="minorEastAsia" w:eastAsiaTheme="minorEastAsia" w:hAnsiTheme="minorEastAsia" w:hint="eastAsia"/>
                <w:sz w:val="24"/>
                <w:szCs w:val="24"/>
              </w:rPr>
              <w:t>0.280</w:t>
            </w:r>
          </w:p>
        </w:tc>
      </w:tr>
    </w:tbl>
    <w:p w:rsidR="00FE7BF2" w:rsidRDefault="00FE7BF2" w:rsidP="00B14D73">
      <w:pPr>
        <w:spacing w:line="360" w:lineRule="auto"/>
        <w:rPr>
          <w:rFonts w:asciiTheme="minorEastAsia" w:eastAsiaTheme="minorEastAsia" w:hAnsiTheme="minorEastAsia"/>
          <w:sz w:val="24"/>
          <w:szCs w:val="24"/>
        </w:rPr>
      </w:pP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2" w:name="_Toc275961419"/>
      <w:r w:rsidRPr="008656F5">
        <w:rPr>
          <w:rFonts w:asciiTheme="minorEastAsia" w:eastAsiaTheme="minorEastAsia" w:hAnsiTheme="minorEastAsia"/>
          <w:bCs w:val="0"/>
          <w:color w:val="000000"/>
          <w:sz w:val="24"/>
          <w:szCs w:val="24"/>
        </w:rPr>
        <w:t>2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权益登记日</w:t>
            </w:r>
          </w:p>
        </w:tc>
        <w:tc>
          <w:tcPr>
            <w:tcW w:w="4355" w:type="dxa"/>
          </w:tcPr>
          <w:p w:rsidR="00893436" w:rsidRPr="008656F5" w:rsidRDefault="00362297"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2020年7月20日</w:t>
            </w:r>
          </w:p>
        </w:tc>
      </w:tr>
      <w:tr w:rsidR="004B6AB0" w:rsidRPr="008656F5" w:rsidTr="004B6AB0">
        <w:trPr>
          <w:jc w:val="center"/>
        </w:trPr>
        <w:tc>
          <w:tcPr>
            <w:tcW w:w="4355" w:type="dxa"/>
          </w:tcPr>
          <w:p w:rsidR="0099338F" w:rsidRPr="008656F5" w:rsidRDefault="0099338F"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除息日</w:t>
            </w:r>
          </w:p>
        </w:tc>
        <w:tc>
          <w:tcPr>
            <w:tcW w:w="8710" w:type="dxa"/>
          </w:tcPr>
          <w:p w:rsidR="0099338F" w:rsidRPr="008656F5" w:rsidRDefault="0099338F" w:rsidP="004B6AB0">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2020年7月20日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现金红利发放日</w:t>
            </w:r>
          </w:p>
        </w:tc>
        <w:tc>
          <w:tcPr>
            <w:tcW w:w="4355" w:type="dxa"/>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2020年7月21日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分红对象</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权益登记日在华安基金管理有限公司登记在册的本基金全体持有人</w:t>
            </w:r>
          </w:p>
        </w:tc>
      </w:tr>
      <w:tr w:rsidR="00893436" w:rsidRPr="008656F5" w:rsidTr="0083403A">
        <w:trPr>
          <w:jc w:val="center"/>
        </w:trPr>
        <w:tc>
          <w:tcPr>
            <w:tcW w:w="4355" w:type="dxa"/>
            <w:shd w:val="clear" w:color="auto" w:fill="auto"/>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红利再投资相关事项的说明</w:t>
            </w:r>
          </w:p>
        </w:tc>
        <w:tc>
          <w:tcPr>
            <w:tcW w:w="4355" w:type="dxa"/>
            <w:shd w:val="clear" w:color="auto" w:fill="auto"/>
          </w:tcPr>
          <w:p w:rsidR="00F74F10" w:rsidRDefault="007567F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1）红利再投资日：2020年7月21日；</w:t>
            </w:r>
          </w:p>
          <w:p w:rsidR="00F74F10" w:rsidRDefault="007567F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2）选择红利再投资方式的投资者所转换的基金份额将于2020年7月22日直接计入其基金账户，7月23日起可查询、赎回；</w:t>
            </w:r>
          </w:p>
          <w:p w:rsidR="00F74F10" w:rsidRDefault="007567F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3）红利再投资按红利划出日（2020年7月21日）的基金份额净值转换基金份额，不足0.01份基金份额的，四舍五入；</w:t>
            </w:r>
          </w:p>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4）权益登记日之前（截至2020年7月20日）被冻结或托管转出尚未转入的基金份额应分得的现金红利按红利再投资方式处理。</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根据相关法律法规的规定，对投资者（包括个人和机构投资者）从基金分配中取得的收入，暂不征收个人所得税和企业所得税。</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本基金本次分红免收分红手续费和再投资手续费。</w:t>
            </w:r>
          </w:p>
        </w:tc>
      </w:tr>
    </w:tbl>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3" w:name="_Toc275961420"/>
      <w:r w:rsidRPr="008656F5">
        <w:rPr>
          <w:rFonts w:asciiTheme="minorEastAsia" w:eastAsiaTheme="minorEastAsia" w:hAnsiTheme="minorEastAsia"/>
          <w:bCs w:val="0"/>
          <w:color w:val="000000"/>
          <w:sz w:val="24"/>
          <w:szCs w:val="24"/>
        </w:rPr>
        <w:t>3 其他需要提示的事项</w:t>
      </w:r>
      <w:bookmarkEnd w:id="3"/>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1）权益登记日申购或转换转入的基金份额不享有本次分红权益，赎回或转换转出的基金份额享有本次分红权益。</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2）基金份额持有人可以选择现金红利或将所获红利再投资于本基金，如果基金份额持有人未选择本基金具体分红方式，则默认为现金方式。</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3）投资者可以在每个基金开放日的交易时间内到销售网点查询和修改分红</w:t>
      </w:r>
      <w:r>
        <w:rPr>
          <w:rFonts w:asciiTheme="minorEastAsia" w:eastAsiaTheme="minorEastAsia" w:hAnsiTheme="minorEastAsia"/>
          <w:sz w:val="24"/>
          <w:szCs w:val="24"/>
        </w:rPr>
        <w:lastRenderedPageBreak/>
        <w:t xml:space="preserve">方式，也可以通过华安基金管理公司网站或电话交易系统查询和变更基金收益分配方式。如投资者在不同销售机构选择的分红方式不同，将按照投资者在权益登记日之前最后一次选择的分红方式为准。 </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凡希望修改分红方式的，请务必在2020年7月17日之前（含该日）办理变更手续。 </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4）如有其它疑问,请拨打本公司客户服务电话(40088-50099)或登陆本公司网站(www.huaan.com.cn)获取相关信息。 </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特此公告   </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F74F10" w:rsidRDefault="007567F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华安基金管理有限公司 </w:t>
      </w:r>
    </w:p>
    <w:p w:rsidR="00364C2A" w:rsidRPr="008656F5" w:rsidRDefault="00284B1B" w:rsidP="0083403A">
      <w:pPr>
        <w:spacing w:line="360" w:lineRule="auto"/>
        <w:ind w:firstLineChars="200" w:firstLine="480"/>
        <w:rPr>
          <w:rFonts w:asciiTheme="minorEastAsia" w:eastAsiaTheme="minorEastAsia" w:hAnsiTheme="minorEastAsia"/>
          <w:sz w:val="24"/>
          <w:szCs w:val="24"/>
        </w:rPr>
      </w:pPr>
      <w:r w:rsidRPr="008656F5">
        <w:rPr>
          <w:rFonts w:asciiTheme="minorEastAsia" w:eastAsiaTheme="minorEastAsia" w:hAnsiTheme="minorEastAsia"/>
          <w:sz w:val="24"/>
          <w:szCs w:val="24"/>
        </w:rPr>
        <w:t xml:space="preserve">                                                 </w:t>
      </w:r>
      <w:r w:rsidR="007D08DC" w:rsidRPr="008656F5">
        <w:rPr>
          <w:rFonts w:asciiTheme="minorEastAsia" w:eastAsiaTheme="minorEastAsia" w:hAnsiTheme="minorEastAsia"/>
          <w:sz w:val="24"/>
          <w:szCs w:val="24"/>
        </w:rPr>
        <w:t>2020年7月</w:t>
      </w:r>
      <w:r w:rsidR="007D08DC">
        <w:rPr>
          <w:rFonts w:asciiTheme="minorEastAsia" w:eastAsiaTheme="minorEastAsia" w:hAnsiTheme="minorEastAsia"/>
          <w:sz w:val="24"/>
          <w:szCs w:val="24"/>
        </w:rPr>
        <w:t>16</w:t>
      </w:r>
      <w:r w:rsidRPr="008656F5">
        <w:rPr>
          <w:rFonts w:asciiTheme="minorEastAsia" w:eastAsiaTheme="minorEastAsia" w:hAnsiTheme="minorEastAsia"/>
          <w:sz w:val="24"/>
          <w:szCs w:val="24"/>
        </w:rPr>
        <w:t>日</w:t>
      </w:r>
    </w:p>
    <w:sectPr w:rsidR="00364C2A" w:rsidRPr="008656F5"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07" w:rsidRDefault="00473C07" w:rsidP="00893436">
      <w:r>
        <w:separator/>
      </w:r>
    </w:p>
  </w:endnote>
  <w:endnote w:type="continuationSeparator" w:id="0">
    <w:p w:rsidR="00473C07" w:rsidRDefault="00473C07"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07" w:rsidRDefault="00473C07" w:rsidP="00893436">
      <w:r>
        <w:separator/>
      </w:r>
    </w:p>
  </w:footnote>
  <w:footnote w:type="continuationSeparator" w:id="0">
    <w:p w:rsidR="00473C07" w:rsidRDefault="00473C07"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27E6E"/>
    <w:rsid w:val="00030A22"/>
    <w:rsid w:val="00041353"/>
    <w:rsid w:val="00053698"/>
    <w:rsid w:val="00057AC1"/>
    <w:rsid w:val="00085F5C"/>
    <w:rsid w:val="0009778C"/>
    <w:rsid w:val="000A19B2"/>
    <w:rsid w:val="000C39F6"/>
    <w:rsid w:val="00111BD0"/>
    <w:rsid w:val="00135CA1"/>
    <w:rsid w:val="0016074B"/>
    <w:rsid w:val="00226206"/>
    <w:rsid w:val="00242E4D"/>
    <w:rsid w:val="00266A99"/>
    <w:rsid w:val="00284B1B"/>
    <w:rsid w:val="002A63B7"/>
    <w:rsid w:val="002B6A76"/>
    <w:rsid w:val="003160F8"/>
    <w:rsid w:val="0032061C"/>
    <w:rsid w:val="00323007"/>
    <w:rsid w:val="003340A3"/>
    <w:rsid w:val="00362297"/>
    <w:rsid w:val="0039192C"/>
    <w:rsid w:val="003E51F2"/>
    <w:rsid w:val="00410642"/>
    <w:rsid w:val="00413675"/>
    <w:rsid w:val="00473C07"/>
    <w:rsid w:val="00486934"/>
    <w:rsid w:val="004966BA"/>
    <w:rsid w:val="004B6AB0"/>
    <w:rsid w:val="0050279B"/>
    <w:rsid w:val="00506E3A"/>
    <w:rsid w:val="005715B6"/>
    <w:rsid w:val="005C74A7"/>
    <w:rsid w:val="00602C3F"/>
    <w:rsid w:val="006602FD"/>
    <w:rsid w:val="006649D0"/>
    <w:rsid w:val="00687863"/>
    <w:rsid w:val="006A2E06"/>
    <w:rsid w:val="00721B55"/>
    <w:rsid w:val="007567FE"/>
    <w:rsid w:val="007C7B20"/>
    <w:rsid w:val="007D08DC"/>
    <w:rsid w:val="007D292D"/>
    <w:rsid w:val="0083403A"/>
    <w:rsid w:val="008656F5"/>
    <w:rsid w:val="00880E4A"/>
    <w:rsid w:val="008858ED"/>
    <w:rsid w:val="00893436"/>
    <w:rsid w:val="008B4234"/>
    <w:rsid w:val="008D1F66"/>
    <w:rsid w:val="009302F7"/>
    <w:rsid w:val="009732A4"/>
    <w:rsid w:val="0099338F"/>
    <w:rsid w:val="009B4BCB"/>
    <w:rsid w:val="00A628C4"/>
    <w:rsid w:val="00A81C93"/>
    <w:rsid w:val="00A83087"/>
    <w:rsid w:val="00A92D2B"/>
    <w:rsid w:val="00AB6D44"/>
    <w:rsid w:val="00B11F02"/>
    <w:rsid w:val="00B14D73"/>
    <w:rsid w:val="00B44BBE"/>
    <w:rsid w:val="00B77B08"/>
    <w:rsid w:val="00BA7F58"/>
    <w:rsid w:val="00BB2D38"/>
    <w:rsid w:val="00BD7533"/>
    <w:rsid w:val="00BF5698"/>
    <w:rsid w:val="00C33DDD"/>
    <w:rsid w:val="00C3473F"/>
    <w:rsid w:val="00C82C9D"/>
    <w:rsid w:val="00CB3D18"/>
    <w:rsid w:val="00CC333F"/>
    <w:rsid w:val="00CC53FB"/>
    <w:rsid w:val="00CE0672"/>
    <w:rsid w:val="00D20292"/>
    <w:rsid w:val="00D84DBE"/>
    <w:rsid w:val="00DA77C4"/>
    <w:rsid w:val="00DB6924"/>
    <w:rsid w:val="00E24390"/>
    <w:rsid w:val="00E379B4"/>
    <w:rsid w:val="00E8116A"/>
    <w:rsid w:val="00F0033B"/>
    <w:rsid w:val="00F055D7"/>
    <w:rsid w:val="00F4212E"/>
    <w:rsid w:val="00F45E48"/>
    <w:rsid w:val="00F74F10"/>
    <w:rsid w:val="00FC4488"/>
    <w:rsid w:val="00FE7BF2"/>
    <w:rsid w:val="00FF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1237</Characters>
  <Application>Microsoft Office Word</Application>
  <DocSecurity>4</DocSecurity>
  <Lines>10</Lines>
  <Paragraphs>2</Paragraphs>
  <ScaleCrop>false</ScaleCrop>
  <Company>微软中国</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2020-07-15T16:00:00Z</dcterms:created>
  <dcterms:modified xsi:type="dcterms:W3CDTF">2020-07-15T16:00:00Z</dcterms:modified>
</cp:coreProperties>
</file>