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E18ED" w:rsidRDefault="003E5CB0" w:rsidP="00110A7D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E92EA5">
        <w:rPr>
          <w:rFonts w:hAnsi="宋体" w:hint="eastAsia"/>
          <w:b/>
          <w:bCs/>
          <w:color w:val="000000"/>
          <w:sz w:val="24"/>
        </w:rPr>
        <w:t>华夏</w:t>
      </w:r>
      <w:r w:rsidRPr="00C15F24">
        <w:rPr>
          <w:b/>
          <w:bCs/>
          <w:color w:val="000000"/>
          <w:sz w:val="24"/>
        </w:rPr>
        <w:t>基金管理有限公司关于旗下基金</w:t>
      </w:r>
      <w:bookmarkStart w:id="0" w:name="_GoBack"/>
      <w:r w:rsidR="003E21F3">
        <w:rPr>
          <w:rFonts w:hint="eastAsia"/>
          <w:b/>
          <w:bCs/>
          <w:color w:val="000000"/>
          <w:sz w:val="24"/>
        </w:rPr>
        <w:t>投资</w:t>
      </w:r>
      <w:bookmarkEnd w:id="0"/>
      <w:r>
        <w:rPr>
          <w:rFonts w:hAnsi="宋体" w:hint="eastAsia"/>
          <w:b/>
          <w:bCs/>
          <w:sz w:val="24"/>
        </w:rPr>
        <w:t>关联方承销证</w:t>
      </w:r>
      <w:r w:rsidRPr="00C23F15">
        <w:rPr>
          <w:rFonts w:hAnsi="宋体" w:hint="eastAsia"/>
          <w:b/>
          <w:bCs/>
          <w:sz w:val="24"/>
        </w:rPr>
        <w:t>券</w:t>
      </w:r>
      <w:r w:rsidRPr="008D7643">
        <w:rPr>
          <w:b/>
          <w:bCs/>
          <w:color w:val="000000"/>
          <w:sz w:val="24"/>
        </w:rPr>
        <w:t>的公告</w:t>
      </w:r>
    </w:p>
    <w:p w:rsidR="00624130" w:rsidRPr="00384A19" w:rsidRDefault="00624130" w:rsidP="00590E64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624130" w:rsidRPr="00E24F74" w:rsidRDefault="003E5CB0" w:rsidP="00E51434">
      <w:pPr>
        <w:tabs>
          <w:tab w:val="left" w:pos="10440"/>
        </w:tabs>
        <w:spacing w:line="360" w:lineRule="auto"/>
        <w:ind w:firstLineChars="200" w:firstLine="480"/>
        <w:rPr>
          <w:rFonts w:eastAsiaTheme="minorEastAsia"/>
          <w:sz w:val="24"/>
        </w:rPr>
      </w:pPr>
      <w:r w:rsidRPr="00E24F74">
        <w:rPr>
          <w:rFonts w:eastAsiaTheme="minorEastAsia"/>
          <w:sz w:val="24"/>
        </w:rPr>
        <w:t>根据</w:t>
      </w:r>
      <w:r w:rsidR="00F20EB9">
        <w:rPr>
          <w:rFonts w:eastAsiaTheme="minorEastAsia" w:hint="eastAsia"/>
          <w:sz w:val="24"/>
        </w:rPr>
        <w:t>《中华</w:t>
      </w:r>
      <w:r w:rsidR="00F20EB9">
        <w:rPr>
          <w:rFonts w:eastAsiaTheme="minorEastAsia"/>
          <w:sz w:val="24"/>
        </w:rPr>
        <w:t>人民共和国证券投资基金法》</w:t>
      </w:r>
      <w:r w:rsidR="00F20EB9">
        <w:rPr>
          <w:rFonts w:eastAsiaTheme="minorEastAsia" w:hint="eastAsia"/>
          <w:sz w:val="24"/>
        </w:rPr>
        <w:t>、</w:t>
      </w:r>
      <w:r w:rsidRPr="00E24F74">
        <w:rPr>
          <w:rFonts w:eastAsiaTheme="minorEastAsia"/>
          <w:sz w:val="24"/>
        </w:rPr>
        <w:t>《</w:t>
      </w:r>
      <w:r w:rsidRPr="00E24F74">
        <w:rPr>
          <w:rFonts w:eastAsiaTheme="minorEastAsia" w:hint="eastAsia"/>
          <w:sz w:val="24"/>
        </w:rPr>
        <w:t>公开募集证券投资基金运作管理办法</w:t>
      </w:r>
      <w:r w:rsidRPr="00E24F74">
        <w:rPr>
          <w:rFonts w:eastAsiaTheme="minorEastAsia"/>
          <w:sz w:val="24"/>
        </w:rPr>
        <w:t>》</w:t>
      </w:r>
      <w:r w:rsidR="00F54D9C" w:rsidRPr="00E24F74">
        <w:rPr>
          <w:rFonts w:eastAsiaTheme="minorEastAsia" w:hint="eastAsia"/>
          <w:sz w:val="24"/>
        </w:rPr>
        <w:t>、</w:t>
      </w:r>
      <w:r w:rsidR="00421E64" w:rsidRPr="00E24F74">
        <w:rPr>
          <w:rFonts w:eastAsiaTheme="minorEastAsia"/>
          <w:sz w:val="24"/>
        </w:rPr>
        <w:t>《</w:t>
      </w:r>
      <w:r w:rsidR="00421E64" w:rsidRPr="00E24F74">
        <w:rPr>
          <w:rFonts w:eastAsiaTheme="minorEastAsia" w:hint="eastAsia"/>
          <w:sz w:val="24"/>
        </w:rPr>
        <w:t>公开募集证券投资基金</w:t>
      </w:r>
      <w:r w:rsidR="00421E64">
        <w:rPr>
          <w:rFonts w:eastAsiaTheme="minorEastAsia" w:hint="eastAsia"/>
          <w:sz w:val="24"/>
        </w:rPr>
        <w:t>信息披露</w:t>
      </w:r>
      <w:r w:rsidR="00421E64" w:rsidRPr="00E24F74">
        <w:rPr>
          <w:rFonts w:eastAsiaTheme="minorEastAsia" w:hint="eastAsia"/>
          <w:sz w:val="24"/>
        </w:rPr>
        <w:t>管理办法</w:t>
      </w:r>
      <w:r w:rsidR="00421E64" w:rsidRPr="00E24F74">
        <w:rPr>
          <w:rFonts w:eastAsiaTheme="minorEastAsia"/>
          <w:sz w:val="24"/>
        </w:rPr>
        <w:t>》</w:t>
      </w:r>
      <w:r w:rsidR="00CF6B80">
        <w:rPr>
          <w:rFonts w:eastAsiaTheme="minorEastAsia" w:hint="eastAsia"/>
          <w:sz w:val="24"/>
        </w:rPr>
        <w:t>及相关法律法规</w:t>
      </w:r>
      <w:r w:rsidR="00421E64">
        <w:rPr>
          <w:rFonts w:eastAsiaTheme="minorEastAsia" w:hint="eastAsia"/>
          <w:sz w:val="24"/>
        </w:rPr>
        <w:t>、</w:t>
      </w:r>
      <w:r w:rsidR="00E22D9F">
        <w:rPr>
          <w:rFonts w:eastAsiaTheme="minorEastAsia" w:hint="eastAsia"/>
          <w:sz w:val="24"/>
        </w:rPr>
        <w:t>各基金基金合同</w:t>
      </w:r>
      <w:r w:rsidR="00102D47">
        <w:rPr>
          <w:rFonts w:eastAsiaTheme="minorEastAsia" w:hint="eastAsia"/>
          <w:sz w:val="24"/>
        </w:rPr>
        <w:t>及</w:t>
      </w:r>
      <w:r w:rsidR="00F54D9C" w:rsidRPr="00E24F74">
        <w:rPr>
          <w:rFonts w:eastAsiaTheme="minorEastAsia"/>
          <w:sz w:val="24"/>
        </w:rPr>
        <w:t>招募说明书</w:t>
      </w:r>
      <w:r w:rsidR="00623E56">
        <w:rPr>
          <w:rFonts w:eastAsiaTheme="minorEastAsia" w:hint="eastAsia"/>
          <w:sz w:val="24"/>
        </w:rPr>
        <w:t>（更新）</w:t>
      </w:r>
      <w:r w:rsidRPr="00E24F74">
        <w:rPr>
          <w:rFonts w:eastAsiaTheme="minorEastAsia"/>
          <w:sz w:val="24"/>
        </w:rPr>
        <w:t>等有关规定，</w:t>
      </w:r>
      <w:r w:rsidR="00F66F9B">
        <w:rPr>
          <w:rFonts w:eastAsiaTheme="minorEastAsia" w:hint="eastAsia"/>
          <w:sz w:val="24"/>
        </w:rPr>
        <w:t>在</w:t>
      </w:r>
      <w:r w:rsidR="00D84AA1">
        <w:rPr>
          <w:rFonts w:eastAsiaTheme="minorEastAsia" w:hint="eastAsia"/>
          <w:sz w:val="24"/>
        </w:rPr>
        <w:t>履行规定审批程序并</w:t>
      </w:r>
      <w:r w:rsidR="00F66F9B">
        <w:rPr>
          <w:rFonts w:eastAsiaTheme="minorEastAsia" w:hint="eastAsia"/>
          <w:sz w:val="24"/>
        </w:rPr>
        <w:t>经</w:t>
      </w:r>
      <w:r w:rsidR="00A245A4">
        <w:rPr>
          <w:rFonts w:eastAsiaTheme="minorEastAsia" w:hint="eastAsia"/>
          <w:sz w:val="24"/>
        </w:rPr>
        <w:t>基金托管人同意</w:t>
      </w:r>
      <w:r w:rsidR="001D0260">
        <w:rPr>
          <w:rFonts w:eastAsiaTheme="minorEastAsia" w:hint="eastAsia"/>
          <w:sz w:val="24"/>
        </w:rPr>
        <w:t>后</w:t>
      </w:r>
      <w:r w:rsidR="00A245A4">
        <w:rPr>
          <w:rFonts w:eastAsiaTheme="minorEastAsia" w:hint="eastAsia"/>
          <w:sz w:val="24"/>
        </w:rPr>
        <w:t>，</w:t>
      </w:r>
      <w:r w:rsidR="00E22D9F">
        <w:rPr>
          <w:rFonts w:eastAsiaTheme="minorEastAsia" w:hint="eastAsia"/>
          <w:sz w:val="24"/>
        </w:rPr>
        <w:t>华夏基金管理有限公司（以下简称“本公司”）旗下</w:t>
      </w:r>
      <w:r w:rsidR="002A5969">
        <w:rPr>
          <w:rFonts w:eastAsiaTheme="minorEastAsia" w:hint="eastAsia"/>
          <w:sz w:val="24"/>
        </w:rPr>
        <w:t>部分</w:t>
      </w:r>
      <w:r w:rsidR="00E22D9F">
        <w:rPr>
          <w:rFonts w:eastAsiaTheme="minorEastAsia" w:hint="eastAsia"/>
          <w:sz w:val="24"/>
        </w:rPr>
        <w:t>公募基金</w:t>
      </w:r>
      <w:r w:rsidR="00F54D9C" w:rsidRPr="00E24F74">
        <w:rPr>
          <w:rFonts w:eastAsiaTheme="minorEastAsia" w:hint="eastAsia"/>
          <w:sz w:val="24"/>
        </w:rPr>
        <w:t>参加</w:t>
      </w:r>
      <w:r w:rsidR="00F54D9C" w:rsidRPr="00E24F74">
        <w:rPr>
          <w:rFonts w:eastAsiaTheme="minorEastAsia"/>
          <w:sz w:val="24"/>
        </w:rPr>
        <w:t>了</w:t>
      </w:r>
      <w:r w:rsidR="00E22D9F" w:rsidRPr="002A5F4C">
        <w:rPr>
          <w:rFonts w:eastAsiaTheme="minorEastAsia" w:hint="eastAsia"/>
          <w:sz w:val="24"/>
        </w:rPr>
        <w:t>思摩尔国际控股有限公司</w:t>
      </w:r>
      <w:r w:rsidR="00F54D9C" w:rsidRPr="00E24F74">
        <w:rPr>
          <w:rFonts w:eastAsiaTheme="minorEastAsia" w:hint="eastAsia"/>
          <w:sz w:val="24"/>
        </w:rPr>
        <w:t>（以下简称</w:t>
      </w:r>
      <w:r w:rsidR="00F54D9C" w:rsidRPr="005716E6">
        <w:rPr>
          <w:rFonts w:asciiTheme="majorEastAsia" w:eastAsiaTheme="majorEastAsia" w:hAnsiTheme="majorEastAsia"/>
          <w:sz w:val="24"/>
        </w:rPr>
        <w:t>“</w:t>
      </w:r>
      <w:r w:rsidR="009A30C9" w:rsidRPr="005716E6">
        <w:rPr>
          <w:rFonts w:asciiTheme="majorEastAsia" w:eastAsiaTheme="majorEastAsia" w:hAnsiTheme="majorEastAsia" w:hint="eastAsia"/>
          <w:sz w:val="24"/>
        </w:rPr>
        <w:t>思摩尔国际</w:t>
      </w:r>
      <w:r w:rsidR="00623E56" w:rsidRPr="005716E6">
        <w:rPr>
          <w:rFonts w:asciiTheme="majorEastAsia" w:eastAsiaTheme="majorEastAsia" w:hAnsiTheme="majorEastAsia"/>
          <w:sz w:val="24"/>
        </w:rPr>
        <w:t>”</w:t>
      </w:r>
      <w:r w:rsidR="00F54D9C" w:rsidRPr="00E24F74">
        <w:rPr>
          <w:rFonts w:eastAsiaTheme="minorEastAsia" w:hint="eastAsia"/>
          <w:sz w:val="24"/>
        </w:rPr>
        <w:t>）</w:t>
      </w:r>
      <w:r w:rsidR="00CD5AB8">
        <w:rPr>
          <w:rFonts w:eastAsiaTheme="minorEastAsia" w:hint="eastAsia"/>
          <w:sz w:val="24"/>
        </w:rPr>
        <w:t>的</w:t>
      </w:r>
      <w:r w:rsidR="00F54B1C">
        <w:rPr>
          <w:rFonts w:eastAsiaTheme="minorEastAsia" w:hint="eastAsia"/>
          <w:sz w:val="24"/>
        </w:rPr>
        <w:t>港股</w:t>
      </w:r>
      <w:r w:rsidR="00F54B1C">
        <w:rPr>
          <w:rFonts w:eastAsiaTheme="minorEastAsia" w:hint="eastAsia"/>
          <w:sz w:val="24"/>
        </w:rPr>
        <w:t>I</w:t>
      </w:r>
      <w:r w:rsidR="00F54B1C">
        <w:rPr>
          <w:rFonts w:eastAsiaTheme="minorEastAsia"/>
          <w:sz w:val="24"/>
        </w:rPr>
        <w:t>PO</w:t>
      </w:r>
      <w:r w:rsidR="00CD5AB8">
        <w:rPr>
          <w:rFonts w:eastAsiaTheme="minorEastAsia" w:hint="eastAsia"/>
          <w:sz w:val="24"/>
        </w:rPr>
        <w:t>全球发售</w:t>
      </w:r>
      <w:r w:rsidR="0072172E" w:rsidRPr="00F34357">
        <w:rPr>
          <w:rFonts w:eastAsiaTheme="minorEastAsia" w:hint="eastAsia"/>
          <w:sz w:val="24"/>
        </w:rPr>
        <w:t>（以下</w:t>
      </w:r>
      <w:r w:rsidR="0072172E" w:rsidRPr="00F34357">
        <w:rPr>
          <w:rFonts w:eastAsiaTheme="minorEastAsia"/>
          <w:sz w:val="24"/>
        </w:rPr>
        <w:t>简</w:t>
      </w:r>
      <w:r w:rsidR="0072172E">
        <w:rPr>
          <w:rFonts w:eastAsiaTheme="minorEastAsia"/>
          <w:sz w:val="24"/>
        </w:rPr>
        <w:t>称</w:t>
      </w:r>
      <w:r w:rsidR="0072172E" w:rsidRPr="005716E6">
        <w:rPr>
          <w:rFonts w:ascii="宋体" w:hAnsi="宋体"/>
          <w:sz w:val="24"/>
        </w:rPr>
        <w:t>“</w:t>
      </w:r>
      <w:r w:rsidR="0072172E" w:rsidRPr="005716E6">
        <w:rPr>
          <w:rFonts w:ascii="宋体" w:hAnsi="宋体" w:hint="eastAsia"/>
          <w:sz w:val="24"/>
        </w:rPr>
        <w:t>本次</w:t>
      </w:r>
      <w:r w:rsidR="00CF6B80" w:rsidRPr="005716E6">
        <w:rPr>
          <w:rFonts w:ascii="宋体" w:hAnsi="宋体" w:hint="eastAsia"/>
          <w:sz w:val="24"/>
        </w:rPr>
        <w:t>全球</w:t>
      </w:r>
      <w:r w:rsidR="00CD5AB8" w:rsidRPr="005716E6">
        <w:rPr>
          <w:rFonts w:ascii="宋体" w:hAnsi="宋体" w:hint="eastAsia"/>
          <w:sz w:val="24"/>
        </w:rPr>
        <w:t>发售</w:t>
      </w:r>
      <w:r w:rsidR="0072172E" w:rsidRPr="005716E6">
        <w:rPr>
          <w:rFonts w:ascii="宋体" w:hAnsi="宋体"/>
          <w:sz w:val="24"/>
        </w:rPr>
        <w:t>”</w:t>
      </w:r>
      <w:r w:rsidR="0072172E">
        <w:rPr>
          <w:rFonts w:eastAsiaTheme="minorEastAsia"/>
          <w:sz w:val="24"/>
        </w:rPr>
        <w:t>）</w:t>
      </w:r>
      <w:r w:rsidR="00F54D9C" w:rsidRPr="00E24F74">
        <w:rPr>
          <w:rFonts w:eastAsiaTheme="minorEastAsia" w:hint="eastAsia"/>
          <w:sz w:val="24"/>
        </w:rPr>
        <w:t>，</w:t>
      </w:r>
      <w:r w:rsidR="00614710">
        <w:rPr>
          <w:rFonts w:eastAsiaTheme="minorEastAsia" w:hint="eastAsia"/>
          <w:sz w:val="24"/>
        </w:rPr>
        <w:t>本次全球发售的联席全球协调人</w:t>
      </w:r>
      <w:r w:rsidR="00614710" w:rsidRPr="005716E6">
        <w:rPr>
          <w:rFonts w:eastAsiaTheme="minorEastAsia" w:hint="eastAsia"/>
          <w:sz w:val="24"/>
        </w:rPr>
        <w:t>中信里昂</w:t>
      </w:r>
      <w:r w:rsidR="00532045" w:rsidRPr="005716E6">
        <w:rPr>
          <w:rFonts w:eastAsiaTheme="minorEastAsia" w:hint="eastAsia"/>
          <w:sz w:val="24"/>
        </w:rPr>
        <w:t>证券</w:t>
      </w:r>
      <w:r w:rsidR="00614710" w:rsidRPr="005716E6">
        <w:rPr>
          <w:rFonts w:eastAsiaTheme="minorEastAsia" w:hint="eastAsia"/>
          <w:sz w:val="24"/>
        </w:rPr>
        <w:t>有限公司</w:t>
      </w:r>
      <w:r w:rsidR="005716E6">
        <w:rPr>
          <w:rFonts w:eastAsiaTheme="minorEastAsia" w:hint="eastAsia"/>
          <w:sz w:val="24"/>
        </w:rPr>
        <w:t>为本公司控股股东</w:t>
      </w:r>
      <w:r w:rsidR="005716E6" w:rsidRPr="00E24F74">
        <w:rPr>
          <w:rFonts w:eastAsiaTheme="minorEastAsia" w:hint="eastAsia"/>
          <w:sz w:val="24"/>
        </w:rPr>
        <w:t>中信证券股份有限公司</w:t>
      </w:r>
      <w:r w:rsidR="005716E6">
        <w:rPr>
          <w:rFonts w:eastAsiaTheme="minorEastAsia" w:hint="eastAsia"/>
          <w:sz w:val="24"/>
        </w:rPr>
        <w:t>的全资子公司</w:t>
      </w:r>
      <w:r w:rsidR="00F54D9C" w:rsidRPr="00E24F74">
        <w:rPr>
          <w:rFonts w:eastAsiaTheme="minorEastAsia" w:hint="eastAsia"/>
          <w:sz w:val="24"/>
        </w:rPr>
        <w:t>。</w:t>
      </w:r>
      <w:r w:rsidR="00461210" w:rsidRPr="00E24F74">
        <w:rPr>
          <w:rFonts w:eastAsiaTheme="minorEastAsia" w:hint="eastAsia"/>
          <w:sz w:val="24"/>
        </w:rPr>
        <w:t>本次</w:t>
      </w:r>
      <w:r w:rsidR="005716E6" w:rsidRPr="005716E6">
        <w:rPr>
          <w:rFonts w:ascii="宋体" w:hAnsi="宋体" w:hint="eastAsia"/>
          <w:sz w:val="24"/>
        </w:rPr>
        <w:t>全球发售</w:t>
      </w:r>
      <w:r w:rsidR="005716E6">
        <w:rPr>
          <w:rFonts w:ascii="宋体" w:hAnsi="宋体" w:hint="eastAsia"/>
          <w:sz w:val="24"/>
        </w:rPr>
        <w:t>的</w:t>
      </w:r>
      <w:r w:rsidR="00461210" w:rsidRPr="00E24F74">
        <w:rPr>
          <w:rFonts w:eastAsiaTheme="minorEastAsia" w:hint="eastAsia"/>
          <w:sz w:val="24"/>
        </w:rPr>
        <w:t>发</w:t>
      </w:r>
      <w:r w:rsidR="00697FCF">
        <w:rPr>
          <w:rFonts w:eastAsiaTheme="minorEastAsia" w:hint="eastAsia"/>
          <w:sz w:val="24"/>
        </w:rPr>
        <w:t>售</w:t>
      </w:r>
      <w:r w:rsidR="00461210" w:rsidRPr="00E24F74">
        <w:rPr>
          <w:rFonts w:eastAsiaTheme="minorEastAsia" w:hint="eastAsia"/>
          <w:sz w:val="24"/>
        </w:rPr>
        <w:t>价</w:t>
      </w:r>
      <w:r w:rsidR="00697FCF">
        <w:rPr>
          <w:rFonts w:eastAsiaTheme="minorEastAsia" w:hint="eastAsia"/>
          <w:sz w:val="24"/>
        </w:rPr>
        <w:t>于</w:t>
      </w:r>
      <w:r w:rsidR="00423060">
        <w:rPr>
          <w:rFonts w:eastAsiaTheme="minorEastAsia" w:hint="eastAsia"/>
          <w:sz w:val="24"/>
        </w:rPr>
        <w:t>定价日</w:t>
      </w:r>
      <w:r w:rsidR="00461210" w:rsidRPr="00E24F74">
        <w:rPr>
          <w:rFonts w:eastAsiaTheme="minorEastAsia"/>
          <w:sz w:val="24"/>
        </w:rPr>
        <w:t>由</w:t>
      </w:r>
      <w:r w:rsidR="00CF6B80">
        <w:rPr>
          <w:rFonts w:eastAsiaTheme="minorEastAsia" w:hint="eastAsia"/>
          <w:sz w:val="24"/>
        </w:rPr>
        <w:t>联席全球协调人与</w:t>
      </w:r>
      <w:r w:rsidR="00981CD4">
        <w:rPr>
          <w:rFonts w:eastAsiaTheme="minorEastAsia" w:hint="eastAsia"/>
          <w:sz w:val="24"/>
        </w:rPr>
        <w:t>思摩尔国际</w:t>
      </w:r>
      <w:r w:rsidR="00CF6B80">
        <w:rPr>
          <w:rFonts w:eastAsiaTheme="minorEastAsia" w:hint="eastAsia"/>
          <w:sz w:val="24"/>
        </w:rPr>
        <w:t>达成的协议厘定</w:t>
      </w:r>
      <w:r w:rsidR="00461210" w:rsidRPr="00E24F74">
        <w:rPr>
          <w:rFonts w:eastAsiaTheme="minorEastAsia" w:hint="eastAsia"/>
          <w:sz w:val="24"/>
        </w:rPr>
        <w:t>。</w:t>
      </w:r>
      <w:r w:rsidR="00CE6442" w:rsidRPr="00E24F74">
        <w:rPr>
          <w:rFonts w:eastAsiaTheme="minorEastAsia"/>
          <w:sz w:val="24"/>
        </w:rPr>
        <w:t>现将</w:t>
      </w:r>
      <w:r w:rsidR="00CD5AB8">
        <w:rPr>
          <w:rFonts w:eastAsiaTheme="minorEastAsia" w:hint="eastAsia"/>
          <w:sz w:val="24"/>
        </w:rPr>
        <w:t>本公司旗下公募基金</w:t>
      </w:r>
      <w:r w:rsidR="00CE6442" w:rsidRPr="00E24F74">
        <w:rPr>
          <w:rFonts w:eastAsiaTheme="minorEastAsia" w:hint="eastAsia"/>
          <w:sz w:val="24"/>
        </w:rPr>
        <w:t>参与</w:t>
      </w:r>
      <w:r w:rsidR="00F61EC4">
        <w:rPr>
          <w:rFonts w:eastAsiaTheme="minorEastAsia" w:hint="eastAsia"/>
          <w:sz w:val="24"/>
        </w:rPr>
        <w:t>本次</w:t>
      </w:r>
      <w:r w:rsidR="001E5C94">
        <w:rPr>
          <w:rFonts w:eastAsiaTheme="minorEastAsia" w:hint="eastAsia"/>
          <w:sz w:val="24"/>
        </w:rPr>
        <w:t>全球</w:t>
      </w:r>
      <w:r w:rsidR="00CD5AB8">
        <w:rPr>
          <w:rFonts w:eastAsiaTheme="minorEastAsia" w:hint="eastAsia"/>
          <w:sz w:val="24"/>
        </w:rPr>
        <w:t>发售</w:t>
      </w:r>
      <w:r w:rsidR="00CE6442" w:rsidRPr="00E24F74">
        <w:rPr>
          <w:rFonts w:eastAsiaTheme="minorEastAsia"/>
          <w:sz w:val="24"/>
        </w:rPr>
        <w:t>的</w:t>
      </w:r>
      <w:r w:rsidR="00E24F74" w:rsidRPr="00E24F74">
        <w:rPr>
          <w:rFonts w:eastAsiaTheme="minorEastAsia" w:hint="eastAsia"/>
          <w:sz w:val="24"/>
        </w:rPr>
        <w:t>相关</w:t>
      </w:r>
      <w:r w:rsidR="00E24F74" w:rsidRPr="00E24F74">
        <w:rPr>
          <w:rFonts w:eastAsiaTheme="minorEastAsia"/>
          <w:sz w:val="24"/>
        </w:rPr>
        <w:t>信息</w:t>
      </w:r>
      <w:r w:rsidRPr="00E24F74">
        <w:rPr>
          <w:rFonts w:eastAsiaTheme="minorEastAsia"/>
          <w:sz w:val="24"/>
        </w:rPr>
        <w:t>公告如下</w:t>
      </w:r>
      <w:r w:rsidR="00624130" w:rsidRPr="00E24F74">
        <w:rPr>
          <w:rFonts w:eastAsiaTheme="minorEastAsia"/>
          <w:sz w:val="24"/>
        </w:rPr>
        <w:t>：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1481"/>
        <w:gridCol w:w="1078"/>
        <w:gridCol w:w="1162"/>
        <w:gridCol w:w="1069"/>
      </w:tblGrid>
      <w:tr w:rsidR="00643E92" w:rsidRPr="00B17DA6" w:rsidTr="005D7324">
        <w:trPr>
          <w:jc w:val="center"/>
        </w:trPr>
        <w:tc>
          <w:tcPr>
            <w:tcW w:w="2361" w:type="pct"/>
            <w:vAlign w:val="center"/>
          </w:tcPr>
          <w:p w:rsidR="00C11223" w:rsidRPr="00B17DA6" w:rsidRDefault="00C11223" w:rsidP="00B23F58">
            <w:pPr>
              <w:tabs>
                <w:tab w:val="left" w:pos="10440"/>
              </w:tabs>
              <w:jc w:val="center"/>
              <w:rPr>
                <w:color w:val="000000"/>
                <w:szCs w:val="21"/>
              </w:rPr>
            </w:pPr>
            <w:bookmarkStart w:id="1" w:name="OLE_LINK17"/>
            <w:bookmarkStart w:id="2" w:name="OLE_LINK18"/>
            <w:r w:rsidRPr="00B17DA6">
              <w:rPr>
                <w:rFonts w:hAnsi="宋体"/>
                <w:color w:val="000000"/>
                <w:szCs w:val="21"/>
              </w:rPr>
              <w:t>基金名称</w:t>
            </w:r>
          </w:p>
        </w:tc>
        <w:tc>
          <w:tcPr>
            <w:tcW w:w="816" w:type="pct"/>
            <w:vAlign w:val="center"/>
          </w:tcPr>
          <w:p w:rsidR="00F027FE" w:rsidRDefault="00C11223" w:rsidP="00B23F58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B17DA6">
              <w:rPr>
                <w:rFonts w:hAnsi="宋体" w:hint="eastAsia"/>
                <w:color w:val="000000"/>
                <w:szCs w:val="21"/>
              </w:rPr>
              <w:t>获配证券</w:t>
            </w:r>
          </w:p>
          <w:p w:rsidR="00C11223" w:rsidRPr="00B17DA6" w:rsidRDefault="00C11223" w:rsidP="00B23F58">
            <w:pPr>
              <w:tabs>
                <w:tab w:val="left" w:pos="10440"/>
              </w:tabs>
              <w:jc w:val="center"/>
              <w:rPr>
                <w:color w:val="000000"/>
                <w:szCs w:val="21"/>
              </w:rPr>
            </w:pPr>
            <w:r w:rsidRPr="00B17DA6">
              <w:rPr>
                <w:rFonts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594" w:type="pct"/>
            <w:vAlign w:val="center"/>
          </w:tcPr>
          <w:p w:rsidR="00C11223" w:rsidRPr="00D7500B" w:rsidRDefault="00C11223" w:rsidP="005D7324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D7500B">
              <w:rPr>
                <w:rFonts w:hAnsi="宋体" w:hint="eastAsia"/>
                <w:color w:val="000000"/>
                <w:szCs w:val="21"/>
              </w:rPr>
              <w:t>获配</w:t>
            </w:r>
            <w:r w:rsidRPr="00D7500B">
              <w:rPr>
                <w:rFonts w:hAnsi="宋体"/>
                <w:color w:val="000000"/>
                <w:szCs w:val="21"/>
              </w:rPr>
              <w:t>数量</w:t>
            </w:r>
          </w:p>
          <w:p w:rsidR="00C11223" w:rsidRPr="00D7500B" w:rsidRDefault="00C11223" w:rsidP="005D7324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D7500B">
              <w:rPr>
                <w:rFonts w:hAnsi="宋体" w:hint="eastAsia"/>
                <w:color w:val="000000"/>
                <w:szCs w:val="21"/>
              </w:rPr>
              <w:t>（股</w:t>
            </w:r>
            <w:r w:rsidRPr="00D7500B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40" w:type="pct"/>
            <w:vAlign w:val="center"/>
          </w:tcPr>
          <w:p w:rsidR="00393A4E" w:rsidRDefault="00C11223" w:rsidP="00064DBA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D7500B">
              <w:rPr>
                <w:rFonts w:hAnsi="宋体" w:hint="eastAsia"/>
                <w:color w:val="000000"/>
                <w:szCs w:val="21"/>
              </w:rPr>
              <w:t>获配</w:t>
            </w:r>
            <w:r w:rsidRPr="00D7500B">
              <w:rPr>
                <w:rFonts w:hAnsi="宋体"/>
                <w:color w:val="000000"/>
                <w:szCs w:val="21"/>
              </w:rPr>
              <w:t>金额</w:t>
            </w:r>
          </w:p>
          <w:p w:rsidR="00C11223" w:rsidRPr="00D7500B" w:rsidRDefault="00C11223" w:rsidP="00064DBA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D7500B">
              <w:rPr>
                <w:rFonts w:hAnsi="宋体"/>
                <w:color w:val="000000"/>
                <w:szCs w:val="21"/>
              </w:rPr>
              <w:t>（</w:t>
            </w:r>
            <w:r w:rsidR="00614710">
              <w:rPr>
                <w:rFonts w:hAnsi="宋体" w:hint="eastAsia"/>
                <w:color w:val="000000"/>
                <w:szCs w:val="21"/>
              </w:rPr>
              <w:t>港币</w:t>
            </w:r>
            <w:r w:rsidRPr="00D7500B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589" w:type="pct"/>
            <w:vAlign w:val="center"/>
          </w:tcPr>
          <w:p w:rsidR="00B603A6" w:rsidRDefault="00C11223" w:rsidP="00B23F58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D7500B">
              <w:rPr>
                <w:rFonts w:hAnsi="宋体" w:hint="eastAsia"/>
                <w:color w:val="000000"/>
                <w:szCs w:val="21"/>
              </w:rPr>
              <w:t>限售</w:t>
            </w:r>
          </w:p>
          <w:p w:rsidR="00C11223" w:rsidRPr="00D7500B" w:rsidRDefault="00490888" w:rsidP="00B23F58">
            <w:pPr>
              <w:tabs>
                <w:tab w:val="left" w:pos="10440"/>
              </w:tabs>
              <w:jc w:val="center"/>
              <w:rPr>
                <w:rFonts w:hAnsi="宋体"/>
                <w:color w:val="000000"/>
                <w:szCs w:val="21"/>
              </w:rPr>
            </w:pPr>
            <w:r w:rsidRPr="00D7500B">
              <w:rPr>
                <w:rFonts w:hAnsi="宋体" w:hint="eastAsia"/>
                <w:color w:val="000000"/>
                <w:szCs w:val="21"/>
              </w:rPr>
              <w:t>期限</w:t>
            </w:r>
          </w:p>
        </w:tc>
      </w:tr>
      <w:tr w:rsidR="00643E92" w:rsidRPr="00B17DA6" w:rsidTr="005D7324">
        <w:trPr>
          <w:jc w:val="center"/>
        </w:trPr>
        <w:tc>
          <w:tcPr>
            <w:tcW w:w="2361" w:type="pct"/>
            <w:vAlign w:val="center"/>
          </w:tcPr>
          <w:p w:rsidR="00C11223" w:rsidRPr="00B17DA6" w:rsidRDefault="00CD5AB8" w:rsidP="00FB1579">
            <w:pPr>
              <w:autoSpaceDE w:val="0"/>
              <w:autoSpaceDN w:val="0"/>
              <w:adjustRightInd w:val="0"/>
              <w:spacing w:before="29"/>
              <w:ind w:left="15"/>
              <w:rPr>
                <w:rFonts w:eastAsiaTheme="minorEastAsia"/>
                <w:bCs/>
                <w:szCs w:val="21"/>
              </w:rPr>
            </w:pPr>
            <w:r w:rsidRPr="00CD5AB8">
              <w:rPr>
                <w:rFonts w:eastAsiaTheme="minorEastAsia" w:hint="eastAsia"/>
                <w:color w:val="000000"/>
                <w:szCs w:val="21"/>
              </w:rPr>
              <w:t>华夏全球精选股票型证券投资基金</w:t>
            </w:r>
          </w:p>
        </w:tc>
        <w:tc>
          <w:tcPr>
            <w:tcW w:w="816" w:type="pct"/>
            <w:vAlign w:val="center"/>
          </w:tcPr>
          <w:p w:rsidR="00C11223" w:rsidRPr="00B17DA6" w:rsidRDefault="00CD5AB8" w:rsidP="00934EDE">
            <w:pPr>
              <w:autoSpaceDE w:val="0"/>
              <w:autoSpaceDN w:val="0"/>
              <w:adjustRightInd w:val="0"/>
              <w:spacing w:before="29"/>
              <w:ind w:left="15"/>
              <w:rPr>
                <w:rFonts w:eastAsiaTheme="minorEastAsia"/>
                <w:szCs w:val="21"/>
                <w:lang w:bidi="th-TH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思摩尔国际</w:t>
            </w:r>
          </w:p>
        </w:tc>
        <w:tc>
          <w:tcPr>
            <w:tcW w:w="594" w:type="pct"/>
            <w:vAlign w:val="center"/>
          </w:tcPr>
          <w:p w:rsidR="00C11223" w:rsidRPr="00355BA8" w:rsidRDefault="002E37BE" w:rsidP="00CA2598">
            <w:pPr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szCs w:val="21"/>
              </w:rPr>
            </w:pPr>
            <w:r w:rsidRPr="00355BA8">
              <w:rPr>
                <w:color w:val="000000"/>
                <w:szCs w:val="21"/>
              </w:rPr>
              <w:t>858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000</w:t>
            </w:r>
          </w:p>
        </w:tc>
        <w:tc>
          <w:tcPr>
            <w:tcW w:w="640" w:type="pct"/>
            <w:vAlign w:val="center"/>
          </w:tcPr>
          <w:p w:rsidR="00C11223" w:rsidRPr="00355BA8" w:rsidRDefault="002E37BE" w:rsidP="00355BA8">
            <w:pPr>
              <w:jc w:val="right"/>
              <w:rPr>
                <w:color w:val="000000"/>
                <w:kern w:val="0"/>
                <w:szCs w:val="21"/>
              </w:rPr>
            </w:pPr>
            <w:r w:rsidRPr="00355BA8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639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200</w:t>
            </w:r>
          </w:p>
        </w:tc>
        <w:tc>
          <w:tcPr>
            <w:tcW w:w="589" w:type="pct"/>
            <w:vAlign w:val="center"/>
          </w:tcPr>
          <w:p w:rsidR="00C11223" w:rsidRPr="00D7500B" w:rsidRDefault="002E37BE" w:rsidP="00355BA8">
            <w:pPr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hAnsi="宋体"/>
                <w:szCs w:val="21"/>
                <w:highlight w:val="yellow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无</w:t>
            </w:r>
          </w:p>
        </w:tc>
      </w:tr>
      <w:tr w:rsidR="00643E92" w:rsidRPr="00B17DA6" w:rsidTr="005D7324">
        <w:trPr>
          <w:jc w:val="center"/>
        </w:trPr>
        <w:tc>
          <w:tcPr>
            <w:tcW w:w="2361" w:type="pct"/>
            <w:vAlign w:val="center"/>
          </w:tcPr>
          <w:p w:rsidR="00CD5AB8" w:rsidRPr="00B17DA6" w:rsidRDefault="00CD5AB8" w:rsidP="00CD5AB8">
            <w:pPr>
              <w:autoSpaceDE w:val="0"/>
              <w:autoSpaceDN w:val="0"/>
              <w:adjustRightInd w:val="0"/>
              <w:spacing w:before="29"/>
              <w:ind w:left="15"/>
              <w:rPr>
                <w:rFonts w:eastAsiaTheme="minorEastAsia"/>
                <w:color w:val="000000"/>
                <w:szCs w:val="21"/>
              </w:rPr>
            </w:pPr>
            <w:r w:rsidRPr="00CD5AB8">
              <w:rPr>
                <w:rFonts w:eastAsiaTheme="minorEastAsia" w:hint="eastAsia"/>
                <w:color w:val="000000"/>
                <w:szCs w:val="21"/>
              </w:rPr>
              <w:t>华夏新时代灵活配置混合型证券投资基金（</w:t>
            </w:r>
            <w:r w:rsidRPr="00CD5AB8">
              <w:rPr>
                <w:rFonts w:eastAsiaTheme="minorEastAsia" w:hint="eastAsia"/>
                <w:color w:val="000000"/>
                <w:szCs w:val="21"/>
              </w:rPr>
              <w:t>QDII</w:t>
            </w:r>
            <w:r w:rsidRPr="00CD5AB8">
              <w:rPr>
                <w:rFonts w:eastAsia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816" w:type="pct"/>
            <w:vAlign w:val="center"/>
          </w:tcPr>
          <w:p w:rsidR="00CD5AB8" w:rsidRDefault="00CD5AB8" w:rsidP="00CD5AB8">
            <w:pPr>
              <w:autoSpaceDE w:val="0"/>
              <w:autoSpaceDN w:val="0"/>
              <w:adjustRightInd w:val="0"/>
              <w:spacing w:before="29"/>
              <w:ind w:left="15"/>
              <w:rPr>
                <w:rFonts w:eastAsiaTheme="minorEastAsia"/>
                <w:szCs w:val="21"/>
                <w:lang w:bidi="th-TH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思摩尔国际</w:t>
            </w:r>
          </w:p>
        </w:tc>
        <w:tc>
          <w:tcPr>
            <w:tcW w:w="594" w:type="pct"/>
            <w:vAlign w:val="center"/>
          </w:tcPr>
          <w:p w:rsidR="00CD5AB8" w:rsidRPr="00355BA8" w:rsidRDefault="002E37BE" w:rsidP="00355BA8">
            <w:pPr>
              <w:jc w:val="right"/>
              <w:rPr>
                <w:color w:val="000000"/>
                <w:kern w:val="0"/>
                <w:szCs w:val="21"/>
              </w:rPr>
            </w:pPr>
            <w:r w:rsidRPr="00355BA8">
              <w:rPr>
                <w:color w:val="000000"/>
                <w:szCs w:val="21"/>
              </w:rPr>
              <w:t>171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000</w:t>
            </w:r>
          </w:p>
        </w:tc>
        <w:tc>
          <w:tcPr>
            <w:tcW w:w="640" w:type="pct"/>
            <w:vAlign w:val="center"/>
          </w:tcPr>
          <w:p w:rsidR="00CD5AB8" w:rsidRPr="00355BA8" w:rsidRDefault="002E37BE" w:rsidP="00355BA8">
            <w:pPr>
              <w:jc w:val="right"/>
              <w:rPr>
                <w:color w:val="000000"/>
                <w:kern w:val="0"/>
                <w:szCs w:val="21"/>
              </w:rPr>
            </w:pPr>
            <w:r w:rsidRPr="00355BA8"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120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400</w:t>
            </w:r>
          </w:p>
        </w:tc>
        <w:tc>
          <w:tcPr>
            <w:tcW w:w="589" w:type="pct"/>
            <w:vAlign w:val="center"/>
          </w:tcPr>
          <w:p w:rsidR="00CD5AB8" w:rsidRPr="00C72CBB" w:rsidRDefault="002E37BE" w:rsidP="00355BA8">
            <w:pPr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hAnsi="宋体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无</w:t>
            </w:r>
          </w:p>
        </w:tc>
      </w:tr>
      <w:tr w:rsidR="00643E92" w:rsidRPr="00B17DA6" w:rsidTr="005D7324">
        <w:trPr>
          <w:jc w:val="center"/>
        </w:trPr>
        <w:tc>
          <w:tcPr>
            <w:tcW w:w="2361" w:type="pct"/>
            <w:vAlign w:val="center"/>
          </w:tcPr>
          <w:p w:rsidR="00CD5AB8" w:rsidRPr="00B17DA6" w:rsidRDefault="00CD5AB8" w:rsidP="00CD5AB8">
            <w:pPr>
              <w:autoSpaceDE w:val="0"/>
              <w:autoSpaceDN w:val="0"/>
              <w:adjustRightInd w:val="0"/>
              <w:spacing w:before="29"/>
              <w:ind w:left="15"/>
              <w:rPr>
                <w:rFonts w:eastAsiaTheme="minorEastAsia"/>
                <w:color w:val="000000"/>
                <w:szCs w:val="21"/>
              </w:rPr>
            </w:pPr>
            <w:r w:rsidRPr="00CD5AB8">
              <w:rPr>
                <w:rFonts w:eastAsiaTheme="minorEastAsia" w:hint="eastAsia"/>
                <w:color w:val="000000"/>
                <w:szCs w:val="21"/>
              </w:rPr>
              <w:t>华夏大中华企业精选灵活配置混合型证券投资基金（</w:t>
            </w:r>
            <w:r w:rsidRPr="00CD5AB8">
              <w:rPr>
                <w:rFonts w:eastAsiaTheme="minorEastAsia" w:hint="eastAsia"/>
                <w:color w:val="000000"/>
                <w:szCs w:val="21"/>
              </w:rPr>
              <w:t>QDII</w:t>
            </w:r>
            <w:r w:rsidRPr="00CD5AB8">
              <w:rPr>
                <w:rFonts w:eastAsiaTheme="minorEastAsia" w:hint="eastAsia"/>
                <w:color w:val="000000"/>
                <w:szCs w:val="21"/>
              </w:rPr>
              <w:t>）</w:t>
            </w:r>
          </w:p>
        </w:tc>
        <w:tc>
          <w:tcPr>
            <w:tcW w:w="816" w:type="pct"/>
            <w:vAlign w:val="center"/>
          </w:tcPr>
          <w:p w:rsidR="00CD5AB8" w:rsidRDefault="00CD5AB8" w:rsidP="00CD5AB8">
            <w:pPr>
              <w:autoSpaceDE w:val="0"/>
              <w:autoSpaceDN w:val="0"/>
              <w:adjustRightInd w:val="0"/>
              <w:spacing w:before="29"/>
              <w:ind w:left="15"/>
              <w:rPr>
                <w:rFonts w:eastAsiaTheme="minorEastAsia"/>
                <w:szCs w:val="21"/>
                <w:lang w:bidi="th-TH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思摩尔国际</w:t>
            </w:r>
          </w:p>
        </w:tc>
        <w:tc>
          <w:tcPr>
            <w:tcW w:w="594" w:type="pct"/>
            <w:vAlign w:val="center"/>
          </w:tcPr>
          <w:p w:rsidR="00CD5AB8" w:rsidRPr="00355BA8" w:rsidRDefault="002E37BE" w:rsidP="00355BA8">
            <w:pPr>
              <w:jc w:val="right"/>
              <w:rPr>
                <w:color w:val="000000"/>
                <w:kern w:val="0"/>
                <w:szCs w:val="21"/>
              </w:rPr>
            </w:pPr>
            <w:r w:rsidRPr="00355BA8">
              <w:rPr>
                <w:color w:val="000000"/>
                <w:szCs w:val="21"/>
              </w:rPr>
              <w:t>221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000</w:t>
            </w:r>
          </w:p>
        </w:tc>
        <w:tc>
          <w:tcPr>
            <w:tcW w:w="640" w:type="pct"/>
            <w:vAlign w:val="center"/>
          </w:tcPr>
          <w:p w:rsidR="00CD5AB8" w:rsidRPr="00355BA8" w:rsidRDefault="002E37BE" w:rsidP="00355BA8">
            <w:pPr>
              <w:jc w:val="right"/>
              <w:rPr>
                <w:color w:val="000000"/>
                <w:kern w:val="0"/>
                <w:szCs w:val="21"/>
              </w:rPr>
            </w:pPr>
            <w:r w:rsidRPr="00355BA8"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740</w:t>
            </w:r>
            <w:r>
              <w:rPr>
                <w:color w:val="000000"/>
                <w:szCs w:val="21"/>
              </w:rPr>
              <w:t>,</w:t>
            </w:r>
            <w:r w:rsidRPr="00355BA8">
              <w:rPr>
                <w:color w:val="000000"/>
                <w:szCs w:val="21"/>
              </w:rPr>
              <w:t>400</w:t>
            </w:r>
          </w:p>
        </w:tc>
        <w:tc>
          <w:tcPr>
            <w:tcW w:w="589" w:type="pct"/>
            <w:vAlign w:val="center"/>
          </w:tcPr>
          <w:p w:rsidR="00CD5AB8" w:rsidRPr="00C72CBB" w:rsidRDefault="002E37BE" w:rsidP="00355BA8">
            <w:pPr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hAnsi="宋体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无</w:t>
            </w:r>
          </w:p>
        </w:tc>
      </w:tr>
    </w:tbl>
    <w:bookmarkEnd w:id="1"/>
    <w:bookmarkEnd w:id="2"/>
    <w:p w:rsidR="00624130" w:rsidRDefault="00624130" w:rsidP="00B23706">
      <w:pPr>
        <w:tabs>
          <w:tab w:val="left" w:pos="10440"/>
        </w:tabs>
        <w:spacing w:beforeLines="50" w:line="360" w:lineRule="auto"/>
        <w:ind w:firstLineChars="200" w:firstLine="480"/>
        <w:rPr>
          <w:rFonts w:hAnsi="宋体"/>
          <w:color w:val="000000"/>
          <w:sz w:val="24"/>
        </w:rPr>
      </w:pPr>
      <w:r w:rsidRPr="00BE18ED">
        <w:rPr>
          <w:rFonts w:hAnsi="宋体"/>
          <w:color w:val="000000"/>
          <w:sz w:val="24"/>
        </w:rPr>
        <w:t>特此公告</w:t>
      </w:r>
    </w:p>
    <w:p w:rsidR="001B778A" w:rsidRDefault="001B778A" w:rsidP="00590E64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color w:val="000000"/>
          <w:sz w:val="24"/>
        </w:rPr>
      </w:pPr>
    </w:p>
    <w:p w:rsidR="001B778A" w:rsidRDefault="001B778A" w:rsidP="00590E64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color w:val="000000"/>
          <w:sz w:val="24"/>
        </w:rPr>
      </w:pPr>
    </w:p>
    <w:p w:rsidR="00624130" w:rsidRPr="00BE18ED" w:rsidRDefault="00624130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E18ED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355BA8" w:rsidP="00590E64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hint="eastAsia"/>
          <w:color w:val="000000"/>
          <w:sz w:val="24"/>
        </w:rPr>
        <w:t>二〇</w:t>
      </w:r>
      <w:r w:rsidR="007E7290">
        <w:rPr>
          <w:rFonts w:ascii="宋体" w:hAnsi="宋体" w:hint="eastAsia"/>
          <w:color w:val="000000"/>
          <w:sz w:val="24"/>
        </w:rPr>
        <w:t>二〇</w:t>
      </w:r>
      <w:r w:rsidR="002C2308" w:rsidRPr="00371013">
        <w:rPr>
          <w:rFonts w:ascii="宋体" w:hAnsi="宋体"/>
          <w:color w:val="000000"/>
          <w:sz w:val="24"/>
        </w:rPr>
        <w:t>年</w:t>
      </w:r>
      <w:r w:rsidR="002A5F4C">
        <w:rPr>
          <w:rFonts w:ascii="宋体" w:hAnsi="宋体" w:hint="eastAsia"/>
          <w:color w:val="000000"/>
          <w:sz w:val="24"/>
        </w:rPr>
        <w:t>七</w:t>
      </w:r>
      <w:r w:rsidR="002C2308">
        <w:rPr>
          <w:rFonts w:hAnsi="宋体"/>
          <w:color w:val="000000"/>
          <w:sz w:val="24"/>
        </w:rPr>
        <w:t>月</w:t>
      </w:r>
      <w:r w:rsidR="0084622F">
        <w:rPr>
          <w:rFonts w:hAnsi="宋体" w:hint="eastAsia"/>
          <w:color w:val="000000"/>
          <w:sz w:val="24"/>
        </w:rPr>
        <w:t>九</w:t>
      </w:r>
      <w:r w:rsidR="002C2308" w:rsidRPr="00BE18ED">
        <w:rPr>
          <w:rFonts w:hAnsi="宋体"/>
          <w:color w:val="000000"/>
          <w:sz w:val="24"/>
        </w:rPr>
        <w:t>日</w:t>
      </w:r>
    </w:p>
    <w:sectPr w:rsidR="00624130" w:rsidRPr="00BE18ED" w:rsidSect="001B778A">
      <w:headerReference w:type="default" r:id="rId7"/>
      <w:footerReference w:type="even" r:id="rId8"/>
      <w:pgSz w:w="11906" w:h="16838" w:code="9"/>
      <w:pgMar w:top="1440" w:right="1797" w:bottom="1440" w:left="15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13" w:rsidRDefault="00440A13">
      <w:r>
        <w:separator/>
      </w:r>
    </w:p>
  </w:endnote>
  <w:endnote w:type="continuationSeparator" w:id="0">
    <w:p w:rsidR="00440A13" w:rsidRDefault="0044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9" w:rsidRDefault="008263FC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1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179" w:rsidRDefault="00BF11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13" w:rsidRDefault="00440A13">
      <w:r>
        <w:separator/>
      </w:r>
    </w:p>
  </w:footnote>
  <w:footnote w:type="continuationSeparator" w:id="0">
    <w:p w:rsidR="00440A13" w:rsidRDefault="0044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A2" w:rsidRDefault="008263FC" w:rsidP="001B778A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49" type="#_x0000_t136" style="position:absolute;left:0;text-align:left;margin-left:0;margin-top:0;width:307.5pt;height:67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7-03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3F52"/>
    <w:rsid w:val="00004238"/>
    <w:rsid w:val="00006D0F"/>
    <w:rsid w:val="0001417D"/>
    <w:rsid w:val="0001628D"/>
    <w:rsid w:val="000201D1"/>
    <w:rsid w:val="00025E53"/>
    <w:rsid w:val="000267B3"/>
    <w:rsid w:val="00031833"/>
    <w:rsid w:val="00033ADD"/>
    <w:rsid w:val="000376C5"/>
    <w:rsid w:val="00040722"/>
    <w:rsid w:val="00044E88"/>
    <w:rsid w:val="00047F69"/>
    <w:rsid w:val="00054D55"/>
    <w:rsid w:val="00057B85"/>
    <w:rsid w:val="000617AD"/>
    <w:rsid w:val="00064227"/>
    <w:rsid w:val="00064DBA"/>
    <w:rsid w:val="00067841"/>
    <w:rsid w:val="000709CA"/>
    <w:rsid w:val="00071A19"/>
    <w:rsid w:val="00074A02"/>
    <w:rsid w:val="00075225"/>
    <w:rsid w:val="00084083"/>
    <w:rsid w:val="00086108"/>
    <w:rsid w:val="00092164"/>
    <w:rsid w:val="0009262A"/>
    <w:rsid w:val="00093145"/>
    <w:rsid w:val="00094242"/>
    <w:rsid w:val="00094D02"/>
    <w:rsid w:val="000A6DAC"/>
    <w:rsid w:val="000C06C9"/>
    <w:rsid w:val="000C4A5F"/>
    <w:rsid w:val="000C5FEC"/>
    <w:rsid w:val="000C691A"/>
    <w:rsid w:val="000D2119"/>
    <w:rsid w:val="000D277D"/>
    <w:rsid w:val="000D32CE"/>
    <w:rsid w:val="000D34E3"/>
    <w:rsid w:val="000E5968"/>
    <w:rsid w:val="000F5486"/>
    <w:rsid w:val="0010282D"/>
    <w:rsid w:val="00102D47"/>
    <w:rsid w:val="001104A1"/>
    <w:rsid w:val="00110A7D"/>
    <w:rsid w:val="00111FA6"/>
    <w:rsid w:val="00114EFE"/>
    <w:rsid w:val="00117041"/>
    <w:rsid w:val="001175B1"/>
    <w:rsid w:val="00121CE4"/>
    <w:rsid w:val="00134C50"/>
    <w:rsid w:val="001364E6"/>
    <w:rsid w:val="00140F4F"/>
    <w:rsid w:val="00143FE8"/>
    <w:rsid w:val="00147787"/>
    <w:rsid w:val="001508ED"/>
    <w:rsid w:val="0015246E"/>
    <w:rsid w:val="00154F00"/>
    <w:rsid w:val="00164BD3"/>
    <w:rsid w:val="001669D1"/>
    <w:rsid w:val="00174B79"/>
    <w:rsid w:val="00185D40"/>
    <w:rsid w:val="001863D0"/>
    <w:rsid w:val="00191B6E"/>
    <w:rsid w:val="00194CED"/>
    <w:rsid w:val="00196D26"/>
    <w:rsid w:val="00197CD9"/>
    <w:rsid w:val="001A2404"/>
    <w:rsid w:val="001A33A1"/>
    <w:rsid w:val="001B29F8"/>
    <w:rsid w:val="001B33EC"/>
    <w:rsid w:val="001B37A5"/>
    <w:rsid w:val="001B559F"/>
    <w:rsid w:val="001B778A"/>
    <w:rsid w:val="001C6599"/>
    <w:rsid w:val="001C6889"/>
    <w:rsid w:val="001D0260"/>
    <w:rsid w:val="001D4CDE"/>
    <w:rsid w:val="001D5B75"/>
    <w:rsid w:val="001E35F9"/>
    <w:rsid w:val="001E5C94"/>
    <w:rsid w:val="001F0B96"/>
    <w:rsid w:val="001F7306"/>
    <w:rsid w:val="00200615"/>
    <w:rsid w:val="00203F2A"/>
    <w:rsid w:val="00207552"/>
    <w:rsid w:val="00211973"/>
    <w:rsid w:val="00216F3D"/>
    <w:rsid w:val="002171F8"/>
    <w:rsid w:val="0022391E"/>
    <w:rsid w:val="00223F21"/>
    <w:rsid w:val="00224F6A"/>
    <w:rsid w:val="00226E0E"/>
    <w:rsid w:val="00234948"/>
    <w:rsid w:val="00234EA8"/>
    <w:rsid w:val="00235108"/>
    <w:rsid w:val="00236BBD"/>
    <w:rsid w:val="00242C37"/>
    <w:rsid w:val="002446E2"/>
    <w:rsid w:val="00251D83"/>
    <w:rsid w:val="00253517"/>
    <w:rsid w:val="002547D0"/>
    <w:rsid w:val="002661AF"/>
    <w:rsid w:val="002666A2"/>
    <w:rsid w:val="0026682F"/>
    <w:rsid w:val="00267914"/>
    <w:rsid w:val="00273BE7"/>
    <w:rsid w:val="00276A04"/>
    <w:rsid w:val="00276C5F"/>
    <w:rsid w:val="00277CD2"/>
    <w:rsid w:val="002874BE"/>
    <w:rsid w:val="00287CFF"/>
    <w:rsid w:val="00290A8B"/>
    <w:rsid w:val="002924BC"/>
    <w:rsid w:val="002A0D7B"/>
    <w:rsid w:val="002A144A"/>
    <w:rsid w:val="002A2618"/>
    <w:rsid w:val="002A263F"/>
    <w:rsid w:val="002A3B6A"/>
    <w:rsid w:val="002A5969"/>
    <w:rsid w:val="002A5F4C"/>
    <w:rsid w:val="002A73B1"/>
    <w:rsid w:val="002B56A3"/>
    <w:rsid w:val="002C1D98"/>
    <w:rsid w:val="002C2308"/>
    <w:rsid w:val="002C27F2"/>
    <w:rsid w:val="002C27FF"/>
    <w:rsid w:val="002C4521"/>
    <w:rsid w:val="002C583C"/>
    <w:rsid w:val="002D0270"/>
    <w:rsid w:val="002D0584"/>
    <w:rsid w:val="002E37BE"/>
    <w:rsid w:val="002E67F8"/>
    <w:rsid w:val="002E7E76"/>
    <w:rsid w:val="002F2994"/>
    <w:rsid w:val="002F662D"/>
    <w:rsid w:val="002F7333"/>
    <w:rsid w:val="00303075"/>
    <w:rsid w:val="00304363"/>
    <w:rsid w:val="00311094"/>
    <w:rsid w:val="00314115"/>
    <w:rsid w:val="00317E75"/>
    <w:rsid w:val="00327944"/>
    <w:rsid w:val="003329E5"/>
    <w:rsid w:val="003436F0"/>
    <w:rsid w:val="00352654"/>
    <w:rsid w:val="00352B5D"/>
    <w:rsid w:val="0035417D"/>
    <w:rsid w:val="00355150"/>
    <w:rsid w:val="00355BA8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78F6"/>
    <w:rsid w:val="00381B26"/>
    <w:rsid w:val="00381B67"/>
    <w:rsid w:val="00384A19"/>
    <w:rsid w:val="0038788F"/>
    <w:rsid w:val="00393A4E"/>
    <w:rsid w:val="003A0AC8"/>
    <w:rsid w:val="003A1CA7"/>
    <w:rsid w:val="003A245F"/>
    <w:rsid w:val="003A7326"/>
    <w:rsid w:val="003A7596"/>
    <w:rsid w:val="003B0005"/>
    <w:rsid w:val="003B1C62"/>
    <w:rsid w:val="003B5103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D0D91"/>
    <w:rsid w:val="003D4E89"/>
    <w:rsid w:val="003D6616"/>
    <w:rsid w:val="003D6BBA"/>
    <w:rsid w:val="003E0585"/>
    <w:rsid w:val="003E21F3"/>
    <w:rsid w:val="003E271A"/>
    <w:rsid w:val="003E4033"/>
    <w:rsid w:val="003E4BBA"/>
    <w:rsid w:val="003E5CB0"/>
    <w:rsid w:val="003F4BEA"/>
    <w:rsid w:val="003F69F4"/>
    <w:rsid w:val="0040455D"/>
    <w:rsid w:val="00404A7C"/>
    <w:rsid w:val="004061B5"/>
    <w:rsid w:val="00411EAA"/>
    <w:rsid w:val="00414407"/>
    <w:rsid w:val="004155AF"/>
    <w:rsid w:val="00421E64"/>
    <w:rsid w:val="00423060"/>
    <w:rsid w:val="00424A15"/>
    <w:rsid w:val="00425B0B"/>
    <w:rsid w:val="00426433"/>
    <w:rsid w:val="004313BA"/>
    <w:rsid w:val="00432BAF"/>
    <w:rsid w:val="00435DC8"/>
    <w:rsid w:val="00436B70"/>
    <w:rsid w:val="00436CF1"/>
    <w:rsid w:val="00437757"/>
    <w:rsid w:val="00437B5E"/>
    <w:rsid w:val="00437F51"/>
    <w:rsid w:val="00440A13"/>
    <w:rsid w:val="00446203"/>
    <w:rsid w:val="00451D17"/>
    <w:rsid w:val="00461210"/>
    <w:rsid w:val="00462151"/>
    <w:rsid w:val="00462843"/>
    <w:rsid w:val="00463127"/>
    <w:rsid w:val="0046509D"/>
    <w:rsid w:val="00467E1B"/>
    <w:rsid w:val="004722F3"/>
    <w:rsid w:val="00472B6E"/>
    <w:rsid w:val="00476B59"/>
    <w:rsid w:val="00480E4B"/>
    <w:rsid w:val="004827E9"/>
    <w:rsid w:val="004831EE"/>
    <w:rsid w:val="0048617A"/>
    <w:rsid w:val="0048660A"/>
    <w:rsid w:val="00487DA3"/>
    <w:rsid w:val="00490888"/>
    <w:rsid w:val="00491BB0"/>
    <w:rsid w:val="00491FD9"/>
    <w:rsid w:val="00495FA4"/>
    <w:rsid w:val="004A0400"/>
    <w:rsid w:val="004A17EF"/>
    <w:rsid w:val="004A31D4"/>
    <w:rsid w:val="004A5E3C"/>
    <w:rsid w:val="004B109F"/>
    <w:rsid w:val="004B3D50"/>
    <w:rsid w:val="004B67FC"/>
    <w:rsid w:val="004C62F8"/>
    <w:rsid w:val="004D29FF"/>
    <w:rsid w:val="004D4D07"/>
    <w:rsid w:val="004D55F1"/>
    <w:rsid w:val="004D69D5"/>
    <w:rsid w:val="004D7714"/>
    <w:rsid w:val="004E13F2"/>
    <w:rsid w:val="004E4E21"/>
    <w:rsid w:val="004F0077"/>
    <w:rsid w:val="004F217A"/>
    <w:rsid w:val="004F6EA5"/>
    <w:rsid w:val="004F7597"/>
    <w:rsid w:val="00500892"/>
    <w:rsid w:val="00503077"/>
    <w:rsid w:val="00504847"/>
    <w:rsid w:val="005071DA"/>
    <w:rsid w:val="00510645"/>
    <w:rsid w:val="005117F6"/>
    <w:rsid w:val="00520B19"/>
    <w:rsid w:val="00526D6F"/>
    <w:rsid w:val="00532045"/>
    <w:rsid w:val="00532EED"/>
    <w:rsid w:val="0053655C"/>
    <w:rsid w:val="005435E7"/>
    <w:rsid w:val="005437C6"/>
    <w:rsid w:val="005440EE"/>
    <w:rsid w:val="00544E7F"/>
    <w:rsid w:val="005458A8"/>
    <w:rsid w:val="00545E18"/>
    <w:rsid w:val="005515BC"/>
    <w:rsid w:val="00554EA5"/>
    <w:rsid w:val="005563B4"/>
    <w:rsid w:val="0056236F"/>
    <w:rsid w:val="005716E6"/>
    <w:rsid w:val="005734C5"/>
    <w:rsid w:val="00573F67"/>
    <w:rsid w:val="00575AF9"/>
    <w:rsid w:val="005765F8"/>
    <w:rsid w:val="00580245"/>
    <w:rsid w:val="0058390B"/>
    <w:rsid w:val="0058565F"/>
    <w:rsid w:val="00590E64"/>
    <w:rsid w:val="005A105A"/>
    <w:rsid w:val="005A4092"/>
    <w:rsid w:val="005A70C4"/>
    <w:rsid w:val="005B1608"/>
    <w:rsid w:val="005B461D"/>
    <w:rsid w:val="005B6551"/>
    <w:rsid w:val="005B6CA2"/>
    <w:rsid w:val="005C73A0"/>
    <w:rsid w:val="005D6173"/>
    <w:rsid w:val="005D7324"/>
    <w:rsid w:val="005E2B89"/>
    <w:rsid w:val="005E5C7B"/>
    <w:rsid w:val="005F0C13"/>
    <w:rsid w:val="005F1977"/>
    <w:rsid w:val="005F5E6A"/>
    <w:rsid w:val="005F7148"/>
    <w:rsid w:val="005F7D29"/>
    <w:rsid w:val="006014AA"/>
    <w:rsid w:val="00605CD1"/>
    <w:rsid w:val="00605D21"/>
    <w:rsid w:val="00610B15"/>
    <w:rsid w:val="006132A0"/>
    <w:rsid w:val="00614666"/>
    <w:rsid w:val="00614710"/>
    <w:rsid w:val="00623E56"/>
    <w:rsid w:val="00624130"/>
    <w:rsid w:val="00625621"/>
    <w:rsid w:val="00625DEC"/>
    <w:rsid w:val="00626961"/>
    <w:rsid w:val="00626A05"/>
    <w:rsid w:val="00635805"/>
    <w:rsid w:val="00637106"/>
    <w:rsid w:val="00641AD4"/>
    <w:rsid w:val="00643E92"/>
    <w:rsid w:val="006579D4"/>
    <w:rsid w:val="0067122B"/>
    <w:rsid w:val="00671689"/>
    <w:rsid w:val="0067349A"/>
    <w:rsid w:val="006775DA"/>
    <w:rsid w:val="00681582"/>
    <w:rsid w:val="0068423B"/>
    <w:rsid w:val="00687DE7"/>
    <w:rsid w:val="0069170A"/>
    <w:rsid w:val="00693795"/>
    <w:rsid w:val="00695904"/>
    <w:rsid w:val="006970A7"/>
    <w:rsid w:val="00697FCF"/>
    <w:rsid w:val="006A13B3"/>
    <w:rsid w:val="006A1CD8"/>
    <w:rsid w:val="006A544E"/>
    <w:rsid w:val="006A58F0"/>
    <w:rsid w:val="006C01AF"/>
    <w:rsid w:val="006C3586"/>
    <w:rsid w:val="006C3895"/>
    <w:rsid w:val="006C5FF3"/>
    <w:rsid w:val="006D05C4"/>
    <w:rsid w:val="006D3591"/>
    <w:rsid w:val="006D5A70"/>
    <w:rsid w:val="006D6552"/>
    <w:rsid w:val="006D7AEB"/>
    <w:rsid w:val="006E0997"/>
    <w:rsid w:val="006E20B4"/>
    <w:rsid w:val="006E229E"/>
    <w:rsid w:val="006E4C77"/>
    <w:rsid w:val="00702063"/>
    <w:rsid w:val="0070390B"/>
    <w:rsid w:val="00706B30"/>
    <w:rsid w:val="007111A4"/>
    <w:rsid w:val="00712C4A"/>
    <w:rsid w:val="00713A72"/>
    <w:rsid w:val="00714070"/>
    <w:rsid w:val="007140CF"/>
    <w:rsid w:val="007146CE"/>
    <w:rsid w:val="00714B78"/>
    <w:rsid w:val="0072172E"/>
    <w:rsid w:val="00722D55"/>
    <w:rsid w:val="00724964"/>
    <w:rsid w:val="00727B8D"/>
    <w:rsid w:val="007333A7"/>
    <w:rsid w:val="007342EF"/>
    <w:rsid w:val="00740EC6"/>
    <w:rsid w:val="00747B24"/>
    <w:rsid w:val="007539A4"/>
    <w:rsid w:val="00765DE3"/>
    <w:rsid w:val="00766085"/>
    <w:rsid w:val="00772775"/>
    <w:rsid w:val="007779FC"/>
    <w:rsid w:val="007817D2"/>
    <w:rsid w:val="0078300A"/>
    <w:rsid w:val="0078717C"/>
    <w:rsid w:val="007947B5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D38"/>
    <w:rsid w:val="007B41B5"/>
    <w:rsid w:val="007C034A"/>
    <w:rsid w:val="007C202D"/>
    <w:rsid w:val="007C2CE5"/>
    <w:rsid w:val="007C420F"/>
    <w:rsid w:val="007D3A0C"/>
    <w:rsid w:val="007D6F01"/>
    <w:rsid w:val="007E2598"/>
    <w:rsid w:val="007E2618"/>
    <w:rsid w:val="007E2811"/>
    <w:rsid w:val="007E52A8"/>
    <w:rsid w:val="007E7290"/>
    <w:rsid w:val="007E781F"/>
    <w:rsid w:val="007F19DB"/>
    <w:rsid w:val="007F4920"/>
    <w:rsid w:val="007F7958"/>
    <w:rsid w:val="008140DA"/>
    <w:rsid w:val="00814B2B"/>
    <w:rsid w:val="00817B5F"/>
    <w:rsid w:val="00820664"/>
    <w:rsid w:val="00822CF8"/>
    <w:rsid w:val="008263FC"/>
    <w:rsid w:val="008302D9"/>
    <w:rsid w:val="00833C35"/>
    <w:rsid w:val="00833D73"/>
    <w:rsid w:val="0083451B"/>
    <w:rsid w:val="00834E03"/>
    <w:rsid w:val="00834FED"/>
    <w:rsid w:val="00836EEE"/>
    <w:rsid w:val="00836F09"/>
    <w:rsid w:val="00837BE1"/>
    <w:rsid w:val="00843039"/>
    <w:rsid w:val="008442A5"/>
    <w:rsid w:val="0084622F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D9F"/>
    <w:rsid w:val="008A2541"/>
    <w:rsid w:val="008A3CED"/>
    <w:rsid w:val="008A6C80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04F"/>
    <w:rsid w:val="008C43AE"/>
    <w:rsid w:val="008C5CD2"/>
    <w:rsid w:val="008D51F9"/>
    <w:rsid w:val="008D6023"/>
    <w:rsid w:val="008D7323"/>
    <w:rsid w:val="008F01CF"/>
    <w:rsid w:val="008F6648"/>
    <w:rsid w:val="008F6D42"/>
    <w:rsid w:val="00906A2A"/>
    <w:rsid w:val="00913A0D"/>
    <w:rsid w:val="00915B8F"/>
    <w:rsid w:val="00920C1C"/>
    <w:rsid w:val="0092337E"/>
    <w:rsid w:val="0092506A"/>
    <w:rsid w:val="00931C80"/>
    <w:rsid w:val="00932B68"/>
    <w:rsid w:val="00932BB8"/>
    <w:rsid w:val="00933D4D"/>
    <w:rsid w:val="00934EDE"/>
    <w:rsid w:val="009374AA"/>
    <w:rsid w:val="009403B3"/>
    <w:rsid w:val="009408B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749A"/>
    <w:rsid w:val="00967776"/>
    <w:rsid w:val="009709A6"/>
    <w:rsid w:val="0097151C"/>
    <w:rsid w:val="00974960"/>
    <w:rsid w:val="00977B49"/>
    <w:rsid w:val="00981CD4"/>
    <w:rsid w:val="00981E24"/>
    <w:rsid w:val="00983B17"/>
    <w:rsid w:val="009900CA"/>
    <w:rsid w:val="00991F25"/>
    <w:rsid w:val="009978B5"/>
    <w:rsid w:val="009A30C9"/>
    <w:rsid w:val="009A366E"/>
    <w:rsid w:val="009A4E08"/>
    <w:rsid w:val="009A6B3A"/>
    <w:rsid w:val="009B026F"/>
    <w:rsid w:val="009B1173"/>
    <w:rsid w:val="009B1995"/>
    <w:rsid w:val="009B296B"/>
    <w:rsid w:val="009B5E35"/>
    <w:rsid w:val="009B7565"/>
    <w:rsid w:val="009C127A"/>
    <w:rsid w:val="009C1E6C"/>
    <w:rsid w:val="009C327F"/>
    <w:rsid w:val="009C4990"/>
    <w:rsid w:val="009C4B29"/>
    <w:rsid w:val="009C6E82"/>
    <w:rsid w:val="009D0385"/>
    <w:rsid w:val="009D1F42"/>
    <w:rsid w:val="009D3453"/>
    <w:rsid w:val="009D3EDA"/>
    <w:rsid w:val="009D404A"/>
    <w:rsid w:val="009D4596"/>
    <w:rsid w:val="009D56DE"/>
    <w:rsid w:val="009D7D4F"/>
    <w:rsid w:val="009D7F07"/>
    <w:rsid w:val="009E34BD"/>
    <w:rsid w:val="009F210B"/>
    <w:rsid w:val="009F2653"/>
    <w:rsid w:val="009F4981"/>
    <w:rsid w:val="00A013E6"/>
    <w:rsid w:val="00A03031"/>
    <w:rsid w:val="00A0460D"/>
    <w:rsid w:val="00A11B7D"/>
    <w:rsid w:val="00A144FE"/>
    <w:rsid w:val="00A14C52"/>
    <w:rsid w:val="00A239A8"/>
    <w:rsid w:val="00A245A4"/>
    <w:rsid w:val="00A24E41"/>
    <w:rsid w:val="00A260B3"/>
    <w:rsid w:val="00A27CA6"/>
    <w:rsid w:val="00A37E80"/>
    <w:rsid w:val="00A424E3"/>
    <w:rsid w:val="00A44DAD"/>
    <w:rsid w:val="00A45123"/>
    <w:rsid w:val="00A47DD9"/>
    <w:rsid w:val="00A54FC6"/>
    <w:rsid w:val="00A554A3"/>
    <w:rsid w:val="00A55675"/>
    <w:rsid w:val="00A55AFF"/>
    <w:rsid w:val="00A56DF7"/>
    <w:rsid w:val="00A57BF3"/>
    <w:rsid w:val="00A617E0"/>
    <w:rsid w:val="00A677C6"/>
    <w:rsid w:val="00A770A3"/>
    <w:rsid w:val="00A77972"/>
    <w:rsid w:val="00A86FAE"/>
    <w:rsid w:val="00A92CB1"/>
    <w:rsid w:val="00A977DD"/>
    <w:rsid w:val="00AA0D80"/>
    <w:rsid w:val="00AA18DA"/>
    <w:rsid w:val="00AA441B"/>
    <w:rsid w:val="00AA4BB9"/>
    <w:rsid w:val="00AB0B51"/>
    <w:rsid w:val="00AB391B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149B"/>
    <w:rsid w:val="00AE1F30"/>
    <w:rsid w:val="00AE3313"/>
    <w:rsid w:val="00AE4820"/>
    <w:rsid w:val="00AE66CF"/>
    <w:rsid w:val="00AE7EA8"/>
    <w:rsid w:val="00AF1C2F"/>
    <w:rsid w:val="00AF3E00"/>
    <w:rsid w:val="00AF6B75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14179"/>
    <w:rsid w:val="00B147AB"/>
    <w:rsid w:val="00B17DA6"/>
    <w:rsid w:val="00B23706"/>
    <w:rsid w:val="00B23CB8"/>
    <w:rsid w:val="00B23F58"/>
    <w:rsid w:val="00B3728D"/>
    <w:rsid w:val="00B434E0"/>
    <w:rsid w:val="00B50842"/>
    <w:rsid w:val="00B514EF"/>
    <w:rsid w:val="00B52961"/>
    <w:rsid w:val="00B53331"/>
    <w:rsid w:val="00B603A6"/>
    <w:rsid w:val="00B67897"/>
    <w:rsid w:val="00B67A2F"/>
    <w:rsid w:val="00B7553F"/>
    <w:rsid w:val="00B76EC1"/>
    <w:rsid w:val="00B8003C"/>
    <w:rsid w:val="00B815A9"/>
    <w:rsid w:val="00B818CD"/>
    <w:rsid w:val="00B85E4B"/>
    <w:rsid w:val="00B9418F"/>
    <w:rsid w:val="00B94BF5"/>
    <w:rsid w:val="00B9590C"/>
    <w:rsid w:val="00B959B7"/>
    <w:rsid w:val="00B978E8"/>
    <w:rsid w:val="00BA2133"/>
    <w:rsid w:val="00BA2B6C"/>
    <w:rsid w:val="00BB1BDD"/>
    <w:rsid w:val="00BB49EF"/>
    <w:rsid w:val="00BB59B7"/>
    <w:rsid w:val="00BB7098"/>
    <w:rsid w:val="00BC0AE5"/>
    <w:rsid w:val="00BC23FB"/>
    <w:rsid w:val="00BC5CD7"/>
    <w:rsid w:val="00BC6B8D"/>
    <w:rsid w:val="00BD0E3A"/>
    <w:rsid w:val="00BD158A"/>
    <w:rsid w:val="00BD23F1"/>
    <w:rsid w:val="00BD5F47"/>
    <w:rsid w:val="00BD6A5A"/>
    <w:rsid w:val="00BE0198"/>
    <w:rsid w:val="00BE05FB"/>
    <w:rsid w:val="00BE18ED"/>
    <w:rsid w:val="00BE1A58"/>
    <w:rsid w:val="00BE67EE"/>
    <w:rsid w:val="00BE68ED"/>
    <w:rsid w:val="00BE7D11"/>
    <w:rsid w:val="00BE7EFF"/>
    <w:rsid w:val="00BF0DA4"/>
    <w:rsid w:val="00BF1179"/>
    <w:rsid w:val="00BF28A1"/>
    <w:rsid w:val="00BF5BD2"/>
    <w:rsid w:val="00BF65C9"/>
    <w:rsid w:val="00C03C4A"/>
    <w:rsid w:val="00C03CD0"/>
    <w:rsid w:val="00C10562"/>
    <w:rsid w:val="00C11005"/>
    <w:rsid w:val="00C11223"/>
    <w:rsid w:val="00C11FEA"/>
    <w:rsid w:val="00C167D7"/>
    <w:rsid w:val="00C21230"/>
    <w:rsid w:val="00C2387D"/>
    <w:rsid w:val="00C25377"/>
    <w:rsid w:val="00C25492"/>
    <w:rsid w:val="00C26BA6"/>
    <w:rsid w:val="00C339C4"/>
    <w:rsid w:val="00C443A7"/>
    <w:rsid w:val="00C4491A"/>
    <w:rsid w:val="00C45A19"/>
    <w:rsid w:val="00C51B8E"/>
    <w:rsid w:val="00C55195"/>
    <w:rsid w:val="00C55C3A"/>
    <w:rsid w:val="00C6217C"/>
    <w:rsid w:val="00C656B8"/>
    <w:rsid w:val="00C660AC"/>
    <w:rsid w:val="00C66E9B"/>
    <w:rsid w:val="00C71BA9"/>
    <w:rsid w:val="00C72375"/>
    <w:rsid w:val="00C72CBB"/>
    <w:rsid w:val="00C803B0"/>
    <w:rsid w:val="00C81AC3"/>
    <w:rsid w:val="00C87B12"/>
    <w:rsid w:val="00C9243F"/>
    <w:rsid w:val="00C925B4"/>
    <w:rsid w:val="00C94661"/>
    <w:rsid w:val="00C96A06"/>
    <w:rsid w:val="00CA0106"/>
    <w:rsid w:val="00CA0F9D"/>
    <w:rsid w:val="00CA2598"/>
    <w:rsid w:val="00CA326C"/>
    <w:rsid w:val="00CA3531"/>
    <w:rsid w:val="00CB1A09"/>
    <w:rsid w:val="00CB1D1A"/>
    <w:rsid w:val="00CB35C3"/>
    <w:rsid w:val="00CB3D67"/>
    <w:rsid w:val="00CB48AA"/>
    <w:rsid w:val="00CB63CF"/>
    <w:rsid w:val="00CB6D2E"/>
    <w:rsid w:val="00CC788D"/>
    <w:rsid w:val="00CD0FBE"/>
    <w:rsid w:val="00CD18D2"/>
    <w:rsid w:val="00CD5AB8"/>
    <w:rsid w:val="00CE641F"/>
    <w:rsid w:val="00CE6442"/>
    <w:rsid w:val="00CE64EB"/>
    <w:rsid w:val="00CF2E8E"/>
    <w:rsid w:val="00CF46CF"/>
    <w:rsid w:val="00CF56F0"/>
    <w:rsid w:val="00CF6B80"/>
    <w:rsid w:val="00D01C4A"/>
    <w:rsid w:val="00D0422E"/>
    <w:rsid w:val="00D06010"/>
    <w:rsid w:val="00D07300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09"/>
    <w:rsid w:val="00D5673F"/>
    <w:rsid w:val="00D577C5"/>
    <w:rsid w:val="00D60B6B"/>
    <w:rsid w:val="00D6238C"/>
    <w:rsid w:val="00D63FE9"/>
    <w:rsid w:val="00D70233"/>
    <w:rsid w:val="00D74304"/>
    <w:rsid w:val="00D7500B"/>
    <w:rsid w:val="00D84AA1"/>
    <w:rsid w:val="00D91080"/>
    <w:rsid w:val="00D94D4B"/>
    <w:rsid w:val="00D9555F"/>
    <w:rsid w:val="00DA59E1"/>
    <w:rsid w:val="00DA5C28"/>
    <w:rsid w:val="00DA7C11"/>
    <w:rsid w:val="00DB0CAA"/>
    <w:rsid w:val="00DB7940"/>
    <w:rsid w:val="00DC2AD6"/>
    <w:rsid w:val="00DC6AFA"/>
    <w:rsid w:val="00DD045E"/>
    <w:rsid w:val="00DD36B9"/>
    <w:rsid w:val="00DD747A"/>
    <w:rsid w:val="00DD768D"/>
    <w:rsid w:val="00DE13BB"/>
    <w:rsid w:val="00DE408D"/>
    <w:rsid w:val="00DE43E7"/>
    <w:rsid w:val="00DE5800"/>
    <w:rsid w:val="00DF0232"/>
    <w:rsid w:val="00DF14B1"/>
    <w:rsid w:val="00DF2298"/>
    <w:rsid w:val="00DF29FC"/>
    <w:rsid w:val="00E01E14"/>
    <w:rsid w:val="00E033AC"/>
    <w:rsid w:val="00E06864"/>
    <w:rsid w:val="00E140F6"/>
    <w:rsid w:val="00E17556"/>
    <w:rsid w:val="00E17EEA"/>
    <w:rsid w:val="00E22D9F"/>
    <w:rsid w:val="00E24F74"/>
    <w:rsid w:val="00E254BB"/>
    <w:rsid w:val="00E25F1A"/>
    <w:rsid w:val="00E26E98"/>
    <w:rsid w:val="00E308D1"/>
    <w:rsid w:val="00E32E15"/>
    <w:rsid w:val="00E432E9"/>
    <w:rsid w:val="00E4457B"/>
    <w:rsid w:val="00E5133E"/>
    <w:rsid w:val="00E51434"/>
    <w:rsid w:val="00E51A49"/>
    <w:rsid w:val="00E601C0"/>
    <w:rsid w:val="00E6050E"/>
    <w:rsid w:val="00E61F24"/>
    <w:rsid w:val="00E62749"/>
    <w:rsid w:val="00E703F2"/>
    <w:rsid w:val="00E71492"/>
    <w:rsid w:val="00E718DC"/>
    <w:rsid w:val="00E72564"/>
    <w:rsid w:val="00E746D8"/>
    <w:rsid w:val="00E8181B"/>
    <w:rsid w:val="00E81D0D"/>
    <w:rsid w:val="00E82E2B"/>
    <w:rsid w:val="00E85428"/>
    <w:rsid w:val="00E8794C"/>
    <w:rsid w:val="00E87C7B"/>
    <w:rsid w:val="00E91C14"/>
    <w:rsid w:val="00E95B62"/>
    <w:rsid w:val="00E963A6"/>
    <w:rsid w:val="00E967A8"/>
    <w:rsid w:val="00EB77D4"/>
    <w:rsid w:val="00EC232D"/>
    <w:rsid w:val="00ED1C28"/>
    <w:rsid w:val="00ED2832"/>
    <w:rsid w:val="00ED697D"/>
    <w:rsid w:val="00EE365F"/>
    <w:rsid w:val="00EE6B53"/>
    <w:rsid w:val="00EE6ECE"/>
    <w:rsid w:val="00EF1F00"/>
    <w:rsid w:val="00EF2477"/>
    <w:rsid w:val="00EF404F"/>
    <w:rsid w:val="00F00F7E"/>
    <w:rsid w:val="00F01021"/>
    <w:rsid w:val="00F027FE"/>
    <w:rsid w:val="00F03E8C"/>
    <w:rsid w:val="00F03EEE"/>
    <w:rsid w:val="00F10964"/>
    <w:rsid w:val="00F117C9"/>
    <w:rsid w:val="00F12542"/>
    <w:rsid w:val="00F15BFB"/>
    <w:rsid w:val="00F15D23"/>
    <w:rsid w:val="00F16FCF"/>
    <w:rsid w:val="00F1726D"/>
    <w:rsid w:val="00F17794"/>
    <w:rsid w:val="00F20120"/>
    <w:rsid w:val="00F20EB9"/>
    <w:rsid w:val="00F25314"/>
    <w:rsid w:val="00F25EFA"/>
    <w:rsid w:val="00F3097A"/>
    <w:rsid w:val="00F313B9"/>
    <w:rsid w:val="00F3257C"/>
    <w:rsid w:val="00F34357"/>
    <w:rsid w:val="00F35CB9"/>
    <w:rsid w:val="00F41AC3"/>
    <w:rsid w:val="00F429A2"/>
    <w:rsid w:val="00F45512"/>
    <w:rsid w:val="00F45D1F"/>
    <w:rsid w:val="00F52C02"/>
    <w:rsid w:val="00F54B1C"/>
    <w:rsid w:val="00F54D9C"/>
    <w:rsid w:val="00F55102"/>
    <w:rsid w:val="00F61D70"/>
    <w:rsid w:val="00F61EC4"/>
    <w:rsid w:val="00F6224C"/>
    <w:rsid w:val="00F63AAF"/>
    <w:rsid w:val="00F66F9B"/>
    <w:rsid w:val="00F671E7"/>
    <w:rsid w:val="00F76463"/>
    <w:rsid w:val="00F80BC9"/>
    <w:rsid w:val="00F84CA3"/>
    <w:rsid w:val="00F90A47"/>
    <w:rsid w:val="00F91A6D"/>
    <w:rsid w:val="00F92CA1"/>
    <w:rsid w:val="00F9647C"/>
    <w:rsid w:val="00FA059B"/>
    <w:rsid w:val="00FA2009"/>
    <w:rsid w:val="00FA4B88"/>
    <w:rsid w:val="00FB1579"/>
    <w:rsid w:val="00FB27D3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63A1"/>
    <w:rsid w:val="00FE6967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F61EC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2147-E4D4-4E40-B661-51878F73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CHINAAMC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2020-07-08T16:01:00Z</dcterms:created>
  <dcterms:modified xsi:type="dcterms:W3CDTF">2020-07-08T16:01:00Z</dcterms:modified>
</cp:coreProperties>
</file>