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E5" w:rsidRDefault="009E2AF6">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中金基金管理有限公司关于旗下基金投资关联方承销期内</w:t>
      </w:r>
    </w:p>
    <w:p w:rsidR="00356EE5" w:rsidRDefault="009E2AF6">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承销证券的公告</w:t>
      </w:r>
    </w:p>
    <w:p w:rsidR="00356EE5" w:rsidRDefault="009E2AF6" w:rsidP="00143545">
      <w:pPr>
        <w:spacing w:beforeLines="100" w:afterLines="100"/>
        <w:ind w:firstLineChars="200" w:firstLine="480"/>
        <w:rPr>
          <w:rFonts w:ascii="Times New Roman" w:eastAsia="楷体_GB2312" w:hAnsi="Times New Roman" w:cs="Times New Roman"/>
          <w:sz w:val="24"/>
          <w:szCs w:val="24"/>
          <w:highlight w:val="yellow"/>
        </w:rPr>
      </w:pPr>
      <w:r>
        <w:rPr>
          <w:rFonts w:ascii="Times New Roman" w:eastAsia="楷体_GB2312" w:hAnsi="Times New Roman" w:cs="Times New Roman"/>
          <w:sz w:val="24"/>
          <w:szCs w:val="24"/>
        </w:rPr>
        <w:t>根据《中华人民共和国证券投资基金法》《公开募集证券投资基金运作管理办法》</w:t>
      </w:r>
      <w:r>
        <w:rPr>
          <w:rFonts w:ascii="Times New Roman" w:eastAsia="楷体_GB2312" w:hAnsi="Times New Roman" w:cs="Times New Roman" w:hint="eastAsia"/>
          <w:sz w:val="24"/>
          <w:szCs w:val="24"/>
        </w:rPr>
        <w:t>《公开募集证券投资基金信息披露管理办法》及相关基金</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招募说明书等有关规定，经履行适当审批程序</w:t>
      </w:r>
      <w:r>
        <w:rPr>
          <w:rFonts w:ascii="Times New Roman" w:eastAsia="楷体_GB2312" w:hAnsi="Times New Roman" w:cs="Times New Roman" w:hint="eastAsia"/>
          <w:sz w:val="24"/>
          <w:szCs w:val="24"/>
        </w:rPr>
        <w:t>，中金</w:t>
      </w:r>
      <w:r>
        <w:rPr>
          <w:rFonts w:ascii="Times New Roman" w:eastAsia="楷体_GB2312" w:hAnsi="Times New Roman" w:cs="Times New Roman"/>
          <w:sz w:val="24"/>
          <w:szCs w:val="24"/>
        </w:rPr>
        <w:t>基金管理有限公司</w:t>
      </w:r>
      <w:r>
        <w:rPr>
          <w:rFonts w:ascii="Times New Roman" w:eastAsia="楷体_GB2312" w:hAnsi="Times New Roman" w:cs="Times New Roman" w:hint="eastAsia"/>
          <w:sz w:val="24"/>
          <w:szCs w:val="24"/>
        </w:rPr>
        <w:t>（“本公司”）旗下部分基金</w:t>
      </w:r>
      <w:r>
        <w:rPr>
          <w:rFonts w:ascii="Times New Roman" w:eastAsia="楷体_GB2312" w:hAnsi="Times New Roman" w:cs="Times New Roman"/>
          <w:sz w:val="24"/>
          <w:szCs w:val="24"/>
        </w:rPr>
        <w:t>参与了</w:t>
      </w:r>
      <w:r>
        <w:rPr>
          <w:rFonts w:ascii="Times New Roman" w:eastAsia="楷体_GB2312" w:hAnsi="Times New Roman" w:cs="Times New Roman" w:hint="eastAsia"/>
          <w:sz w:val="24"/>
          <w:szCs w:val="24"/>
        </w:rPr>
        <w:t>埃夫特智能装备股份有限公司</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埃夫特</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）首次公开发行股票并在科创板上市（</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）的网下申购，本公司股东中国国际金融股份有限公司为本次发行的联席主承销商。本次发行价格为</w:t>
      </w:r>
      <w:r>
        <w:rPr>
          <w:rFonts w:ascii="Times New Roman" w:eastAsia="楷体_GB2312" w:hAnsi="Times New Roman" w:cs="Times New Roman"/>
          <w:sz w:val="24"/>
          <w:szCs w:val="24"/>
        </w:rPr>
        <w:t>6.35</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股</w:t>
      </w:r>
      <w:r>
        <w:rPr>
          <w:rFonts w:ascii="Times New Roman" w:eastAsia="楷体_GB2312" w:hAnsi="Times New Roman" w:cs="Times New Roman"/>
          <w:sz w:val="24"/>
          <w:szCs w:val="24"/>
        </w:rPr>
        <w:t>，由发行人和联席主承销商根据初步询价结果，综合考虑发行人基本面、本次公开发行的股份数量、发行人所处行业、可比上市公司估值水平、市场情况、募集资金需求以及承销风险等因素后协商确定。</w:t>
      </w:r>
    </w:p>
    <w:p w:rsidR="00356EE5" w:rsidRDefault="009E2AF6" w:rsidP="00143545">
      <w:pPr>
        <w:spacing w:afterLines="10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根据法律法规</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及</w:t>
      </w:r>
      <w:r>
        <w:rPr>
          <w:rFonts w:ascii="楷体_GB2312" w:eastAsia="楷体_GB2312" w:hAnsi="楷体_GB2312" w:cs="楷体_GB2312"/>
          <w:sz w:val="24"/>
          <w:szCs w:val="24"/>
        </w:rPr>
        <w:t>埃夫特</w:t>
      </w:r>
      <w:r>
        <w:rPr>
          <w:rFonts w:ascii="Times New Roman" w:eastAsia="楷体_GB2312" w:hAnsi="Times New Roman" w:cs="Times New Roman" w:hint="eastAsia"/>
          <w:sz w:val="24"/>
          <w:szCs w:val="24"/>
        </w:rPr>
        <w:t>于</w:t>
      </w:r>
      <w:r>
        <w:rPr>
          <w:rFonts w:ascii="Times New Roman" w:eastAsia="楷体_GB2312" w:hAnsi="Times New Roman" w:cs="Times New Roman" w:hint="eastAsia"/>
          <w:sz w:val="24"/>
          <w:szCs w:val="24"/>
        </w:rPr>
        <w:t>2020</w:t>
      </w:r>
      <w:r>
        <w:rPr>
          <w:rFonts w:ascii="Times New Roman" w:eastAsia="楷体_GB2312" w:hAnsi="Times New Roman" w:cs="Times New Roman" w:hint="eastAsia"/>
          <w:sz w:val="24"/>
          <w:szCs w:val="24"/>
        </w:rPr>
        <w:t>年</w:t>
      </w:r>
      <w:r>
        <w:rPr>
          <w:rFonts w:ascii="Times New Roman" w:eastAsia="楷体_GB2312" w:hAnsi="Times New Roman" w:cs="Times New Roman"/>
          <w:sz w:val="24"/>
          <w:szCs w:val="24"/>
        </w:rPr>
        <w:t>7</w:t>
      </w:r>
      <w:r>
        <w:rPr>
          <w:rFonts w:ascii="Times New Roman" w:eastAsia="楷体_GB2312" w:hAnsi="Times New Roman" w:cs="Times New Roman" w:hint="eastAsia"/>
          <w:sz w:val="24"/>
          <w:szCs w:val="24"/>
        </w:rPr>
        <w:t>月</w:t>
      </w:r>
      <w:r>
        <w:rPr>
          <w:rFonts w:ascii="Times New Roman" w:eastAsia="楷体_GB2312" w:hAnsi="Times New Roman" w:cs="Times New Roman"/>
          <w:sz w:val="24"/>
          <w:szCs w:val="24"/>
        </w:rPr>
        <w:t>7</w:t>
      </w:r>
      <w:r>
        <w:rPr>
          <w:rFonts w:ascii="Times New Roman" w:eastAsia="楷体_GB2312" w:hAnsi="Times New Roman" w:cs="Times New Roman" w:hint="eastAsia"/>
          <w:sz w:val="24"/>
          <w:szCs w:val="24"/>
        </w:rPr>
        <w:t>日</w:t>
      </w:r>
      <w:r>
        <w:rPr>
          <w:rFonts w:ascii="Times New Roman" w:eastAsia="楷体_GB2312" w:hAnsi="Times New Roman" w:cs="Times New Roman"/>
          <w:sz w:val="24"/>
          <w:szCs w:val="24"/>
        </w:rPr>
        <w:t>发布的《</w:t>
      </w:r>
      <w:r>
        <w:rPr>
          <w:rFonts w:ascii="Times New Roman" w:eastAsia="楷体_GB2312" w:hAnsi="Times New Roman" w:cs="Times New Roman" w:hint="eastAsia"/>
          <w:sz w:val="24"/>
          <w:szCs w:val="24"/>
        </w:rPr>
        <w:t>埃夫特智能装备股份有限公司首次公开发行股票并在科创板上市网下初步配售结果及网上中签结果公告</w:t>
      </w:r>
      <w:r>
        <w:rPr>
          <w:rFonts w:ascii="Times New Roman" w:eastAsia="楷体_GB2312" w:hAnsi="Times New Roman" w:cs="Times New Roman"/>
          <w:sz w:val="24"/>
          <w:szCs w:val="24"/>
        </w:rPr>
        <w:t>》，现将</w:t>
      </w:r>
      <w:r>
        <w:rPr>
          <w:rFonts w:ascii="Times New Roman" w:eastAsia="楷体_GB2312" w:hAnsi="Times New Roman" w:cs="Times New Roman" w:hint="eastAsia"/>
          <w:sz w:val="24"/>
          <w:szCs w:val="24"/>
        </w:rPr>
        <w:t>本公司旗下基金</w:t>
      </w:r>
      <w:r>
        <w:rPr>
          <w:rFonts w:ascii="Times New Roman" w:eastAsia="楷体_GB2312" w:hAnsi="Times New Roman" w:cs="Times New Roman"/>
          <w:sz w:val="24"/>
          <w:szCs w:val="24"/>
        </w:rPr>
        <w:t>获配信息公告如下：</w:t>
      </w:r>
    </w:p>
    <w:tbl>
      <w:tblPr>
        <w:tblStyle w:val="a9"/>
        <w:tblW w:w="0" w:type="auto"/>
        <w:jc w:val="center"/>
        <w:tblLook w:val="04A0"/>
      </w:tblPr>
      <w:tblGrid>
        <w:gridCol w:w="5131"/>
        <w:gridCol w:w="948"/>
        <w:gridCol w:w="1311"/>
        <w:gridCol w:w="1132"/>
      </w:tblGrid>
      <w:tr w:rsidR="00356EE5">
        <w:trPr>
          <w:jc w:val="center"/>
        </w:trPr>
        <w:tc>
          <w:tcPr>
            <w:tcW w:w="5131" w:type="dxa"/>
            <w:shd w:val="clear" w:color="auto" w:fill="D9D9D9" w:themeFill="background1" w:themeFillShade="D9"/>
            <w:vAlign w:val="center"/>
          </w:tcPr>
          <w:p w:rsidR="00356EE5" w:rsidRDefault="009E2AF6">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基金名称</w:t>
            </w:r>
          </w:p>
        </w:tc>
        <w:tc>
          <w:tcPr>
            <w:tcW w:w="948" w:type="dxa"/>
            <w:shd w:val="clear" w:color="auto" w:fill="D9D9D9" w:themeFill="background1" w:themeFillShade="D9"/>
            <w:vAlign w:val="center"/>
          </w:tcPr>
          <w:p w:rsidR="00356EE5" w:rsidRDefault="009E2AF6">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获配数量（股）</w:t>
            </w:r>
          </w:p>
        </w:tc>
        <w:tc>
          <w:tcPr>
            <w:tcW w:w="1311" w:type="dxa"/>
            <w:shd w:val="clear" w:color="auto" w:fill="D9D9D9" w:themeFill="background1" w:themeFillShade="D9"/>
            <w:vAlign w:val="center"/>
          </w:tcPr>
          <w:p w:rsidR="00356EE5" w:rsidRDefault="009E2AF6">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获配金额（元，不含佣金）</w:t>
            </w:r>
          </w:p>
        </w:tc>
        <w:tc>
          <w:tcPr>
            <w:tcW w:w="1132" w:type="dxa"/>
            <w:shd w:val="clear" w:color="auto" w:fill="D9D9D9" w:themeFill="background1" w:themeFillShade="D9"/>
          </w:tcPr>
          <w:p w:rsidR="00356EE5" w:rsidRDefault="009E2AF6">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相应新股配售经纪佣金（元）</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中金科创主题</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年封闭运作灵活配置混合型</w:t>
            </w:r>
          </w:p>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28</w:t>
            </w:r>
            <w:r>
              <w:rPr>
                <w:rFonts w:ascii="Times New Roman" w:hAnsi="Times New Roman" w:cs="Times New Roman"/>
              </w:rPr>
              <w:t>,</w:t>
            </w:r>
            <w:r>
              <w:rPr>
                <w:rFonts w:ascii="Times New Roman" w:hAnsi="Times New Roman" w:cs="Times New Roman" w:hint="eastAsia"/>
              </w:rPr>
              <w:t>728</w:t>
            </w:r>
          </w:p>
        </w:tc>
        <w:tc>
          <w:tcPr>
            <w:tcW w:w="1311" w:type="dxa"/>
            <w:vAlign w:val="center"/>
          </w:tcPr>
          <w:p w:rsidR="00356EE5" w:rsidRDefault="009E2AF6">
            <w:pPr>
              <w:jc w:val="center"/>
              <w:rPr>
                <w:rFonts w:ascii="Times New Roman" w:eastAsia="楷体" w:hAnsi="Times New Roman" w:cs="Times New Roman"/>
                <w:color w:val="000000"/>
              </w:rPr>
            </w:pPr>
            <w:r>
              <w:rPr>
                <w:rFonts w:ascii="Times New Roman" w:eastAsia="楷体" w:hAnsi="Times New Roman" w:cs="Times New Roman" w:hint="eastAsia"/>
                <w:color w:val="000000"/>
              </w:rPr>
              <w:t>182,422.80</w:t>
            </w:r>
          </w:p>
        </w:tc>
        <w:tc>
          <w:tcPr>
            <w:tcW w:w="1132" w:type="dxa"/>
            <w:vAlign w:val="center"/>
          </w:tcPr>
          <w:p w:rsidR="00356EE5" w:rsidRDefault="009E2AF6">
            <w:pPr>
              <w:jc w:val="center"/>
              <w:rPr>
                <w:rFonts w:ascii="Times New Roman" w:eastAsia="楷体" w:hAnsi="Times New Roman" w:cs="Times New Roman"/>
                <w:color w:val="000000"/>
              </w:rPr>
            </w:pPr>
            <w:r>
              <w:rPr>
                <w:rFonts w:ascii="Times New Roman" w:eastAsia="楷体" w:hAnsi="Times New Roman" w:cs="Times New Roman" w:hint="eastAsia"/>
                <w:color w:val="000000"/>
              </w:rPr>
              <w:t>912.11</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中金瑞和灵活配置混合型证券投资基金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28,728</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182,422.80</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912.11</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中金金泽量化精选混合型发起式证券投资基金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28,728</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182,422.80</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912.11</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中金量化多策略灵活配置混合型证券投资基金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16,834</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106,895.90</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534.48</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中金消费升级股票型证券投资基金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13,042</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82,816.70</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414.08</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中金中证优选</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指数证券投资基金</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LOF</w:t>
            </w:r>
            <w:r>
              <w:rPr>
                <w:rFonts w:ascii="Times New Roman" w:eastAsia="楷体_GB2312" w:hAnsi="Times New Roman" w:cs="Times New Roman"/>
                <w:sz w:val="24"/>
                <w:szCs w:val="24"/>
              </w:rPr>
              <w:t>）</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11,204</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71,145.40</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355.73</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中金沪深</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指数增强型发起式证券投资基金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9,997</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63,480.95</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317.40</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中金金序量化蓝筹混合型证券投资基金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9,767</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62,020.45</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310.10</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中金瑞祥灵活配置混合型证券投资基金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9,480</w:t>
            </w:r>
          </w:p>
        </w:tc>
        <w:tc>
          <w:tcPr>
            <w:tcW w:w="1311"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60,198.00</w:t>
            </w:r>
          </w:p>
        </w:tc>
        <w:tc>
          <w:tcPr>
            <w:tcW w:w="1132" w:type="dxa"/>
            <w:vAlign w:val="center"/>
          </w:tcPr>
          <w:p w:rsidR="00356EE5" w:rsidRDefault="009E2AF6">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300.99</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指数增强型发起式证券投资基金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9,135</w:t>
            </w:r>
          </w:p>
        </w:tc>
        <w:tc>
          <w:tcPr>
            <w:tcW w:w="1311" w:type="dxa"/>
            <w:vAlign w:val="center"/>
          </w:tcPr>
          <w:p w:rsidR="00356EE5" w:rsidRDefault="009E2AF6">
            <w:pPr>
              <w:jc w:val="center"/>
              <w:rPr>
                <w:rFonts w:ascii="Times New Roman" w:eastAsia="楷体" w:hAnsi="Times New Roman" w:cs="Times New Roman"/>
                <w:color w:val="000000"/>
              </w:rPr>
            </w:pPr>
            <w:r>
              <w:rPr>
                <w:rFonts w:ascii="Times New Roman" w:eastAsia="楷体" w:hAnsi="Times New Roman" w:cs="Times New Roman" w:hint="eastAsia"/>
                <w:color w:val="000000"/>
              </w:rPr>
              <w:t>58,007.25</w:t>
            </w:r>
          </w:p>
        </w:tc>
        <w:tc>
          <w:tcPr>
            <w:tcW w:w="1132" w:type="dxa"/>
            <w:vAlign w:val="center"/>
          </w:tcPr>
          <w:p w:rsidR="00356EE5" w:rsidRDefault="009E2AF6">
            <w:pPr>
              <w:jc w:val="center"/>
              <w:rPr>
                <w:rFonts w:ascii="Times New Roman" w:eastAsia="楷体" w:hAnsi="Times New Roman" w:cs="Times New Roman"/>
                <w:color w:val="000000"/>
              </w:rPr>
            </w:pPr>
            <w:r>
              <w:rPr>
                <w:rFonts w:ascii="Times New Roman" w:eastAsia="楷体" w:hAnsi="Times New Roman" w:cs="Times New Roman" w:hint="eastAsia"/>
                <w:color w:val="000000"/>
              </w:rPr>
              <w:t>290.04</w:t>
            </w:r>
          </w:p>
        </w:tc>
      </w:tr>
      <w:tr w:rsidR="00356EE5">
        <w:trPr>
          <w:jc w:val="center"/>
        </w:trPr>
        <w:tc>
          <w:tcPr>
            <w:tcW w:w="5131" w:type="dxa"/>
            <w:vAlign w:val="center"/>
          </w:tcPr>
          <w:p w:rsidR="00356EE5" w:rsidRDefault="009E2AF6">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中金丰硕混合型证券投资基金</w:t>
            </w:r>
          </w:p>
        </w:tc>
        <w:tc>
          <w:tcPr>
            <w:tcW w:w="948" w:type="dxa"/>
            <w:vAlign w:val="center"/>
          </w:tcPr>
          <w:p w:rsidR="00356EE5" w:rsidRDefault="009E2AF6">
            <w:pPr>
              <w:jc w:val="center"/>
              <w:rPr>
                <w:rFonts w:ascii="Times New Roman" w:hAnsi="Times New Roman" w:cs="Times New Roman"/>
              </w:rPr>
            </w:pPr>
            <w:r>
              <w:rPr>
                <w:rFonts w:ascii="Times New Roman" w:hAnsi="Times New Roman" w:cs="Times New Roman" w:hint="eastAsia"/>
              </w:rPr>
              <w:t>6,894</w:t>
            </w:r>
          </w:p>
        </w:tc>
        <w:tc>
          <w:tcPr>
            <w:tcW w:w="1311" w:type="dxa"/>
            <w:vAlign w:val="center"/>
          </w:tcPr>
          <w:p w:rsidR="00356EE5" w:rsidRDefault="009E2AF6">
            <w:pPr>
              <w:jc w:val="center"/>
              <w:rPr>
                <w:rFonts w:ascii="Times New Roman" w:eastAsia="楷体" w:hAnsi="Times New Roman" w:cs="Times New Roman"/>
                <w:color w:val="000000"/>
              </w:rPr>
            </w:pPr>
            <w:r>
              <w:rPr>
                <w:rFonts w:ascii="Times New Roman" w:eastAsia="楷体" w:hAnsi="Times New Roman" w:cs="Times New Roman" w:hint="eastAsia"/>
                <w:color w:val="000000"/>
              </w:rPr>
              <w:t>43,776.90</w:t>
            </w:r>
          </w:p>
        </w:tc>
        <w:tc>
          <w:tcPr>
            <w:tcW w:w="1132" w:type="dxa"/>
            <w:vAlign w:val="center"/>
          </w:tcPr>
          <w:p w:rsidR="00356EE5" w:rsidRDefault="009E2AF6">
            <w:pPr>
              <w:jc w:val="center"/>
              <w:rPr>
                <w:rFonts w:ascii="Times New Roman" w:eastAsia="楷体" w:hAnsi="Times New Roman" w:cs="Times New Roman"/>
                <w:color w:val="000000"/>
              </w:rPr>
            </w:pPr>
            <w:r>
              <w:rPr>
                <w:rFonts w:ascii="Times New Roman" w:eastAsia="楷体" w:hAnsi="Times New Roman" w:cs="Times New Roman" w:hint="eastAsia"/>
                <w:color w:val="000000"/>
              </w:rPr>
              <w:t>218.88</w:t>
            </w:r>
          </w:p>
        </w:tc>
      </w:tr>
    </w:tbl>
    <w:p w:rsidR="00356EE5" w:rsidRDefault="009E2AF6">
      <w:pPr>
        <w:autoSpaceDE w:val="0"/>
        <w:autoSpaceDN w:val="0"/>
        <w:adjustRightInd w:val="0"/>
        <w:spacing w:before="120" w:line="276" w:lineRule="auto"/>
        <w:ind w:firstLine="420"/>
        <w:jc w:val="left"/>
        <w:rPr>
          <w:rFonts w:ascii="Times New Roman" w:eastAsia="楷体_GB2312" w:hAnsi="Times New Roman" w:cs="Times New Roman"/>
          <w:kern w:val="0"/>
          <w:sz w:val="24"/>
          <w:szCs w:val="24"/>
        </w:rPr>
      </w:pPr>
      <w:r>
        <w:rPr>
          <w:rFonts w:ascii="Times New Roman" w:eastAsia="楷体_GB2312" w:hAnsi="Times New Roman" w:cs="Times New Roman"/>
          <w:kern w:val="0"/>
          <w:szCs w:val="24"/>
        </w:rPr>
        <w:t>注：上述基金新股配售经纪佣金费率为其获配金额的</w:t>
      </w:r>
      <w:r>
        <w:rPr>
          <w:rFonts w:ascii="Times New Roman" w:eastAsia="楷体_GB2312" w:hAnsi="Times New Roman" w:cs="Times New Roman"/>
          <w:kern w:val="0"/>
          <w:szCs w:val="24"/>
        </w:rPr>
        <w:t>0.5%</w:t>
      </w:r>
      <w:r>
        <w:rPr>
          <w:rFonts w:ascii="Times New Roman" w:eastAsia="楷体_GB2312" w:hAnsi="Times New Roman" w:cs="Times New Roman"/>
          <w:kern w:val="0"/>
          <w:szCs w:val="24"/>
        </w:rPr>
        <w:t>。</w:t>
      </w:r>
    </w:p>
    <w:p w:rsidR="00356EE5" w:rsidRDefault="009E2AF6" w:rsidP="00143545">
      <w:pPr>
        <w:autoSpaceDE w:val="0"/>
        <w:autoSpaceDN w:val="0"/>
        <w:adjustRightInd w:val="0"/>
        <w:spacing w:beforeLines="50" w:line="360" w:lineRule="auto"/>
        <w:ind w:firstLineChars="200" w:firstLine="480"/>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特此公告</w:t>
      </w:r>
    </w:p>
    <w:p w:rsidR="00356EE5" w:rsidRDefault="009E2AF6">
      <w:pPr>
        <w:autoSpaceDE w:val="0"/>
        <w:autoSpaceDN w:val="0"/>
        <w:adjustRightInd w:val="0"/>
        <w:spacing w:line="360" w:lineRule="auto"/>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中金基金管理有限公司</w:t>
      </w:r>
    </w:p>
    <w:p w:rsidR="00356EE5" w:rsidRDefault="009E2AF6">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Pr>
          <w:rFonts w:ascii="Times New Roman" w:eastAsia="楷体_GB2312" w:hAnsi="Times New Roman" w:cs="Times New Roman"/>
          <w:kern w:val="0"/>
          <w:sz w:val="24"/>
          <w:szCs w:val="24"/>
        </w:rPr>
        <w:t>7</w:t>
      </w:r>
      <w:r>
        <w:rPr>
          <w:rFonts w:ascii="Times New Roman" w:eastAsia="楷体_GB2312" w:hAnsi="Times New Roman" w:cs="Times New Roman"/>
          <w:kern w:val="0"/>
          <w:sz w:val="24"/>
          <w:szCs w:val="24"/>
        </w:rPr>
        <w:t>月</w:t>
      </w:r>
      <w:r>
        <w:rPr>
          <w:rFonts w:ascii="Times New Roman" w:eastAsia="楷体_GB2312" w:hAnsi="Times New Roman" w:cs="Times New Roman" w:hint="eastAsia"/>
          <w:kern w:val="0"/>
          <w:sz w:val="24"/>
          <w:szCs w:val="24"/>
        </w:rPr>
        <w:t>9</w:t>
      </w:r>
      <w:bookmarkStart w:id="0" w:name="_GoBack"/>
      <w:bookmarkEnd w:id="0"/>
      <w:r>
        <w:rPr>
          <w:rFonts w:ascii="Times New Roman" w:eastAsia="楷体_GB2312" w:hAnsi="Times New Roman" w:cs="Times New Roman"/>
          <w:kern w:val="0"/>
          <w:sz w:val="24"/>
          <w:szCs w:val="24"/>
        </w:rPr>
        <w:t>日</w:t>
      </w:r>
    </w:p>
    <w:sectPr w:rsidR="00356EE5" w:rsidSect="005E66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45" w:rsidRDefault="00143545" w:rsidP="00143545">
      <w:r>
        <w:separator/>
      </w:r>
    </w:p>
  </w:endnote>
  <w:endnote w:type="continuationSeparator" w:id="0">
    <w:p w:rsidR="00143545" w:rsidRDefault="00143545" w:rsidP="0014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45" w:rsidRDefault="00143545" w:rsidP="00143545">
      <w:r>
        <w:separator/>
      </w:r>
    </w:p>
  </w:footnote>
  <w:footnote w:type="continuationSeparator" w:id="0">
    <w:p w:rsidR="00143545" w:rsidRDefault="00143545" w:rsidP="001435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50C25"/>
    <w:rsid w:val="95ABD3B7"/>
    <w:rsid w:val="DFB755DE"/>
    <w:rsid w:val="00002C5D"/>
    <w:rsid w:val="000476E7"/>
    <w:rsid w:val="00052929"/>
    <w:rsid w:val="00097A2E"/>
    <w:rsid w:val="00143545"/>
    <w:rsid w:val="00156FEE"/>
    <w:rsid w:val="00163C7B"/>
    <w:rsid w:val="001643C7"/>
    <w:rsid w:val="00164CA7"/>
    <w:rsid w:val="001729E7"/>
    <w:rsid w:val="001E01E1"/>
    <w:rsid w:val="00211571"/>
    <w:rsid w:val="002E4436"/>
    <w:rsid w:val="002E57C9"/>
    <w:rsid w:val="00336A2F"/>
    <w:rsid w:val="00351B6D"/>
    <w:rsid w:val="00356EE5"/>
    <w:rsid w:val="0037307F"/>
    <w:rsid w:val="003730B8"/>
    <w:rsid w:val="00383D43"/>
    <w:rsid w:val="00387283"/>
    <w:rsid w:val="003B0326"/>
    <w:rsid w:val="003C49CF"/>
    <w:rsid w:val="003D07E5"/>
    <w:rsid w:val="003E2578"/>
    <w:rsid w:val="003E25DA"/>
    <w:rsid w:val="004343C7"/>
    <w:rsid w:val="00454743"/>
    <w:rsid w:val="00495039"/>
    <w:rsid w:val="004B4629"/>
    <w:rsid w:val="0052668A"/>
    <w:rsid w:val="00580073"/>
    <w:rsid w:val="005E6632"/>
    <w:rsid w:val="006A36E9"/>
    <w:rsid w:val="006F0B07"/>
    <w:rsid w:val="00722DD4"/>
    <w:rsid w:val="007D083F"/>
    <w:rsid w:val="007F1F31"/>
    <w:rsid w:val="008320EA"/>
    <w:rsid w:val="00851B64"/>
    <w:rsid w:val="0097486C"/>
    <w:rsid w:val="009D070A"/>
    <w:rsid w:val="009E2AF6"/>
    <w:rsid w:val="009F73EF"/>
    <w:rsid w:val="00A331EB"/>
    <w:rsid w:val="00A6528A"/>
    <w:rsid w:val="00A87330"/>
    <w:rsid w:val="00AC6C51"/>
    <w:rsid w:val="00B50C25"/>
    <w:rsid w:val="00B91A14"/>
    <w:rsid w:val="00B96288"/>
    <w:rsid w:val="00BB5965"/>
    <w:rsid w:val="00BB6854"/>
    <w:rsid w:val="00C10FD9"/>
    <w:rsid w:val="00C47181"/>
    <w:rsid w:val="00CA4101"/>
    <w:rsid w:val="00CB753C"/>
    <w:rsid w:val="00CD0251"/>
    <w:rsid w:val="00D26D4A"/>
    <w:rsid w:val="00D61AF3"/>
    <w:rsid w:val="00DC3E7B"/>
    <w:rsid w:val="00EF1EDA"/>
    <w:rsid w:val="00F72146"/>
    <w:rsid w:val="00F9044B"/>
    <w:rsid w:val="00FF635E"/>
    <w:rsid w:val="0B7F0D7B"/>
    <w:rsid w:val="5FE7FB47"/>
    <w:rsid w:val="67F934C8"/>
    <w:rsid w:val="7FC00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63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E6632"/>
    <w:rPr>
      <w:b/>
      <w:bCs/>
    </w:rPr>
  </w:style>
  <w:style w:type="paragraph" w:styleId="a4">
    <w:name w:val="annotation text"/>
    <w:basedOn w:val="a"/>
    <w:link w:val="Char0"/>
    <w:uiPriority w:val="99"/>
    <w:unhideWhenUsed/>
    <w:qFormat/>
    <w:rsid w:val="005E6632"/>
    <w:pPr>
      <w:jc w:val="left"/>
    </w:pPr>
  </w:style>
  <w:style w:type="paragraph" w:styleId="a5">
    <w:name w:val="Balloon Text"/>
    <w:basedOn w:val="a"/>
    <w:link w:val="Char1"/>
    <w:uiPriority w:val="99"/>
    <w:unhideWhenUsed/>
    <w:qFormat/>
    <w:rsid w:val="005E6632"/>
    <w:rPr>
      <w:sz w:val="18"/>
      <w:szCs w:val="18"/>
    </w:rPr>
  </w:style>
  <w:style w:type="paragraph" w:styleId="a6">
    <w:name w:val="footer"/>
    <w:basedOn w:val="a"/>
    <w:link w:val="Char2"/>
    <w:uiPriority w:val="99"/>
    <w:unhideWhenUsed/>
    <w:qFormat/>
    <w:rsid w:val="005E663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E6632"/>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5E6632"/>
    <w:rPr>
      <w:sz w:val="21"/>
      <w:szCs w:val="21"/>
    </w:rPr>
  </w:style>
  <w:style w:type="table" w:styleId="a9">
    <w:name w:val="Table Grid"/>
    <w:basedOn w:val="a1"/>
    <w:uiPriority w:val="59"/>
    <w:qFormat/>
    <w:rsid w:val="005E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5E6632"/>
    <w:rPr>
      <w:sz w:val="18"/>
      <w:szCs w:val="18"/>
    </w:rPr>
  </w:style>
  <w:style w:type="character" w:customStyle="1" w:styleId="Char3">
    <w:name w:val="页眉 Char"/>
    <w:basedOn w:val="a0"/>
    <w:link w:val="a7"/>
    <w:uiPriority w:val="99"/>
    <w:qFormat/>
    <w:rsid w:val="005E6632"/>
    <w:rPr>
      <w:sz w:val="18"/>
      <w:szCs w:val="18"/>
    </w:rPr>
  </w:style>
  <w:style w:type="character" w:customStyle="1" w:styleId="Char2">
    <w:name w:val="页脚 Char"/>
    <w:basedOn w:val="a0"/>
    <w:link w:val="a6"/>
    <w:uiPriority w:val="99"/>
    <w:qFormat/>
    <w:rsid w:val="005E6632"/>
    <w:rPr>
      <w:sz w:val="18"/>
      <w:szCs w:val="18"/>
    </w:rPr>
  </w:style>
  <w:style w:type="character" w:customStyle="1" w:styleId="Char0">
    <w:name w:val="批注文字 Char"/>
    <w:basedOn w:val="a0"/>
    <w:link w:val="a4"/>
    <w:uiPriority w:val="99"/>
    <w:semiHidden/>
    <w:qFormat/>
    <w:rsid w:val="005E6632"/>
  </w:style>
  <w:style w:type="character" w:customStyle="1" w:styleId="Char">
    <w:name w:val="批注主题 Char"/>
    <w:basedOn w:val="Char0"/>
    <w:link w:val="a3"/>
    <w:uiPriority w:val="99"/>
    <w:semiHidden/>
    <w:qFormat/>
    <w:rsid w:val="005E66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4</DocSecurity>
  <Lines>7</Lines>
  <Paragraphs>2</Paragraphs>
  <ScaleCrop>false</ScaleCrop>
  <Company>HP Inc.</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2020-01-10T01:55:00Z</cp:lastPrinted>
  <dcterms:created xsi:type="dcterms:W3CDTF">2020-07-08T16:02:00Z</dcterms:created>
  <dcterms:modified xsi:type="dcterms:W3CDTF">2020-07-08T16:02:00Z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