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34" w:rsidRDefault="00BE2815" w:rsidP="008E2334">
      <w:pPr>
        <w:spacing w:line="360" w:lineRule="auto"/>
        <w:jc w:val="center"/>
        <w:rPr>
          <w:rFonts w:ascii="微软雅黑" w:eastAsia="微软雅黑" w:hAnsi="微软雅黑"/>
          <w:b/>
          <w:sz w:val="24"/>
          <w:szCs w:val="24"/>
        </w:rPr>
      </w:pPr>
      <w:r w:rsidRPr="006E204B">
        <w:rPr>
          <w:rFonts w:ascii="微软雅黑" w:eastAsia="微软雅黑" w:hAnsi="微软雅黑" w:hint="eastAsia"/>
          <w:b/>
          <w:sz w:val="24"/>
          <w:szCs w:val="24"/>
        </w:rPr>
        <w:t>泰达宏利基金管理有限公司关于参加</w:t>
      </w:r>
      <w:r w:rsidR="008E2334">
        <w:rPr>
          <w:rFonts w:ascii="微软雅黑" w:eastAsia="微软雅黑" w:hAnsi="微软雅黑" w:hint="eastAsia"/>
          <w:b/>
          <w:sz w:val="24"/>
          <w:szCs w:val="24"/>
        </w:rPr>
        <w:t>北京汇成基金销售有限公司</w:t>
      </w:r>
    </w:p>
    <w:p w:rsidR="00BE2815" w:rsidRPr="006E204B" w:rsidRDefault="00BE2815" w:rsidP="008E2334">
      <w:pPr>
        <w:spacing w:line="360" w:lineRule="auto"/>
        <w:jc w:val="center"/>
        <w:rPr>
          <w:rFonts w:ascii="微软雅黑" w:eastAsia="微软雅黑" w:hAnsi="微软雅黑"/>
          <w:b/>
          <w:sz w:val="24"/>
          <w:szCs w:val="24"/>
        </w:rPr>
      </w:pPr>
      <w:r w:rsidRPr="006E204B">
        <w:rPr>
          <w:rFonts w:ascii="微软雅黑" w:eastAsia="微软雅黑" w:hAnsi="微软雅黑" w:hint="eastAsia"/>
          <w:b/>
          <w:sz w:val="24"/>
          <w:szCs w:val="24"/>
        </w:rPr>
        <w:t>费率优惠活动的公告</w:t>
      </w:r>
    </w:p>
    <w:p w:rsidR="00BE2815" w:rsidRPr="00B41E12" w:rsidRDefault="00BE2815" w:rsidP="00360741">
      <w:pPr>
        <w:pStyle w:val="Default"/>
        <w:spacing w:beforeLines="50" w:line="360" w:lineRule="auto"/>
        <w:ind w:firstLineChars="200" w:firstLine="420"/>
        <w:jc w:val="both"/>
        <w:rPr>
          <w:rFonts w:hAnsi="宋体"/>
          <w:sz w:val="21"/>
          <w:szCs w:val="21"/>
        </w:rPr>
      </w:pPr>
      <w:r w:rsidRPr="007126E7">
        <w:rPr>
          <w:rFonts w:hAnsi="宋体" w:hint="eastAsia"/>
          <w:sz w:val="21"/>
          <w:szCs w:val="21"/>
        </w:rPr>
        <w:t>为满足广大投资者的理财需求，经与</w:t>
      </w:r>
      <w:r w:rsidR="008E2334" w:rsidRPr="008E2334">
        <w:rPr>
          <w:rFonts w:hAnsi="宋体" w:hint="eastAsia"/>
          <w:sz w:val="21"/>
          <w:szCs w:val="21"/>
        </w:rPr>
        <w:t>北京汇成基金销售有限公司</w:t>
      </w:r>
      <w:r w:rsidRPr="006E204B">
        <w:rPr>
          <w:rFonts w:hAnsi="宋体" w:hint="eastAsia"/>
          <w:sz w:val="21"/>
          <w:szCs w:val="21"/>
        </w:rPr>
        <w:t>（以下简称</w:t>
      </w:r>
      <w:r w:rsidR="008E2334">
        <w:rPr>
          <w:rFonts w:hAnsi="宋体" w:hint="eastAsia"/>
          <w:sz w:val="21"/>
          <w:szCs w:val="21"/>
        </w:rPr>
        <w:t xml:space="preserve"> </w:t>
      </w:r>
      <w:r w:rsidRPr="006E204B">
        <w:rPr>
          <w:rFonts w:hAnsi="宋体" w:hint="eastAsia"/>
          <w:sz w:val="21"/>
          <w:szCs w:val="21"/>
        </w:rPr>
        <w:t>“</w:t>
      </w:r>
      <w:r w:rsidR="008E2334" w:rsidRPr="008E2334">
        <w:rPr>
          <w:rFonts w:hAnsi="宋体" w:hint="eastAsia"/>
          <w:sz w:val="21"/>
          <w:szCs w:val="21"/>
        </w:rPr>
        <w:t>汇成基金</w:t>
      </w:r>
      <w:r w:rsidRPr="006E204B">
        <w:rPr>
          <w:rFonts w:hAnsi="宋体" w:hint="eastAsia"/>
          <w:sz w:val="21"/>
          <w:szCs w:val="21"/>
        </w:rPr>
        <w:t>”）</w:t>
      </w:r>
      <w:r>
        <w:rPr>
          <w:rFonts w:hAnsi="宋体" w:hint="eastAsia"/>
          <w:sz w:val="21"/>
          <w:szCs w:val="21"/>
        </w:rPr>
        <w:t>协商</w:t>
      </w:r>
      <w:r w:rsidRPr="007126E7">
        <w:rPr>
          <w:rFonts w:hAnsi="宋体" w:hint="eastAsia"/>
          <w:sz w:val="21"/>
          <w:szCs w:val="21"/>
        </w:rPr>
        <w:t>一致，泰达宏利基金管理有限公司（以下简称“本公司”）决定自20</w:t>
      </w:r>
      <w:r w:rsidR="001C1CDD">
        <w:rPr>
          <w:rFonts w:hAnsi="宋体" w:hint="eastAsia"/>
          <w:sz w:val="21"/>
          <w:szCs w:val="21"/>
        </w:rPr>
        <w:t>20</w:t>
      </w:r>
      <w:r w:rsidRPr="007126E7">
        <w:rPr>
          <w:rFonts w:hAnsi="宋体" w:hint="eastAsia"/>
          <w:sz w:val="21"/>
          <w:szCs w:val="21"/>
        </w:rPr>
        <w:t>年</w:t>
      </w:r>
      <w:r w:rsidR="001C1CDD">
        <w:rPr>
          <w:rFonts w:hAnsi="宋体" w:hint="eastAsia"/>
          <w:sz w:val="21"/>
          <w:szCs w:val="21"/>
        </w:rPr>
        <w:t>7</w:t>
      </w:r>
      <w:r w:rsidRPr="007126E7">
        <w:rPr>
          <w:rFonts w:hAnsi="宋体" w:hint="eastAsia"/>
          <w:sz w:val="21"/>
          <w:szCs w:val="21"/>
        </w:rPr>
        <w:t>月</w:t>
      </w:r>
      <w:r w:rsidR="008D2CF4">
        <w:rPr>
          <w:rFonts w:hAnsi="宋体" w:hint="eastAsia"/>
          <w:sz w:val="21"/>
          <w:szCs w:val="21"/>
        </w:rPr>
        <w:t>8</w:t>
      </w:r>
      <w:r w:rsidRPr="007126E7">
        <w:rPr>
          <w:rFonts w:hAnsi="宋体" w:hint="eastAsia"/>
          <w:sz w:val="21"/>
          <w:szCs w:val="21"/>
        </w:rPr>
        <w:t>日起，</w:t>
      </w:r>
      <w:r>
        <w:rPr>
          <w:rFonts w:hAnsi="宋体" w:hint="eastAsia"/>
          <w:sz w:val="21"/>
          <w:szCs w:val="21"/>
        </w:rPr>
        <w:t>旗下部分基金</w:t>
      </w:r>
      <w:r w:rsidRPr="007126E7">
        <w:rPr>
          <w:rFonts w:hAnsi="宋体" w:hint="eastAsia"/>
          <w:sz w:val="21"/>
          <w:szCs w:val="21"/>
        </w:rPr>
        <w:t>参加</w:t>
      </w:r>
      <w:r w:rsidR="0025433E">
        <w:rPr>
          <w:rFonts w:hAnsi="宋体" w:hint="eastAsia"/>
          <w:sz w:val="21"/>
          <w:szCs w:val="21"/>
        </w:rPr>
        <w:t>汇成</w:t>
      </w:r>
      <w:r>
        <w:rPr>
          <w:rFonts w:hAnsi="宋体" w:hint="eastAsia"/>
          <w:sz w:val="21"/>
          <w:szCs w:val="21"/>
        </w:rPr>
        <w:t>基金</w:t>
      </w:r>
      <w:r w:rsidRPr="007126E7">
        <w:rPr>
          <w:rFonts w:hAnsi="宋体" w:hint="eastAsia"/>
          <w:sz w:val="21"/>
          <w:szCs w:val="21"/>
        </w:rPr>
        <w:t>费率优惠活动。</w:t>
      </w:r>
    </w:p>
    <w:p w:rsidR="00BE2815" w:rsidRDefault="00BE2815" w:rsidP="00360741">
      <w:pPr>
        <w:pStyle w:val="a6"/>
        <w:numPr>
          <w:ilvl w:val="0"/>
          <w:numId w:val="1"/>
        </w:numPr>
        <w:spacing w:beforeLines="50" w:line="360" w:lineRule="auto"/>
        <w:ind w:firstLineChars="0"/>
        <w:rPr>
          <w:rFonts w:ascii="宋体" w:hAnsi="宋体"/>
          <w:szCs w:val="21"/>
        </w:rPr>
      </w:pPr>
      <w:r w:rsidRPr="00337A9E">
        <w:rPr>
          <w:rFonts w:ascii="宋体" w:hAnsi="宋体" w:hint="eastAsia"/>
          <w:szCs w:val="21"/>
        </w:rPr>
        <w:t>费率优惠适用范围</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5953"/>
        <w:gridCol w:w="1560"/>
      </w:tblGrid>
      <w:tr w:rsidR="001A33EF" w:rsidRPr="00A24E7B"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EF" w:rsidRPr="00A24E7B" w:rsidRDefault="001A33EF" w:rsidP="00A31274">
            <w:pPr>
              <w:widowControl/>
              <w:jc w:val="center"/>
              <w:rPr>
                <w:rFonts w:ascii="宋体" w:hAnsi="宋体"/>
                <w:kern w:val="0"/>
                <w:szCs w:val="21"/>
              </w:rPr>
            </w:pPr>
            <w:r w:rsidRPr="00A24E7B">
              <w:rPr>
                <w:rFonts w:ascii="宋体" w:hAnsi="宋体" w:hint="eastAsia"/>
                <w:kern w:val="0"/>
                <w:szCs w:val="21"/>
              </w:rPr>
              <w:t>序号</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基金名称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基金代码</w:t>
            </w:r>
          </w:p>
        </w:tc>
      </w:tr>
      <w:tr w:rsidR="001A33EF" w:rsidRPr="00A24E7B" w:rsidTr="00A31274">
        <w:trPr>
          <w:trHeight w:val="300"/>
        </w:trPr>
        <w:tc>
          <w:tcPr>
            <w:tcW w:w="866" w:type="dxa"/>
            <w:tcBorders>
              <w:top w:val="single" w:sz="4" w:space="0" w:color="auto"/>
              <w:left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泰达宏利淘利债券型证券投资基金A类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kern w:val="0"/>
                <w:szCs w:val="21"/>
              </w:rPr>
              <w:t>000319</w:t>
            </w:r>
          </w:p>
        </w:tc>
      </w:tr>
      <w:tr w:rsidR="001A33EF" w:rsidRPr="00A24E7B" w:rsidTr="00A31274">
        <w:trPr>
          <w:trHeight w:val="300"/>
        </w:trPr>
        <w:tc>
          <w:tcPr>
            <w:tcW w:w="866" w:type="dxa"/>
            <w:tcBorders>
              <w:top w:val="single" w:sz="4" w:space="0" w:color="auto"/>
              <w:left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泰达宏利宏达混合型证券投资基金A类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kern w:val="0"/>
                <w:szCs w:val="21"/>
              </w:rPr>
              <w:t>000507</w:t>
            </w:r>
          </w:p>
        </w:tc>
      </w:tr>
      <w:tr w:rsidR="001A33EF" w:rsidRPr="00A24E7B"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kern w:val="0"/>
                <w:szCs w:val="21"/>
              </w:rPr>
              <w:t>泰达宏利</w:t>
            </w:r>
            <w:r w:rsidRPr="00A24E7B">
              <w:rPr>
                <w:rFonts w:ascii="宋体" w:hAnsi="宋体" w:cs="宋体" w:hint="eastAsia"/>
                <w:kern w:val="0"/>
                <w:szCs w:val="21"/>
              </w:rPr>
              <w:t>转型机遇股票型</w:t>
            </w:r>
            <w:r w:rsidRPr="00A24E7B">
              <w:rPr>
                <w:rFonts w:ascii="宋体" w:hAnsi="宋体" w:cs="宋体"/>
                <w:kern w:val="0"/>
                <w:szCs w:val="21"/>
              </w:rPr>
              <w:t>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000828</w:t>
            </w:r>
          </w:p>
        </w:tc>
      </w:tr>
      <w:tr w:rsidR="001A33EF" w:rsidRPr="00A24E7B" w:rsidTr="00A31274">
        <w:trPr>
          <w:trHeight w:val="300"/>
        </w:trPr>
        <w:tc>
          <w:tcPr>
            <w:tcW w:w="866" w:type="dxa"/>
            <w:tcBorders>
              <w:top w:val="single" w:sz="4" w:space="0" w:color="auto"/>
              <w:left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泰达宏利改革动力量化策略灵活配置混合型证券投资基金A类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001017</w:t>
            </w:r>
          </w:p>
        </w:tc>
      </w:tr>
      <w:tr w:rsidR="001A33EF" w:rsidRPr="00A24E7B" w:rsidTr="00A31274">
        <w:trPr>
          <w:trHeight w:val="300"/>
        </w:trPr>
        <w:tc>
          <w:tcPr>
            <w:tcW w:w="866" w:type="dxa"/>
            <w:tcBorders>
              <w:top w:val="single" w:sz="4" w:space="0" w:color="auto"/>
              <w:left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泰达宏利创盈灵活配置混合型证券投资基金A类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001141</w:t>
            </w:r>
          </w:p>
        </w:tc>
      </w:tr>
      <w:tr w:rsidR="001A33EF" w:rsidRPr="00A24E7B"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泰达宏利复兴伟业灵活配置混合型证券投资基金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001170</w:t>
            </w:r>
          </w:p>
        </w:tc>
      </w:tr>
      <w:tr w:rsidR="001A33EF" w:rsidRPr="00A24E7B" w:rsidTr="00A31274">
        <w:trPr>
          <w:trHeight w:val="300"/>
        </w:trPr>
        <w:tc>
          <w:tcPr>
            <w:tcW w:w="866" w:type="dxa"/>
            <w:tcBorders>
              <w:top w:val="single" w:sz="4" w:space="0" w:color="auto"/>
              <w:left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泰达宏利新起点灵活配置混合型证券投资基金A类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001254</w:t>
            </w:r>
          </w:p>
        </w:tc>
      </w:tr>
      <w:tr w:rsidR="001A33EF" w:rsidRPr="00A24E7B"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泰达宏利蓝筹价值混合型证券投资基金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001267</w:t>
            </w:r>
          </w:p>
        </w:tc>
      </w:tr>
      <w:tr w:rsidR="001A33EF" w:rsidRPr="00A24E7B" w:rsidTr="00A31274">
        <w:trPr>
          <w:trHeight w:val="300"/>
        </w:trPr>
        <w:tc>
          <w:tcPr>
            <w:tcW w:w="866" w:type="dxa"/>
            <w:tcBorders>
              <w:top w:val="single" w:sz="4" w:space="0" w:color="auto"/>
              <w:left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泰达宏利创益灵活配置混合型证券投资基金A类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001418</w:t>
            </w:r>
          </w:p>
        </w:tc>
      </w:tr>
      <w:tr w:rsidR="001A33EF" w:rsidRPr="00A24E7B" w:rsidTr="00A31274">
        <w:trPr>
          <w:trHeight w:val="300"/>
        </w:trPr>
        <w:tc>
          <w:tcPr>
            <w:tcW w:w="866" w:type="dxa"/>
            <w:tcBorders>
              <w:top w:val="single" w:sz="4" w:space="0" w:color="auto"/>
              <w:left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泰达宏利新思路灵活配置混合型证券投资基金A类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001419</w:t>
            </w:r>
          </w:p>
        </w:tc>
      </w:tr>
      <w:tr w:rsidR="001A33EF" w:rsidRPr="00A24E7B" w:rsidTr="00A31274">
        <w:trPr>
          <w:trHeight w:val="300"/>
        </w:trPr>
        <w:tc>
          <w:tcPr>
            <w:tcW w:w="866" w:type="dxa"/>
            <w:tcBorders>
              <w:left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泰达宏利量化增强股票型证券投资基金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001733</w:t>
            </w:r>
          </w:p>
        </w:tc>
      </w:tr>
      <w:tr w:rsidR="001A33EF" w:rsidRPr="00A24E7B" w:rsidTr="00A31274">
        <w:trPr>
          <w:trHeight w:val="300"/>
        </w:trPr>
        <w:tc>
          <w:tcPr>
            <w:tcW w:w="866" w:type="dxa"/>
            <w:tcBorders>
              <w:top w:val="single" w:sz="4" w:space="0" w:color="auto"/>
              <w:left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泰达宏利同顺大数据量化优选灵活配置混合型证券投资基金</w:t>
            </w:r>
          </w:p>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kern w:val="0"/>
                <w:szCs w:val="21"/>
              </w:rPr>
              <w:t>002263</w:t>
            </w:r>
          </w:p>
        </w:tc>
      </w:tr>
      <w:tr w:rsidR="001A33EF" w:rsidRPr="00A24E7B" w:rsidTr="00A31274">
        <w:trPr>
          <w:trHeight w:val="300"/>
        </w:trPr>
        <w:tc>
          <w:tcPr>
            <w:tcW w:w="866" w:type="dxa"/>
            <w:tcBorders>
              <w:left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泰达宏利定宏混合型证券投资基金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003104</w:t>
            </w:r>
          </w:p>
        </w:tc>
      </w:tr>
      <w:tr w:rsidR="001A33EF" w:rsidRPr="00294D28" w:rsidTr="00A31274">
        <w:trPr>
          <w:trHeight w:val="300"/>
        </w:trPr>
        <w:tc>
          <w:tcPr>
            <w:tcW w:w="866" w:type="dxa"/>
            <w:tcBorders>
              <w:left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294D28" w:rsidRDefault="001A33EF" w:rsidP="00A31274">
            <w:pPr>
              <w:jc w:val="center"/>
              <w:rPr>
                <w:rFonts w:ascii="宋体" w:hAnsi="宋体" w:cs="宋体"/>
                <w:color w:val="000000"/>
                <w:sz w:val="22"/>
              </w:rPr>
            </w:pPr>
            <w:r>
              <w:rPr>
                <w:rFonts w:hint="eastAsia"/>
                <w:color w:val="000000"/>
                <w:sz w:val="22"/>
              </w:rPr>
              <w:t>泰达宏利睿智稳健灵活配置混合型证券投资基金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294D28" w:rsidRDefault="001A33EF" w:rsidP="00A31274">
            <w:pPr>
              <w:widowControl/>
              <w:jc w:val="center"/>
              <w:rPr>
                <w:rFonts w:ascii="宋体" w:hAnsi="宋体"/>
                <w:kern w:val="0"/>
                <w:szCs w:val="21"/>
              </w:rPr>
            </w:pPr>
            <w:r>
              <w:rPr>
                <w:rFonts w:ascii="宋体" w:hAnsi="宋体" w:hint="eastAsia"/>
                <w:kern w:val="0"/>
                <w:szCs w:val="21"/>
              </w:rPr>
              <w:t>003501</w:t>
            </w:r>
          </w:p>
        </w:tc>
      </w:tr>
      <w:tr w:rsidR="001A33EF" w:rsidRPr="00A24E7B" w:rsidTr="00A31274">
        <w:trPr>
          <w:trHeight w:val="300"/>
        </w:trPr>
        <w:tc>
          <w:tcPr>
            <w:tcW w:w="866" w:type="dxa"/>
            <w:tcBorders>
              <w:left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294D28">
              <w:rPr>
                <w:rFonts w:ascii="宋体" w:hAnsi="宋体" w:cs="宋体" w:hint="eastAsia"/>
                <w:kern w:val="0"/>
                <w:szCs w:val="21"/>
              </w:rPr>
              <w:t>泰达宏利睿选稳健灵活配置混合型证券投资基金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kern w:val="0"/>
                <w:szCs w:val="21"/>
              </w:rPr>
            </w:pPr>
            <w:r>
              <w:rPr>
                <w:rFonts w:ascii="宋体" w:hAnsi="宋体" w:hint="eastAsia"/>
                <w:kern w:val="0"/>
                <w:szCs w:val="21"/>
              </w:rPr>
              <w:t>004000</w:t>
            </w:r>
          </w:p>
        </w:tc>
      </w:tr>
      <w:tr w:rsidR="001A33EF" w:rsidRPr="00A24E7B" w:rsidTr="00A31274">
        <w:trPr>
          <w:trHeight w:val="300"/>
        </w:trPr>
        <w:tc>
          <w:tcPr>
            <w:tcW w:w="866" w:type="dxa"/>
            <w:tcBorders>
              <w:left w:val="single" w:sz="4" w:space="0" w:color="auto"/>
              <w:right w:val="single" w:sz="4" w:space="0" w:color="auto"/>
            </w:tcBorders>
            <w:shd w:val="clear" w:color="auto" w:fill="auto"/>
            <w:noWrap/>
            <w:vAlign w:val="center"/>
          </w:tcPr>
          <w:p w:rsidR="001A33EF" w:rsidRPr="00A24E7B" w:rsidRDefault="001A33EF" w:rsidP="001A33EF">
            <w:pPr>
              <w:widowControl/>
              <w:numPr>
                <w:ilvl w:val="0"/>
                <w:numId w:val="2"/>
              </w:numPr>
              <w:jc w:val="right"/>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泰达宏利全能优选证券投资基金（FOF）A类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A33EF" w:rsidRPr="00A24E7B" w:rsidRDefault="001A33EF" w:rsidP="00A31274">
            <w:pPr>
              <w:widowControl/>
              <w:jc w:val="center"/>
              <w:rPr>
                <w:rFonts w:ascii="宋体" w:hAnsi="宋体"/>
                <w:kern w:val="0"/>
                <w:szCs w:val="21"/>
              </w:rPr>
            </w:pPr>
            <w:r w:rsidRPr="00A24E7B">
              <w:rPr>
                <w:rFonts w:ascii="宋体" w:hAnsi="宋体" w:hint="eastAsia"/>
                <w:kern w:val="0"/>
                <w:szCs w:val="21"/>
              </w:rPr>
              <w:t>005221</w:t>
            </w:r>
          </w:p>
        </w:tc>
      </w:tr>
      <w:tr w:rsidR="001A33EF" w:rsidRPr="00A24E7B"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泰达宏利价值优化型成长类行业混合型证券投资基金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kern w:val="0"/>
                <w:szCs w:val="21"/>
              </w:rPr>
              <w:t>162201</w:t>
            </w:r>
          </w:p>
        </w:tc>
      </w:tr>
      <w:tr w:rsidR="001A33EF" w:rsidRPr="00A24E7B"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泰达宏利价值优化型周期类行业混合型证券投资基金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kern w:val="0"/>
                <w:szCs w:val="21"/>
              </w:rPr>
              <w:t>162202</w:t>
            </w:r>
          </w:p>
        </w:tc>
      </w:tr>
      <w:tr w:rsidR="001A33EF" w:rsidRPr="00A24E7B"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泰达宏利价值优化型稳定类行业混合型证券投资基金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kern w:val="0"/>
                <w:szCs w:val="21"/>
              </w:rPr>
              <w:t>162203</w:t>
            </w:r>
          </w:p>
        </w:tc>
      </w:tr>
      <w:tr w:rsidR="001A33EF" w:rsidRPr="00A24E7B"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泰达宏利行业精选混合型证券投资基金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kern w:val="0"/>
                <w:szCs w:val="21"/>
              </w:rPr>
              <w:t>162204</w:t>
            </w:r>
          </w:p>
        </w:tc>
      </w:tr>
      <w:tr w:rsidR="001A33EF" w:rsidRPr="00A24E7B"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泰达宏利风险预算混合型证券投资基金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kern w:val="0"/>
                <w:szCs w:val="21"/>
              </w:rPr>
              <w:t>162205</w:t>
            </w:r>
          </w:p>
        </w:tc>
      </w:tr>
      <w:tr w:rsidR="001A33EF" w:rsidRPr="00A24E7B"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泰达宏利效率优选混合型证券投资基金（LOF）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kern w:val="0"/>
                <w:szCs w:val="21"/>
              </w:rPr>
              <w:t>162207</w:t>
            </w:r>
          </w:p>
        </w:tc>
      </w:tr>
      <w:tr w:rsidR="001A33EF" w:rsidRPr="00A24E7B"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泰达宏利首选企业股票型证券投资基金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kern w:val="0"/>
                <w:szCs w:val="21"/>
              </w:rPr>
              <w:t>162208</w:t>
            </w:r>
          </w:p>
        </w:tc>
      </w:tr>
      <w:tr w:rsidR="001A33EF" w:rsidRPr="00A24E7B"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泰达宏利市值优选混合型证券投资基金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kern w:val="0"/>
                <w:szCs w:val="21"/>
              </w:rPr>
              <w:t>162209</w:t>
            </w:r>
          </w:p>
        </w:tc>
      </w:tr>
      <w:tr w:rsidR="001A33EF" w:rsidRPr="00A24E7B" w:rsidTr="00A31274">
        <w:trPr>
          <w:trHeight w:val="300"/>
        </w:trPr>
        <w:tc>
          <w:tcPr>
            <w:tcW w:w="866" w:type="dxa"/>
            <w:tcBorders>
              <w:top w:val="single" w:sz="4" w:space="0" w:color="auto"/>
              <w:left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泰达宏利集利债券型证券投资基金</w:t>
            </w:r>
            <w:r w:rsidRPr="00A24E7B">
              <w:rPr>
                <w:rFonts w:ascii="宋体" w:hAnsi="宋体" w:cs="宋体"/>
                <w:kern w:val="0"/>
                <w:szCs w:val="21"/>
              </w:rPr>
              <w:t>A</w:t>
            </w:r>
            <w:r w:rsidRPr="00A24E7B">
              <w:rPr>
                <w:rFonts w:ascii="宋体" w:hAnsi="宋体" w:cs="宋体" w:hint="eastAsia"/>
                <w:kern w:val="0"/>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kern w:val="0"/>
                <w:szCs w:val="21"/>
              </w:rPr>
              <w:t>162210</w:t>
            </w:r>
          </w:p>
        </w:tc>
      </w:tr>
      <w:tr w:rsidR="001A33EF" w:rsidRPr="00A24E7B"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泰达宏利品质生活灵活配置混合型证券投资基金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kern w:val="0"/>
                <w:szCs w:val="21"/>
              </w:rPr>
              <w:t>162211</w:t>
            </w:r>
          </w:p>
        </w:tc>
      </w:tr>
      <w:tr w:rsidR="001A33EF" w:rsidRPr="00A24E7B"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泰达宏利红利先锋混合型证券投资基金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kern w:val="0"/>
                <w:szCs w:val="21"/>
              </w:rPr>
              <w:t>162212</w:t>
            </w:r>
          </w:p>
        </w:tc>
      </w:tr>
      <w:tr w:rsidR="001A33EF" w:rsidRPr="00A24E7B" w:rsidTr="00A31274">
        <w:trPr>
          <w:trHeight w:val="487"/>
        </w:trPr>
        <w:tc>
          <w:tcPr>
            <w:tcW w:w="866" w:type="dxa"/>
            <w:tcBorders>
              <w:top w:val="single" w:sz="4" w:space="0" w:color="auto"/>
              <w:left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泰达宏利沪深300指数增强型证券投资基金</w:t>
            </w:r>
            <w:r>
              <w:rPr>
                <w:rFonts w:ascii="宋体" w:hAnsi="宋体" w:cs="宋体" w:hint="eastAsia"/>
                <w:kern w:val="0"/>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kern w:val="0"/>
                <w:szCs w:val="21"/>
              </w:rPr>
              <w:t>162213</w:t>
            </w:r>
          </w:p>
        </w:tc>
      </w:tr>
      <w:tr w:rsidR="001A33EF" w:rsidRPr="00A24E7B"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泰达宏利领先中小盘混合型证券投资基金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kern w:val="0"/>
                <w:szCs w:val="21"/>
              </w:rPr>
              <w:t>162214</w:t>
            </w:r>
          </w:p>
        </w:tc>
      </w:tr>
      <w:tr w:rsidR="001A33EF" w:rsidRPr="00A24E7B" w:rsidTr="00A31274">
        <w:trPr>
          <w:trHeight w:val="300"/>
        </w:trPr>
        <w:tc>
          <w:tcPr>
            <w:tcW w:w="866" w:type="dxa"/>
            <w:tcBorders>
              <w:left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泰达宏利聚利债券型证券投资基金（LOF）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hint="eastAsia"/>
                <w:kern w:val="0"/>
                <w:szCs w:val="21"/>
              </w:rPr>
              <w:t>162215</w:t>
            </w:r>
          </w:p>
        </w:tc>
      </w:tr>
      <w:tr w:rsidR="001A33EF" w:rsidRPr="00A24E7B" w:rsidTr="00A31274">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20433E" w:rsidP="00A31274">
            <w:pPr>
              <w:widowControl/>
              <w:jc w:val="center"/>
              <w:rPr>
                <w:rFonts w:ascii="宋体" w:hAnsi="宋体" w:cs="宋体"/>
                <w:kern w:val="0"/>
                <w:szCs w:val="21"/>
              </w:rPr>
            </w:pPr>
            <w:r>
              <w:rPr>
                <w:rFonts w:ascii="宋体" w:hAnsi="宋体" w:cs="宋体" w:hint="eastAsia"/>
                <w:kern w:val="0"/>
                <w:szCs w:val="21"/>
              </w:rPr>
              <w:t>泰达宏利中证500指数增强型证券投资基金(LOF)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A24E7B">
              <w:rPr>
                <w:rFonts w:ascii="宋体" w:hAnsi="宋体" w:cs="宋体"/>
                <w:kern w:val="0"/>
                <w:szCs w:val="21"/>
              </w:rPr>
              <w:t>162216</w:t>
            </w:r>
          </w:p>
        </w:tc>
      </w:tr>
      <w:tr w:rsidR="001A33EF" w:rsidRPr="00A24E7B" w:rsidTr="00A31274">
        <w:trPr>
          <w:trHeight w:val="300"/>
        </w:trPr>
        <w:tc>
          <w:tcPr>
            <w:tcW w:w="866" w:type="dxa"/>
            <w:tcBorders>
              <w:top w:val="single" w:sz="4" w:space="0" w:color="auto"/>
              <w:left w:val="single" w:sz="4" w:space="0" w:color="auto"/>
              <w:right w:val="single" w:sz="4" w:space="0" w:color="auto"/>
            </w:tcBorders>
            <w:shd w:val="clear" w:color="auto" w:fill="auto"/>
            <w:noWrap/>
            <w:vAlign w:val="center"/>
            <w:hideMark/>
          </w:tcPr>
          <w:p w:rsidR="001A33EF" w:rsidRPr="00A24E7B" w:rsidRDefault="001A33EF" w:rsidP="001A33EF">
            <w:pPr>
              <w:widowControl/>
              <w:numPr>
                <w:ilvl w:val="0"/>
                <w:numId w:val="2"/>
              </w:numPr>
              <w:jc w:val="right"/>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sidRPr="00064D89">
              <w:rPr>
                <w:rFonts w:ascii="宋体" w:hAnsi="宋体" w:cs="宋体" w:hint="eastAsia"/>
                <w:kern w:val="0"/>
                <w:szCs w:val="21"/>
              </w:rPr>
              <w:t>泰达宏利逆向策略混合型证券投资基金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EF" w:rsidRPr="00A24E7B" w:rsidRDefault="001A33EF" w:rsidP="00A31274">
            <w:pPr>
              <w:widowControl/>
              <w:jc w:val="center"/>
              <w:rPr>
                <w:rFonts w:ascii="宋体" w:hAnsi="宋体" w:cs="宋体"/>
                <w:kern w:val="0"/>
                <w:szCs w:val="21"/>
              </w:rPr>
            </w:pPr>
            <w:r>
              <w:rPr>
                <w:rFonts w:ascii="宋体" w:hAnsi="宋体" w:cs="宋体" w:hint="eastAsia"/>
                <w:kern w:val="0"/>
                <w:szCs w:val="21"/>
              </w:rPr>
              <w:t>229002</w:t>
            </w:r>
          </w:p>
        </w:tc>
      </w:tr>
    </w:tbl>
    <w:p w:rsidR="008E2334" w:rsidRPr="001A33EF" w:rsidRDefault="00BE2815" w:rsidP="00360741">
      <w:pPr>
        <w:pStyle w:val="a6"/>
        <w:numPr>
          <w:ilvl w:val="0"/>
          <w:numId w:val="1"/>
        </w:numPr>
        <w:spacing w:beforeLines="50" w:line="360" w:lineRule="auto"/>
        <w:ind w:firstLineChars="0"/>
        <w:rPr>
          <w:rFonts w:ascii="宋体" w:hAnsi="宋体"/>
          <w:szCs w:val="21"/>
        </w:rPr>
      </w:pPr>
      <w:r w:rsidRPr="001A33EF">
        <w:rPr>
          <w:rFonts w:ascii="宋体" w:hAnsi="宋体" w:hint="eastAsia"/>
          <w:szCs w:val="21"/>
        </w:rPr>
        <w:t>费率优惠时间</w:t>
      </w:r>
    </w:p>
    <w:p w:rsidR="008E2334" w:rsidRPr="008E2334" w:rsidRDefault="008E2334" w:rsidP="008E2334">
      <w:pPr>
        <w:spacing w:line="360" w:lineRule="auto"/>
        <w:ind w:firstLineChars="200" w:firstLine="420"/>
        <w:jc w:val="left"/>
        <w:rPr>
          <w:rFonts w:ascii="宋体" w:hAnsi="宋体"/>
          <w:szCs w:val="21"/>
        </w:rPr>
      </w:pPr>
      <w:r w:rsidRPr="008E2334">
        <w:rPr>
          <w:rFonts w:ascii="宋体" w:hAnsi="宋体" w:hint="eastAsia"/>
          <w:szCs w:val="21"/>
        </w:rPr>
        <w:t>费率优惠活动自20</w:t>
      </w:r>
      <w:r w:rsidR="001C1CDD">
        <w:rPr>
          <w:rFonts w:ascii="宋体" w:hAnsi="宋体" w:hint="eastAsia"/>
          <w:szCs w:val="21"/>
        </w:rPr>
        <w:t>20</w:t>
      </w:r>
      <w:r w:rsidRPr="008E2334">
        <w:rPr>
          <w:rFonts w:ascii="宋体" w:hAnsi="宋体" w:hint="eastAsia"/>
          <w:szCs w:val="21"/>
        </w:rPr>
        <w:t>年</w:t>
      </w:r>
      <w:r w:rsidR="001C1CDD">
        <w:rPr>
          <w:rFonts w:ascii="宋体" w:hAnsi="宋体" w:hint="eastAsia"/>
          <w:szCs w:val="21"/>
        </w:rPr>
        <w:t>7</w:t>
      </w:r>
      <w:r w:rsidRPr="008E2334">
        <w:rPr>
          <w:rFonts w:ascii="宋体" w:hAnsi="宋体" w:hint="eastAsia"/>
          <w:szCs w:val="21"/>
        </w:rPr>
        <w:t>月</w:t>
      </w:r>
      <w:r w:rsidR="008D2CF4">
        <w:rPr>
          <w:rFonts w:ascii="宋体" w:hAnsi="宋体" w:hint="eastAsia"/>
          <w:szCs w:val="21"/>
        </w:rPr>
        <w:t>8</w:t>
      </w:r>
      <w:r w:rsidRPr="008E2334">
        <w:rPr>
          <w:rFonts w:ascii="宋体" w:hAnsi="宋体" w:hint="eastAsia"/>
          <w:szCs w:val="21"/>
        </w:rPr>
        <w:t>日起开展，优惠活动</w:t>
      </w:r>
      <w:r>
        <w:rPr>
          <w:rFonts w:ascii="宋体" w:hAnsi="宋体" w:hint="eastAsia"/>
          <w:szCs w:val="21"/>
        </w:rPr>
        <w:t>截止时间</w:t>
      </w:r>
      <w:r w:rsidRPr="008E2334">
        <w:rPr>
          <w:rFonts w:ascii="宋体" w:hAnsi="宋体" w:hint="eastAsia"/>
          <w:szCs w:val="21"/>
        </w:rPr>
        <w:t>以汇成基金为准，敬请投资者留意其相关公告。</w:t>
      </w:r>
    </w:p>
    <w:p w:rsidR="00BE2815" w:rsidRPr="008E2334" w:rsidRDefault="008E2334" w:rsidP="00360741">
      <w:pPr>
        <w:pStyle w:val="a6"/>
        <w:numPr>
          <w:ilvl w:val="0"/>
          <w:numId w:val="1"/>
        </w:numPr>
        <w:spacing w:beforeLines="50" w:line="360" w:lineRule="auto"/>
        <w:ind w:firstLineChars="0"/>
        <w:rPr>
          <w:rFonts w:ascii="宋体" w:hAnsi="宋体"/>
          <w:szCs w:val="21"/>
        </w:rPr>
      </w:pPr>
      <w:r w:rsidRPr="008E2334">
        <w:rPr>
          <w:rFonts w:ascii="宋体" w:hAnsi="宋体" w:hint="eastAsia"/>
          <w:szCs w:val="21"/>
        </w:rPr>
        <w:t>费率优惠</w:t>
      </w:r>
      <w:r w:rsidR="00BE2815" w:rsidRPr="008E2334">
        <w:rPr>
          <w:rFonts w:ascii="宋体" w:hAnsi="宋体" w:hint="eastAsia"/>
          <w:szCs w:val="21"/>
        </w:rPr>
        <w:t>内容</w:t>
      </w:r>
    </w:p>
    <w:p w:rsidR="00BE2815" w:rsidRPr="007126E7" w:rsidRDefault="00BE2815" w:rsidP="00BE2815">
      <w:pPr>
        <w:spacing w:line="360" w:lineRule="auto"/>
        <w:ind w:firstLineChars="200" w:firstLine="420"/>
        <w:rPr>
          <w:rFonts w:ascii="宋体" w:hAnsi="宋体"/>
          <w:szCs w:val="21"/>
        </w:rPr>
      </w:pPr>
      <w:r w:rsidRPr="007126E7">
        <w:rPr>
          <w:rFonts w:ascii="宋体" w:hAnsi="宋体" w:hint="eastAsia"/>
          <w:szCs w:val="21"/>
        </w:rPr>
        <w:t>投资者</w:t>
      </w:r>
      <w:r>
        <w:rPr>
          <w:rFonts w:ascii="宋体" w:hAnsi="宋体" w:hint="eastAsia"/>
          <w:szCs w:val="21"/>
        </w:rPr>
        <w:t>通过</w:t>
      </w:r>
      <w:r w:rsidR="008E2334">
        <w:rPr>
          <w:rFonts w:hAnsi="宋体" w:hint="eastAsia"/>
          <w:szCs w:val="21"/>
        </w:rPr>
        <w:t>汇成</w:t>
      </w:r>
      <w:r>
        <w:rPr>
          <w:rFonts w:hAnsi="宋体" w:hint="eastAsia"/>
          <w:szCs w:val="21"/>
        </w:rPr>
        <w:t>基金申购本公司</w:t>
      </w:r>
      <w:r w:rsidR="0025433E">
        <w:rPr>
          <w:rFonts w:hAnsi="宋体" w:hint="eastAsia"/>
          <w:szCs w:val="21"/>
        </w:rPr>
        <w:t>上述</w:t>
      </w:r>
      <w:r>
        <w:rPr>
          <w:rFonts w:hAnsi="宋体" w:hint="eastAsia"/>
          <w:szCs w:val="21"/>
        </w:rPr>
        <w:t>基金，前端申购费率</w:t>
      </w:r>
      <w:r w:rsidRPr="00BF6ADC">
        <w:rPr>
          <w:rFonts w:hint="eastAsia"/>
          <w:szCs w:val="21"/>
        </w:rPr>
        <w:t>实行</w:t>
      </w:r>
      <w:r w:rsidRPr="00BF6ADC">
        <w:rPr>
          <w:rFonts w:hint="eastAsia"/>
          <w:szCs w:val="21"/>
        </w:rPr>
        <w:t>1</w:t>
      </w:r>
      <w:r>
        <w:rPr>
          <w:rFonts w:hint="eastAsia"/>
          <w:szCs w:val="21"/>
        </w:rPr>
        <w:t>折</w:t>
      </w:r>
      <w:r w:rsidRPr="00BF6ADC">
        <w:rPr>
          <w:rFonts w:hint="eastAsia"/>
          <w:szCs w:val="21"/>
        </w:rPr>
        <w:t>优惠</w:t>
      </w:r>
      <w:r>
        <w:rPr>
          <w:rFonts w:hint="eastAsia"/>
          <w:szCs w:val="21"/>
        </w:rPr>
        <w:t>，</w:t>
      </w:r>
      <w:r w:rsidRPr="005C3AEE">
        <w:rPr>
          <w:rFonts w:ascii="宋体" w:hAnsi="宋体" w:hint="eastAsia"/>
          <w:szCs w:val="21"/>
        </w:rPr>
        <w:t>若为</w:t>
      </w:r>
      <w:r>
        <w:rPr>
          <w:rFonts w:ascii="宋体" w:hAnsi="宋体" w:hint="eastAsia"/>
          <w:szCs w:val="21"/>
        </w:rPr>
        <w:t>固定费用的，则按固定费用执行，不再享有费率折扣</w:t>
      </w:r>
      <w:r w:rsidRPr="007126E7">
        <w:rPr>
          <w:rFonts w:ascii="宋体" w:hAnsi="宋体" w:hint="eastAsia"/>
          <w:szCs w:val="21"/>
        </w:rPr>
        <w:t>。具体</w:t>
      </w:r>
      <w:r>
        <w:rPr>
          <w:rFonts w:ascii="宋体" w:hAnsi="宋体" w:hint="eastAsia"/>
          <w:szCs w:val="21"/>
        </w:rPr>
        <w:t>各基金原费率参见该</w:t>
      </w:r>
      <w:r w:rsidRPr="007126E7">
        <w:rPr>
          <w:rFonts w:ascii="宋体" w:hAnsi="宋体" w:hint="eastAsia"/>
          <w:szCs w:val="21"/>
        </w:rPr>
        <w:t>基金最新更新的招募说明书及相关公告。</w:t>
      </w:r>
    </w:p>
    <w:p w:rsidR="00BE2815" w:rsidRPr="007126E7" w:rsidRDefault="000E0AD9" w:rsidP="00360741">
      <w:pPr>
        <w:spacing w:beforeLines="50" w:line="360" w:lineRule="auto"/>
        <w:ind w:firstLineChars="200" w:firstLine="420"/>
        <w:rPr>
          <w:rFonts w:ascii="宋体" w:hAnsi="宋体"/>
          <w:szCs w:val="21"/>
        </w:rPr>
      </w:pPr>
      <w:r>
        <w:rPr>
          <w:rFonts w:ascii="宋体" w:hAnsi="宋体" w:hint="eastAsia"/>
          <w:szCs w:val="21"/>
        </w:rPr>
        <w:t>四</w:t>
      </w:r>
      <w:r w:rsidR="00BE2815" w:rsidRPr="007126E7">
        <w:rPr>
          <w:rFonts w:ascii="宋体" w:hAnsi="宋体" w:hint="eastAsia"/>
          <w:szCs w:val="21"/>
        </w:rPr>
        <w:t>、重要提示</w:t>
      </w:r>
    </w:p>
    <w:p w:rsidR="00BE2815" w:rsidRDefault="00BE2815" w:rsidP="00BE2815">
      <w:pPr>
        <w:spacing w:line="360" w:lineRule="auto"/>
        <w:ind w:firstLineChars="200" w:firstLine="420"/>
        <w:rPr>
          <w:szCs w:val="21"/>
        </w:rPr>
      </w:pPr>
      <w:r w:rsidRPr="007126E7">
        <w:rPr>
          <w:rFonts w:ascii="宋体" w:hAnsi="宋体" w:hint="eastAsia"/>
          <w:szCs w:val="21"/>
        </w:rPr>
        <w:t>1、</w:t>
      </w:r>
      <w:r w:rsidRPr="005C3AEE">
        <w:rPr>
          <w:rFonts w:ascii="宋体" w:eastAsia="宋体" w:hAnsi="宋体" w:cs="Times New Roman"/>
          <w:szCs w:val="21"/>
        </w:rPr>
        <w:t>本费率优惠仅适用于</w:t>
      </w:r>
      <w:r w:rsidRPr="005C3AEE">
        <w:rPr>
          <w:rFonts w:ascii="宋体" w:eastAsia="宋体" w:hAnsi="宋体" w:cs="Times New Roman" w:hint="eastAsia"/>
          <w:szCs w:val="21"/>
        </w:rPr>
        <w:t>本公司</w:t>
      </w:r>
      <w:r w:rsidRPr="005C3AEE">
        <w:rPr>
          <w:rFonts w:ascii="宋体" w:eastAsia="宋体" w:hAnsi="宋体" w:cs="Times New Roman"/>
          <w:szCs w:val="21"/>
        </w:rPr>
        <w:t>在</w:t>
      </w:r>
      <w:r w:rsidR="00726505">
        <w:rPr>
          <w:rFonts w:ascii="宋体" w:hAnsi="宋体" w:hint="eastAsia"/>
          <w:szCs w:val="21"/>
        </w:rPr>
        <w:t>汇成</w:t>
      </w:r>
      <w:r w:rsidRPr="005C3AEE">
        <w:rPr>
          <w:rFonts w:ascii="宋体" w:eastAsia="宋体" w:hAnsi="宋体" w:cs="Times New Roman" w:hint="eastAsia"/>
          <w:szCs w:val="21"/>
        </w:rPr>
        <w:t>基金</w:t>
      </w:r>
      <w:r w:rsidRPr="005C3AEE">
        <w:rPr>
          <w:rFonts w:ascii="宋体" w:eastAsia="宋体" w:hAnsi="宋体" w:cs="Times New Roman"/>
          <w:szCs w:val="21"/>
        </w:rPr>
        <w:t>申购</w:t>
      </w:r>
      <w:r w:rsidRPr="005C3AEE">
        <w:rPr>
          <w:rFonts w:ascii="宋体" w:eastAsia="宋体" w:hAnsi="宋体" w:cs="Times New Roman" w:hint="eastAsia"/>
          <w:szCs w:val="21"/>
        </w:rPr>
        <w:t>业务的</w:t>
      </w:r>
      <w:r w:rsidRPr="005C3AEE">
        <w:rPr>
          <w:rFonts w:ascii="宋体" w:eastAsia="宋体" w:hAnsi="宋体" w:cs="Times New Roman"/>
          <w:szCs w:val="21"/>
        </w:rPr>
        <w:t>手续费</w:t>
      </w:r>
      <w:r>
        <w:rPr>
          <w:rFonts w:hint="eastAsia"/>
          <w:color w:val="1E1E1E"/>
          <w:szCs w:val="21"/>
          <w:shd w:val="clear" w:color="auto" w:fill="FFFFFF"/>
        </w:rPr>
        <w:t>，包括定期定额申购业务手续费（各基金定投开通情况以我司最新公告为准），</w:t>
      </w:r>
      <w:r w:rsidRPr="00BF6ADC">
        <w:rPr>
          <w:rFonts w:hint="eastAsia"/>
          <w:szCs w:val="21"/>
        </w:rPr>
        <w:t>不包括基金认购、赎回、转换业务等其他业务的手续费</w:t>
      </w:r>
      <w:r>
        <w:rPr>
          <w:rFonts w:hint="eastAsia"/>
          <w:szCs w:val="21"/>
        </w:rPr>
        <w:t>。</w:t>
      </w:r>
    </w:p>
    <w:p w:rsidR="00BE2815" w:rsidRDefault="00BE2815" w:rsidP="00BE2815">
      <w:pPr>
        <w:spacing w:line="360" w:lineRule="auto"/>
        <w:ind w:firstLineChars="200" w:firstLine="420"/>
        <w:rPr>
          <w:color w:val="1E1E1E"/>
          <w:szCs w:val="21"/>
          <w:shd w:val="clear" w:color="auto" w:fill="FFFFFF"/>
        </w:rPr>
      </w:pPr>
      <w:r w:rsidRPr="007126E7">
        <w:rPr>
          <w:rFonts w:ascii="宋体" w:hAnsi="宋体" w:hint="eastAsia"/>
          <w:szCs w:val="21"/>
        </w:rPr>
        <w:t>2、</w:t>
      </w:r>
      <w:r>
        <w:rPr>
          <w:rFonts w:hint="eastAsia"/>
          <w:color w:val="1E1E1E"/>
          <w:szCs w:val="21"/>
          <w:shd w:val="clear" w:color="auto" w:fill="FFFFFF"/>
        </w:rPr>
        <w:t>本费率优惠活动期间，业务办理的规则和流程以</w:t>
      </w:r>
      <w:r w:rsidR="00726505">
        <w:rPr>
          <w:rFonts w:hint="eastAsia"/>
          <w:color w:val="1E1E1E"/>
          <w:szCs w:val="21"/>
          <w:shd w:val="clear" w:color="auto" w:fill="FFFFFF"/>
        </w:rPr>
        <w:t>汇成</w:t>
      </w:r>
      <w:r>
        <w:rPr>
          <w:rFonts w:hint="eastAsia"/>
          <w:color w:val="1E1E1E"/>
          <w:szCs w:val="21"/>
          <w:shd w:val="clear" w:color="auto" w:fill="FFFFFF"/>
        </w:rPr>
        <w:t>基金的安排和规定为准。相关活动的具体规定如有变化，以</w:t>
      </w:r>
      <w:r w:rsidR="00726505">
        <w:rPr>
          <w:rFonts w:hint="eastAsia"/>
          <w:color w:val="1E1E1E"/>
          <w:szCs w:val="21"/>
          <w:shd w:val="clear" w:color="auto" w:fill="FFFFFF"/>
        </w:rPr>
        <w:t>汇成</w:t>
      </w:r>
      <w:r>
        <w:rPr>
          <w:rFonts w:hint="eastAsia"/>
          <w:color w:val="1E1E1E"/>
          <w:szCs w:val="21"/>
          <w:shd w:val="clear" w:color="auto" w:fill="FFFFFF"/>
        </w:rPr>
        <w:t>基金网站的最新公告为准，敬请投资者关注。</w:t>
      </w:r>
    </w:p>
    <w:p w:rsidR="00BE2815" w:rsidRPr="007126E7" w:rsidRDefault="000E0AD9" w:rsidP="00360741">
      <w:pPr>
        <w:spacing w:beforeLines="50" w:line="360" w:lineRule="auto"/>
        <w:ind w:firstLineChars="200" w:firstLine="420"/>
        <w:rPr>
          <w:rFonts w:ascii="宋体" w:hAnsi="宋体"/>
          <w:szCs w:val="21"/>
        </w:rPr>
      </w:pPr>
      <w:r>
        <w:rPr>
          <w:rFonts w:ascii="宋体" w:hAnsi="宋体" w:hint="eastAsia"/>
          <w:szCs w:val="21"/>
        </w:rPr>
        <w:t>五</w:t>
      </w:r>
      <w:r w:rsidR="00BE2815" w:rsidRPr="007126E7">
        <w:rPr>
          <w:rFonts w:ascii="宋体" w:hAnsi="宋体" w:hint="eastAsia"/>
          <w:szCs w:val="21"/>
        </w:rPr>
        <w:t>、投资者可通过以下途径了解或咨询相关情况</w:t>
      </w:r>
    </w:p>
    <w:p w:rsidR="00BE2815" w:rsidRPr="007126E7" w:rsidRDefault="00BE2815" w:rsidP="00BE2815">
      <w:pPr>
        <w:spacing w:line="360" w:lineRule="auto"/>
        <w:ind w:firstLineChars="200" w:firstLine="420"/>
        <w:rPr>
          <w:rFonts w:ascii="宋体" w:hAnsi="宋体"/>
          <w:szCs w:val="21"/>
        </w:rPr>
      </w:pPr>
      <w:r>
        <w:rPr>
          <w:rFonts w:ascii="宋体" w:hAnsi="宋体" w:hint="eastAsia"/>
          <w:szCs w:val="21"/>
        </w:rPr>
        <w:t>1、</w:t>
      </w:r>
      <w:r w:rsidR="00726505" w:rsidRPr="008E2334">
        <w:rPr>
          <w:rFonts w:hAnsi="宋体" w:hint="eastAsia"/>
          <w:szCs w:val="21"/>
        </w:rPr>
        <w:t>北京汇成基金销售有限公司</w:t>
      </w:r>
    </w:p>
    <w:p w:rsidR="00BE2815" w:rsidRDefault="00BE2815" w:rsidP="00BE2815">
      <w:pPr>
        <w:spacing w:line="360" w:lineRule="auto"/>
        <w:ind w:firstLineChars="200" w:firstLine="420"/>
        <w:rPr>
          <w:rFonts w:ascii="微软雅黑" w:eastAsia="微软雅黑" w:hAnsi="微软雅黑"/>
          <w:color w:val="FFFFFF"/>
          <w:sz w:val="18"/>
          <w:szCs w:val="18"/>
          <w:shd w:val="clear" w:color="auto" w:fill="2C2C2E"/>
        </w:rPr>
      </w:pPr>
      <w:r w:rsidRPr="007126E7">
        <w:rPr>
          <w:rFonts w:ascii="宋体" w:hAnsi="宋体" w:hint="eastAsia"/>
          <w:szCs w:val="21"/>
        </w:rPr>
        <w:t>客服电话</w:t>
      </w:r>
      <w:r w:rsidRPr="00EE1F78">
        <w:rPr>
          <w:rFonts w:ascii="宋体" w:hAnsi="宋体" w:hint="eastAsia"/>
          <w:szCs w:val="21"/>
        </w:rPr>
        <w:t>：</w:t>
      </w:r>
      <w:r w:rsidR="00726505" w:rsidRPr="00726505">
        <w:rPr>
          <w:rFonts w:ascii="宋体" w:hAnsi="宋体" w:hint="eastAsia"/>
          <w:szCs w:val="21"/>
        </w:rPr>
        <w:t>400-619-9059</w:t>
      </w:r>
    </w:p>
    <w:p w:rsidR="00726505" w:rsidRDefault="00BE2815" w:rsidP="00BE2815">
      <w:pPr>
        <w:spacing w:line="360" w:lineRule="auto"/>
        <w:ind w:firstLineChars="200" w:firstLine="420"/>
      </w:pPr>
      <w:r w:rsidRPr="007126E7">
        <w:rPr>
          <w:rFonts w:ascii="宋体" w:hAnsi="宋体" w:hint="eastAsia"/>
          <w:color w:val="333333"/>
          <w:szCs w:val="21"/>
          <w:shd w:val="clear" w:color="auto" w:fill="FFFFFF"/>
        </w:rPr>
        <w:t>网址：</w:t>
      </w:r>
      <w:hyperlink r:id="rId7" w:tgtFrame="_blank" w:history="1">
        <w:r w:rsidR="00726505" w:rsidRPr="00136222">
          <w:rPr>
            <w:rStyle w:val="a5"/>
            <w:rFonts w:hint="eastAsia"/>
            <w:sz w:val="24"/>
          </w:rPr>
          <w:t>www.hcjijin.com</w:t>
        </w:r>
      </w:hyperlink>
    </w:p>
    <w:p w:rsidR="00BE2815" w:rsidRPr="007126E7" w:rsidRDefault="00BE2815" w:rsidP="00BE2815">
      <w:pPr>
        <w:spacing w:line="360" w:lineRule="auto"/>
        <w:ind w:firstLineChars="200" w:firstLine="420"/>
        <w:rPr>
          <w:rFonts w:ascii="宋体" w:hAnsi="宋体"/>
          <w:szCs w:val="21"/>
        </w:rPr>
      </w:pPr>
      <w:r w:rsidRPr="007126E7">
        <w:rPr>
          <w:rFonts w:ascii="宋体" w:hAnsi="宋体" w:hint="eastAsia"/>
          <w:color w:val="333333"/>
          <w:szCs w:val="21"/>
          <w:shd w:val="clear" w:color="auto" w:fill="FFFFFF"/>
        </w:rPr>
        <w:t>2</w:t>
      </w:r>
      <w:r>
        <w:rPr>
          <w:rFonts w:ascii="宋体" w:hAnsi="宋体" w:hint="eastAsia"/>
          <w:color w:val="333333"/>
          <w:szCs w:val="21"/>
          <w:shd w:val="clear" w:color="auto" w:fill="FFFFFF"/>
        </w:rPr>
        <w:t>、</w:t>
      </w:r>
      <w:r w:rsidRPr="007126E7">
        <w:rPr>
          <w:rFonts w:ascii="宋体" w:hAnsi="宋体" w:hint="eastAsia"/>
          <w:szCs w:val="21"/>
        </w:rPr>
        <w:t>泰达宏利基金管理有限公司</w:t>
      </w:r>
    </w:p>
    <w:p w:rsidR="00BE2815" w:rsidRPr="007126E7" w:rsidRDefault="00BE2815" w:rsidP="00BE2815">
      <w:pPr>
        <w:spacing w:line="360" w:lineRule="auto"/>
        <w:ind w:firstLineChars="200" w:firstLine="420"/>
        <w:rPr>
          <w:rFonts w:ascii="宋体" w:hAnsi="宋体"/>
          <w:szCs w:val="21"/>
        </w:rPr>
      </w:pPr>
      <w:r w:rsidRPr="007126E7">
        <w:rPr>
          <w:rFonts w:ascii="宋体" w:hAnsi="宋体" w:hint="eastAsia"/>
          <w:szCs w:val="21"/>
        </w:rPr>
        <w:t>客服电话：400-698-8888</w:t>
      </w:r>
    </w:p>
    <w:p w:rsidR="00BE2815" w:rsidRPr="007126E7" w:rsidRDefault="00BE2815" w:rsidP="00BE2815">
      <w:pPr>
        <w:spacing w:line="360" w:lineRule="auto"/>
        <w:ind w:firstLineChars="200" w:firstLine="420"/>
        <w:rPr>
          <w:rFonts w:ascii="宋体" w:hAnsi="宋体"/>
          <w:szCs w:val="21"/>
        </w:rPr>
      </w:pPr>
      <w:r w:rsidRPr="007126E7">
        <w:rPr>
          <w:rFonts w:ascii="宋体" w:hAnsi="宋体" w:hint="eastAsia"/>
          <w:szCs w:val="21"/>
        </w:rPr>
        <w:t>网址：</w:t>
      </w:r>
      <w:r w:rsidRPr="007126E7">
        <w:rPr>
          <w:rFonts w:ascii="宋体" w:hAnsi="宋体"/>
          <w:szCs w:val="21"/>
        </w:rPr>
        <w:t>www.mfcteda.com</w:t>
      </w:r>
    </w:p>
    <w:p w:rsidR="00BE2815" w:rsidRPr="007126E7" w:rsidRDefault="00BE2815" w:rsidP="00BE2815">
      <w:pPr>
        <w:spacing w:line="360" w:lineRule="auto"/>
        <w:ind w:firstLineChars="200" w:firstLine="420"/>
        <w:rPr>
          <w:rFonts w:ascii="宋体" w:hAnsi="宋体"/>
          <w:szCs w:val="21"/>
        </w:rPr>
      </w:pPr>
    </w:p>
    <w:p w:rsidR="001C1CDD" w:rsidRPr="003C0FC5" w:rsidRDefault="001C1CDD" w:rsidP="001C1CDD">
      <w:pPr>
        <w:autoSpaceDE w:val="0"/>
        <w:autoSpaceDN w:val="0"/>
        <w:adjustRightInd w:val="0"/>
        <w:spacing w:line="360" w:lineRule="auto"/>
        <w:ind w:firstLineChars="200" w:firstLine="420"/>
        <w:jc w:val="left"/>
        <w:rPr>
          <w:rFonts w:ascii="宋体" w:hAnsi="宋体"/>
          <w:szCs w:val="21"/>
        </w:rPr>
      </w:pPr>
      <w:r w:rsidRPr="003C0FC5">
        <w:rPr>
          <w:rFonts w:ascii="宋体" w:hAnsi="宋体" w:hint="eastAsia"/>
          <w:szCs w:val="21"/>
        </w:rPr>
        <w:t>风险提示：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BE2815" w:rsidRPr="007126E7" w:rsidRDefault="00BE2815" w:rsidP="00BE2815">
      <w:pPr>
        <w:spacing w:line="360" w:lineRule="auto"/>
        <w:ind w:firstLineChars="200" w:firstLine="420"/>
        <w:rPr>
          <w:rFonts w:ascii="宋体" w:hAnsi="宋体"/>
          <w:szCs w:val="21"/>
        </w:rPr>
      </w:pPr>
      <w:r w:rsidRPr="007126E7">
        <w:rPr>
          <w:rFonts w:ascii="宋体" w:hAnsi="宋体" w:hint="eastAsia"/>
          <w:szCs w:val="21"/>
        </w:rPr>
        <w:t>特此公告。</w:t>
      </w:r>
    </w:p>
    <w:p w:rsidR="00BE2815" w:rsidRPr="007126E7" w:rsidRDefault="00BE2815" w:rsidP="00BE2815">
      <w:pPr>
        <w:spacing w:line="360" w:lineRule="auto"/>
        <w:rPr>
          <w:rFonts w:ascii="宋体" w:hAnsi="宋体"/>
          <w:szCs w:val="21"/>
        </w:rPr>
      </w:pPr>
    </w:p>
    <w:p w:rsidR="00BE2815" w:rsidRPr="007126E7" w:rsidRDefault="00BE2815" w:rsidP="00BE2815">
      <w:pPr>
        <w:spacing w:line="360" w:lineRule="auto"/>
        <w:rPr>
          <w:rFonts w:ascii="宋体" w:hAnsi="宋体"/>
          <w:szCs w:val="21"/>
        </w:rPr>
      </w:pPr>
    </w:p>
    <w:p w:rsidR="00BE2815" w:rsidRPr="007126E7" w:rsidRDefault="00BE2815" w:rsidP="00BE2815">
      <w:pPr>
        <w:spacing w:line="360" w:lineRule="auto"/>
        <w:ind w:firstLineChars="200" w:firstLine="420"/>
        <w:jc w:val="right"/>
        <w:rPr>
          <w:rFonts w:ascii="宋体" w:hAnsi="宋体"/>
          <w:szCs w:val="21"/>
        </w:rPr>
      </w:pPr>
      <w:r w:rsidRPr="007126E7">
        <w:rPr>
          <w:rFonts w:ascii="宋体" w:hAnsi="宋体" w:hint="eastAsia"/>
          <w:szCs w:val="21"/>
        </w:rPr>
        <w:t>泰达宏利基金管理有限公司</w:t>
      </w:r>
    </w:p>
    <w:p w:rsidR="00BE2815" w:rsidRPr="00AD7B55" w:rsidRDefault="00BE2815" w:rsidP="00BE2815">
      <w:pPr>
        <w:spacing w:line="360" w:lineRule="auto"/>
        <w:ind w:firstLineChars="200" w:firstLine="420"/>
        <w:jc w:val="right"/>
        <w:rPr>
          <w:rFonts w:ascii="宋体" w:hAnsi="宋体"/>
          <w:szCs w:val="21"/>
        </w:rPr>
      </w:pPr>
      <w:r w:rsidRPr="007126E7">
        <w:rPr>
          <w:rFonts w:ascii="宋体" w:hAnsi="宋体" w:hint="eastAsia"/>
          <w:szCs w:val="21"/>
        </w:rPr>
        <w:t>20</w:t>
      </w:r>
      <w:r w:rsidR="001C1CDD">
        <w:rPr>
          <w:rFonts w:ascii="宋体" w:hAnsi="宋体" w:hint="eastAsia"/>
          <w:szCs w:val="21"/>
        </w:rPr>
        <w:t>20</w:t>
      </w:r>
      <w:r w:rsidRPr="007126E7">
        <w:rPr>
          <w:rFonts w:ascii="宋体" w:hAnsi="宋体" w:hint="eastAsia"/>
          <w:szCs w:val="21"/>
        </w:rPr>
        <w:t>年</w:t>
      </w:r>
      <w:r w:rsidR="001C1CDD">
        <w:rPr>
          <w:rFonts w:ascii="宋体" w:hAnsi="宋体" w:hint="eastAsia"/>
          <w:szCs w:val="21"/>
        </w:rPr>
        <w:t>7</w:t>
      </w:r>
      <w:r w:rsidRPr="007126E7">
        <w:rPr>
          <w:rFonts w:ascii="宋体" w:hAnsi="宋体" w:hint="eastAsia"/>
          <w:szCs w:val="21"/>
        </w:rPr>
        <w:t>月</w:t>
      </w:r>
      <w:r w:rsidR="007218C6">
        <w:rPr>
          <w:rFonts w:ascii="宋体" w:hAnsi="宋体" w:hint="eastAsia"/>
          <w:szCs w:val="21"/>
        </w:rPr>
        <w:t>8</w:t>
      </w:r>
      <w:r w:rsidRPr="007126E7">
        <w:rPr>
          <w:rFonts w:ascii="宋体" w:hAnsi="宋体" w:hint="eastAsia"/>
          <w:szCs w:val="21"/>
        </w:rPr>
        <w:t>日</w:t>
      </w:r>
    </w:p>
    <w:p w:rsidR="00BD22F7" w:rsidRDefault="00BD22F7"/>
    <w:sectPr w:rsidR="00BD22F7" w:rsidSect="000256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169" w:rsidRDefault="00536169" w:rsidP="00BE2815">
      <w:r>
        <w:separator/>
      </w:r>
    </w:p>
  </w:endnote>
  <w:endnote w:type="continuationSeparator" w:id="0">
    <w:p w:rsidR="00536169" w:rsidRDefault="00536169" w:rsidP="00BE2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169" w:rsidRDefault="00536169" w:rsidP="00BE2815">
      <w:r>
        <w:separator/>
      </w:r>
    </w:p>
  </w:footnote>
  <w:footnote w:type="continuationSeparator" w:id="0">
    <w:p w:rsidR="00536169" w:rsidRDefault="00536169" w:rsidP="00BE2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41B4"/>
    <w:multiLevelType w:val="hybridMultilevel"/>
    <w:tmpl w:val="6B52A396"/>
    <w:lvl w:ilvl="0" w:tplc="D078236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AC2819"/>
    <w:multiLevelType w:val="hybridMultilevel"/>
    <w:tmpl w:val="FDECCB04"/>
    <w:lvl w:ilvl="0" w:tplc="4BCEA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2815"/>
    <w:rsid w:val="000E0AD9"/>
    <w:rsid w:val="001A33EF"/>
    <w:rsid w:val="001C1CDD"/>
    <w:rsid w:val="0020433E"/>
    <w:rsid w:val="0025433E"/>
    <w:rsid w:val="002C3EDF"/>
    <w:rsid w:val="0031428B"/>
    <w:rsid w:val="00334831"/>
    <w:rsid w:val="00360741"/>
    <w:rsid w:val="004D4B7C"/>
    <w:rsid w:val="00536169"/>
    <w:rsid w:val="00573531"/>
    <w:rsid w:val="006944D3"/>
    <w:rsid w:val="007218C6"/>
    <w:rsid w:val="00726505"/>
    <w:rsid w:val="00726537"/>
    <w:rsid w:val="008201CE"/>
    <w:rsid w:val="008D2CF4"/>
    <w:rsid w:val="008D64B0"/>
    <w:rsid w:val="008E2334"/>
    <w:rsid w:val="009250EC"/>
    <w:rsid w:val="0097489D"/>
    <w:rsid w:val="00985029"/>
    <w:rsid w:val="00B93A4F"/>
    <w:rsid w:val="00BD22F7"/>
    <w:rsid w:val="00BE2815"/>
    <w:rsid w:val="00C354A0"/>
    <w:rsid w:val="00C93E5F"/>
    <w:rsid w:val="00E05A21"/>
    <w:rsid w:val="00F35025"/>
    <w:rsid w:val="00FB48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8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28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2815"/>
    <w:rPr>
      <w:sz w:val="18"/>
      <w:szCs w:val="18"/>
    </w:rPr>
  </w:style>
  <w:style w:type="paragraph" w:styleId="a4">
    <w:name w:val="footer"/>
    <w:basedOn w:val="a"/>
    <w:link w:val="Char0"/>
    <w:uiPriority w:val="99"/>
    <w:semiHidden/>
    <w:unhideWhenUsed/>
    <w:rsid w:val="00BE28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2815"/>
    <w:rPr>
      <w:sz w:val="18"/>
      <w:szCs w:val="18"/>
    </w:rPr>
  </w:style>
  <w:style w:type="paragraph" w:customStyle="1" w:styleId="Default">
    <w:name w:val="Default"/>
    <w:rsid w:val="00BE2815"/>
    <w:pPr>
      <w:widowControl w:val="0"/>
      <w:autoSpaceDE w:val="0"/>
      <w:autoSpaceDN w:val="0"/>
      <w:adjustRightInd w:val="0"/>
    </w:pPr>
    <w:rPr>
      <w:rFonts w:ascii="宋体" w:eastAsia="宋体" w:hAnsi="Calibri" w:cs="宋体"/>
      <w:color w:val="000000"/>
      <w:kern w:val="0"/>
      <w:sz w:val="24"/>
      <w:szCs w:val="24"/>
    </w:rPr>
  </w:style>
  <w:style w:type="character" w:styleId="a5">
    <w:name w:val="Hyperlink"/>
    <w:basedOn w:val="a0"/>
    <w:uiPriority w:val="99"/>
    <w:unhideWhenUsed/>
    <w:rsid w:val="00BE2815"/>
    <w:rPr>
      <w:color w:val="0000FF" w:themeColor="hyperlink"/>
      <w:u w:val="single"/>
    </w:rPr>
  </w:style>
  <w:style w:type="paragraph" w:styleId="a6">
    <w:name w:val="List Paragraph"/>
    <w:basedOn w:val="a"/>
    <w:uiPriority w:val="34"/>
    <w:qFormat/>
    <w:rsid w:val="00BE281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cjij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1573</Characters>
  <Application>Microsoft Office Word</Application>
  <DocSecurity>4</DocSecurity>
  <Lines>13</Lines>
  <Paragraphs>3</Paragraphs>
  <ScaleCrop>false</ScaleCrop>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宫雪萍</dc:creator>
  <cp:keywords/>
  <dc:description/>
  <cp:lastModifiedBy>ZHONGM</cp:lastModifiedBy>
  <cp:revision>2</cp:revision>
  <dcterms:created xsi:type="dcterms:W3CDTF">2020-07-07T16:00:00Z</dcterms:created>
  <dcterms:modified xsi:type="dcterms:W3CDTF">2020-07-07T16:00:00Z</dcterms:modified>
</cp:coreProperties>
</file>