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A4" w:rsidRDefault="00C63D72">
      <w:pPr>
        <w:spacing w:line="360" w:lineRule="auto"/>
        <w:jc w:val="center"/>
        <w:rPr>
          <w:rFonts w:ascii="宋体" w:hAnsi="宋体"/>
          <w:b/>
          <w:bCs/>
          <w:kern w:val="0"/>
          <w:sz w:val="28"/>
          <w:szCs w:val="28"/>
        </w:rPr>
      </w:pPr>
      <w:r>
        <w:rPr>
          <w:rFonts w:ascii="宋体" w:hAnsi="宋体" w:hint="eastAsia"/>
          <w:b/>
          <w:bCs/>
          <w:kern w:val="0"/>
          <w:sz w:val="28"/>
          <w:szCs w:val="28"/>
        </w:rPr>
        <w:t>中海基金管理有限公司关于旗下三十只基金</w:t>
      </w:r>
    </w:p>
    <w:p w:rsidR="005969A4" w:rsidRDefault="00C63D72">
      <w:pPr>
        <w:spacing w:line="360" w:lineRule="auto"/>
        <w:jc w:val="center"/>
        <w:rPr>
          <w:rFonts w:ascii="宋体" w:hAnsi="宋体"/>
          <w:b/>
          <w:bCs/>
          <w:kern w:val="0"/>
          <w:sz w:val="28"/>
          <w:szCs w:val="28"/>
        </w:rPr>
      </w:pPr>
      <w:r>
        <w:rPr>
          <w:rFonts w:ascii="宋体" w:hAnsi="宋体" w:hint="eastAsia"/>
          <w:b/>
          <w:bCs/>
          <w:kern w:val="0"/>
          <w:sz w:val="28"/>
          <w:szCs w:val="28"/>
        </w:rPr>
        <w:t>修订基金合同及托管协议的公告</w:t>
      </w:r>
    </w:p>
    <w:p w:rsidR="005969A4" w:rsidRDefault="005969A4">
      <w:pPr>
        <w:spacing w:line="360" w:lineRule="auto"/>
        <w:rPr>
          <w:rFonts w:ascii="宋体" w:hAnsi="宋体"/>
          <w:b/>
          <w:kern w:val="0"/>
          <w:sz w:val="28"/>
          <w:szCs w:val="28"/>
        </w:rPr>
      </w:pPr>
    </w:p>
    <w:p w:rsidR="005969A4" w:rsidRDefault="00C63D72">
      <w:pPr>
        <w:autoSpaceDE w:val="0"/>
        <w:autoSpaceDN w:val="0"/>
        <w:adjustRightInd w:val="0"/>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鉴于中国证券监督管理委员会已于</w:t>
      </w:r>
      <w:r>
        <w:rPr>
          <w:rFonts w:asciiTheme="minorEastAsia" w:eastAsiaTheme="minorEastAsia" w:hAnsiTheme="minorEastAsia"/>
          <w:sz w:val="28"/>
          <w:szCs w:val="28"/>
        </w:rPr>
        <w:t>2019</w:t>
      </w:r>
      <w:r>
        <w:rPr>
          <w:rFonts w:asciiTheme="minorEastAsia" w:eastAsiaTheme="minorEastAsia" w:hAnsiTheme="minorEastAsia"/>
          <w:sz w:val="28"/>
          <w:szCs w:val="28"/>
        </w:rPr>
        <w:t>年</w:t>
      </w:r>
      <w:r>
        <w:rPr>
          <w:rFonts w:asciiTheme="minorEastAsia" w:eastAsiaTheme="minorEastAsia" w:hAnsiTheme="minorEastAsia"/>
          <w:sz w:val="28"/>
          <w:szCs w:val="28"/>
        </w:rPr>
        <w:t>7</w:t>
      </w:r>
      <w:r>
        <w:rPr>
          <w:rFonts w:asciiTheme="minorEastAsia" w:eastAsiaTheme="minorEastAsia" w:hAnsiTheme="minorEastAsia"/>
          <w:sz w:val="28"/>
          <w:szCs w:val="28"/>
        </w:rPr>
        <w:t>月</w:t>
      </w:r>
      <w:r>
        <w:rPr>
          <w:rFonts w:asciiTheme="minorEastAsia" w:eastAsiaTheme="minorEastAsia" w:hAnsiTheme="minorEastAsia"/>
          <w:sz w:val="28"/>
          <w:szCs w:val="28"/>
        </w:rPr>
        <w:t>26</w:t>
      </w:r>
      <w:r>
        <w:rPr>
          <w:rFonts w:asciiTheme="minorEastAsia" w:eastAsiaTheme="minorEastAsia" w:hAnsiTheme="minorEastAsia"/>
          <w:sz w:val="28"/>
          <w:szCs w:val="28"/>
        </w:rPr>
        <w:t>日发布了《公开募集证券投资基金信息披露管理办法》（证监会令【第</w:t>
      </w:r>
      <w:r>
        <w:rPr>
          <w:rFonts w:asciiTheme="minorEastAsia" w:eastAsiaTheme="minorEastAsia" w:hAnsiTheme="minorEastAsia"/>
          <w:sz w:val="28"/>
          <w:szCs w:val="28"/>
        </w:rPr>
        <w:t>158</w:t>
      </w:r>
      <w:r>
        <w:rPr>
          <w:rFonts w:asciiTheme="minorEastAsia" w:eastAsiaTheme="minorEastAsia" w:hAnsiTheme="minorEastAsia"/>
          <w:sz w:val="28"/>
          <w:szCs w:val="28"/>
        </w:rPr>
        <w:t>号】，以下简称</w:t>
      </w:r>
      <w:r>
        <w:rPr>
          <w:rFonts w:asciiTheme="minorEastAsia" w:eastAsiaTheme="minorEastAsia" w:hAnsiTheme="minorEastAsia"/>
          <w:sz w:val="28"/>
          <w:szCs w:val="28"/>
        </w:rPr>
        <w:t>“</w:t>
      </w:r>
      <w:r>
        <w:rPr>
          <w:rFonts w:asciiTheme="minorEastAsia" w:eastAsiaTheme="minorEastAsia" w:hAnsiTheme="minorEastAsia"/>
          <w:sz w:val="28"/>
          <w:szCs w:val="28"/>
        </w:rPr>
        <w:t>《信息披露办法》</w:t>
      </w:r>
      <w:r>
        <w:rPr>
          <w:rFonts w:asciiTheme="minorEastAsia" w:eastAsiaTheme="minorEastAsia" w:hAnsiTheme="minorEastAsia"/>
          <w:sz w:val="28"/>
          <w:szCs w:val="28"/>
        </w:rPr>
        <w:t>”</w:t>
      </w:r>
      <w:r>
        <w:rPr>
          <w:rFonts w:asciiTheme="minorEastAsia" w:eastAsiaTheme="minorEastAsia" w:hAnsiTheme="minorEastAsia"/>
          <w:sz w:val="28"/>
          <w:szCs w:val="28"/>
        </w:rPr>
        <w:t>），且该《信息披露办法》已于</w:t>
      </w:r>
      <w:r>
        <w:rPr>
          <w:rFonts w:asciiTheme="minorEastAsia" w:eastAsiaTheme="minorEastAsia" w:hAnsiTheme="minorEastAsia"/>
          <w:sz w:val="28"/>
          <w:szCs w:val="28"/>
        </w:rPr>
        <w:t>2019</w:t>
      </w:r>
      <w:r>
        <w:rPr>
          <w:rFonts w:asciiTheme="minorEastAsia" w:eastAsiaTheme="minorEastAsia" w:hAnsiTheme="minorEastAsia"/>
          <w:sz w:val="28"/>
          <w:szCs w:val="28"/>
        </w:rPr>
        <w:t>年</w:t>
      </w:r>
      <w:r>
        <w:rPr>
          <w:rFonts w:asciiTheme="minorEastAsia" w:eastAsiaTheme="minorEastAsia" w:hAnsiTheme="minorEastAsia"/>
          <w:sz w:val="28"/>
          <w:szCs w:val="28"/>
        </w:rPr>
        <w:t>9</w:t>
      </w:r>
      <w:r>
        <w:rPr>
          <w:rFonts w:asciiTheme="minorEastAsia" w:eastAsiaTheme="minorEastAsia" w:hAnsiTheme="minorEastAsia"/>
          <w:sz w:val="28"/>
          <w:szCs w:val="28"/>
        </w:rPr>
        <w:t>月</w:t>
      </w:r>
      <w:r>
        <w:rPr>
          <w:rFonts w:asciiTheme="minorEastAsia" w:eastAsiaTheme="minorEastAsia" w:hAnsiTheme="minorEastAsia"/>
          <w:sz w:val="28"/>
          <w:szCs w:val="28"/>
        </w:rPr>
        <w:t>1</w:t>
      </w:r>
      <w:r>
        <w:rPr>
          <w:rFonts w:asciiTheme="minorEastAsia" w:eastAsiaTheme="minorEastAsia" w:hAnsiTheme="minorEastAsia"/>
          <w:sz w:val="28"/>
          <w:szCs w:val="28"/>
        </w:rPr>
        <w:t>日起施行。故在</w:t>
      </w:r>
      <w:r>
        <w:rPr>
          <w:rFonts w:asciiTheme="minorEastAsia" w:eastAsiaTheme="minorEastAsia" w:hAnsiTheme="minorEastAsia"/>
          <w:sz w:val="28"/>
          <w:szCs w:val="28"/>
        </w:rPr>
        <w:t>2019</w:t>
      </w:r>
      <w:r>
        <w:rPr>
          <w:rFonts w:asciiTheme="minorEastAsia" w:eastAsiaTheme="minorEastAsia" w:hAnsiTheme="minorEastAsia"/>
          <w:sz w:val="28"/>
          <w:szCs w:val="28"/>
        </w:rPr>
        <w:t>年</w:t>
      </w:r>
      <w:r>
        <w:rPr>
          <w:rFonts w:asciiTheme="minorEastAsia" w:eastAsiaTheme="minorEastAsia" w:hAnsiTheme="minorEastAsia"/>
          <w:sz w:val="28"/>
          <w:szCs w:val="28"/>
        </w:rPr>
        <w:t>9</w:t>
      </w:r>
      <w:r>
        <w:rPr>
          <w:rFonts w:asciiTheme="minorEastAsia" w:eastAsiaTheme="minorEastAsia" w:hAnsiTheme="minorEastAsia"/>
          <w:sz w:val="28"/>
          <w:szCs w:val="28"/>
        </w:rPr>
        <w:t>月</w:t>
      </w:r>
      <w:r>
        <w:rPr>
          <w:rFonts w:asciiTheme="minorEastAsia" w:eastAsiaTheme="minorEastAsia" w:hAnsiTheme="minorEastAsia"/>
          <w:sz w:val="28"/>
          <w:szCs w:val="28"/>
        </w:rPr>
        <w:t>1</w:t>
      </w:r>
      <w:r>
        <w:rPr>
          <w:rFonts w:asciiTheme="minorEastAsia" w:eastAsiaTheme="minorEastAsia" w:hAnsiTheme="minorEastAsia"/>
          <w:sz w:val="28"/>
          <w:szCs w:val="28"/>
        </w:rPr>
        <w:t>日之前成立的产品法律文件的相关条款已不符合《信息披露办法》的规定，需要根据上述法规修改。</w:t>
      </w:r>
      <w:r>
        <w:rPr>
          <w:rFonts w:asciiTheme="minorEastAsia" w:eastAsiaTheme="minorEastAsia" w:hAnsiTheme="minorEastAsia" w:hint="eastAsia"/>
          <w:color w:val="333333"/>
          <w:sz w:val="28"/>
          <w:szCs w:val="28"/>
        </w:rPr>
        <w:t>现将主要修订情况公告如下（具体修订详见附件《中海基金管理有限公司旗下三十只基金基金合同和托管协议修订对照表》）：</w:t>
      </w:r>
    </w:p>
    <w:p w:rsidR="005969A4" w:rsidRDefault="00C63D72">
      <w:pPr>
        <w:pStyle w:val="a3"/>
        <w:spacing w:before="0" w:beforeAutospacing="0" w:after="0" w:afterAutospacing="0" w:line="480" w:lineRule="atLeast"/>
        <w:jc w:val="both"/>
        <w:rPr>
          <w:rFonts w:asciiTheme="minorEastAsia" w:eastAsiaTheme="minorEastAsia" w:hAnsiTheme="minorEastAsia"/>
          <w:color w:val="333333"/>
          <w:sz w:val="28"/>
          <w:szCs w:val="28"/>
        </w:rPr>
      </w:pPr>
      <w:r>
        <w:rPr>
          <w:rFonts w:asciiTheme="minorEastAsia" w:eastAsiaTheme="minorEastAsia" w:hAnsiTheme="minorEastAsia" w:hint="eastAsia"/>
          <w:bCs/>
          <w:color w:val="000000"/>
          <w:sz w:val="28"/>
          <w:szCs w:val="28"/>
        </w:rPr>
        <w:t xml:space="preserve">  </w:t>
      </w:r>
      <w:r>
        <w:rPr>
          <w:rFonts w:asciiTheme="minorEastAsia" w:eastAsiaTheme="minorEastAsia" w:hAnsiTheme="minorEastAsia"/>
          <w:bCs/>
          <w:color w:val="000000"/>
          <w:sz w:val="28"/>
          <w:szCs w:val="28"/>
        </w:rPr>
        <w:t xml:space="preserve">  </w:t>
      </w:r>
      <w:r>
        <w:rPr>
          <w:rFonts w:asciiTheme="minorEastAsia" w:eastAsiaTheme="minorEastAsia" w:hAnsiTheme="minorEastAsia" w:hint="eastAsia"/>
          <w:color w:val="333333"/>
          <w:sz w:val="28"/>
          <w:szCs w:val="28"/>
        </w:rPr>
        <w:t>一、修订依据及修订基金范围</w:t>
      </w:r>
    </w:p>
    <w:p w:rsidR="005969A4" w:rsidRDefault="00C63D72">
      <w:pPr>
        <w:pStyle w:val="a3"/>
        <w:spacing w:before="0" w:beforeAutospacing="0" w:after="0" w:afterAutospacing="0" w:line="480" w:lineRule="atLeast"/>
        <w:ind w:firstLine="570"/>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基金管理人根据《信息披露办法》对旗下三十只存量基金的基金合同（以下简称</w:t>
      </w:r>
      <w:r>
        <w:rPr>
          <w:rFonts w:asciiTheme="minorEastAsia" w:eastAsiaTheme="minorEastAsia" w:hAnsiTheme="minorEastAsia"/>
          <w:color w:val="333333"/>
          <w:sz w:val="28"/>
          <w:szCs w:val="28"/>
        </w:rPr>
        <w:t>“</w:t>
      </w:r>
      <w:r>
        <w:rPr>
          <w:rFonts w:asciiTheme="minorEastAsia" w:eastAsiaTheme="minorEastAsia" w:hAnsiTheme="minorEastAsia" w:hint="eastAsia"/>
          <w:color w:val="333333"/>
          <w:sz w:val="28"/>
          <w:szCs w:val="28"/>
        </w:rPr>
        <w:t>存量基金合同</w:t>
      </w:r>
      <w:r>
        <w:rPr>
          <w:rFonts w:asciiTheme="minorEastAsia" w:eastAsiaTheme="minorEastAsia" w:hAnsiTheme="minorEastAsia"/>
          <w:color w:val="333333"/>
          <w:sz w:val="28"/>
          <w:szCs w:val="28"/>
        </w:rPr>
        <w:t>”</w:t>
      </w:r>
      <w:r>
        <w:rPr>
          <w:rFonts w:asciiTheme="minorEastAsia" w:eastAsiaTheme="minorEastAsia" w:hAnsiTheme="minorEastAsia" w:hint="eastAsia"/>
          <w:color w:val="333333"/>
          <w:sz w:val="28"/>
          <w:szCs w:val="28"/>
        </w:rPr>
        <w:t>）进行修订。具体基金明细如下：</w:t>
      </w:r>
    </w:p>
    <w:tbl>
      <w:tblPr>
        <w:tblW w:w="8412" w:type="dxa"/>
        <w:tblInd w:w="2" w:type="dxa"/>
        <w:tblCellMar>
          <w:left w:w="0" w:type="dxa"/>
          <w:right w:w="0" w:type="dxa"/>
        </w:tblCellMar>
        <w:tblLook w:val="04A0"/>
      </w:tblPr>
      <w:tblGrid>
        <w:gridCol w:w="957"/>
        <w:gridCol w:w="1417"/>
        <w:gridCol w:w="6038"/>
      </w:tblGrid>
      <w:tr w:rsidR="005969A4">
        <w:trPr>
          <w:trHeight w:val="20"/>
        </w:trPr>
        <w:tc>
          <w:tcPr>
            <w:tcW w:w="9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b/>
                <w:bCs/>
                <w:color w:val="000000"/>
                <w:sz w:val="28"/>
                <w:szCs w:val="28"/>
              </w:rPr>
            </w:pPr>
            <w:r>
              <w:rPr>
                <w:rFonts w:asciiTheme="minorEastAsia" w:eastAsiaTheme="minorEastAsia" w:hAnsiTheme="minorEastAsia" w:cs="宋体" w:hint="eastAsia"/>
                <w:b/>
                <w:bCs/>
                <w:color w:val="000000"/>
                <w:sz w:val="28"/>
                <w:szCs w:val="28"/>
              </w:rPr>
              <w:t>序号</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b/>
                <w:bCs/>
                <w:color w:val="000000"/>
                <w:sz w:val="28"/>
                <w:szCs w:val="28"/>
              </w:rPr>
            </w:pPr>
            <w:r>
              <w:rPr>
                <w:rFonts w:asciiTheme="minorEastAsia" w:eastAsiaTheme="minorEastAsia" w:hAnsiTheme="minorEastAsia" w:cs="宋体" w:hint="eastAsia"/>
                <w:b/>
                <w:bCs/>
                <w:color w:val="000000"/>
                <w:sz w:val="28"/>
                <w:szCs w:val="28"/>
              </w:rPr>
              <w:t>产品代码</w:t>
            </w:r>
          </w:p>
        </w:tc>
        <w:tc>
          <w:tcPr>
            <w:tcW w:w="60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b/>
                <w:bCs/>
                <w:color w:val="000000"/>
                <w:sz w:val="28"/>
                <w:szCs w:val="28"/>
              </w:rPr>
            </w:pPr>
            <w:r>
              <w:rPr>
                <w:rFonts w:asciiTheme="minorEastAsia" w:eastAsiaTheme="minorEastAsia" w:hAnsiTheme="minorEastAsia" w:cs="宋体" w:hint="eastAsia"/>
                <w:b/>
                <w:bCs/>
                <w:color w:val="000000"/>
                <w:sz w:val="28"/>
                <w:szCs w:val="28"/>
              </w:rPr>
              <w:t>产品名称</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398021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中海能源策略混合型证券投资基金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395001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中海稳健收益债券型证券投资基金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398041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中海量化策略混合型证券投资基金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399001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中海上证</w:t>
            </w:r>
            <w:r>
              <w:rPr>
                <w:rFonts w:asciiTheme="minorEastAsia" w:eastAsiaTheme="minorEastAsia" w:hAnsiTheme="minorEastAsia" w:cs="宋体"/>
                <w:color w:val="000000"/>
                <w:sz w:val="28"/>
                <w:szCs w:val="28"/>
              </w:rPr>
              <w:t>50</w:t>
            </w:r>
            <w:r>
              <w:rPr>
                <w:rFonts w:asciiTheme="minorEastAsia" w:eastAsiaTheme="minorEastAsia" w:hAnsiTheme="minorEastAsia" w:cs="宋体" w:hint="eastAsia"/>
                <w:color w:val="000000"/>
                <w:sz w:val="28"/>
                <w:szCs w:val="28"/>
              </w:rPr>
              <w:t>指数增强型证券投资基金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392001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中海货币市场证券投资基金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398051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中海环保新能源主题灵活配置混合型证券投资基金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395011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中海增强收益债券型证券投资基金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lastRenderedPageBreak/>
              <w:t>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399011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中海医疗保健主题股票型证券投资基金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000298</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中海纯债债券型证券投资基金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001279</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中海积极增利灵活配置混合型证券投资基金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393001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中海优势精选灵活配置混合型证券投资基金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398011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中海分红增利混合型证券投资基金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398031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中海蓝筹灵活配置混合型证券投资基金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398061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中海消费主题精选混合型证券投资基金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000003</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中海可转换债券债券型证券投资基金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000597</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中海积极收益灵活配置混合型证券投资基金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001574</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中海混改红利主题精选灵活配置混合型证券投资基金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002214</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中海沪港深价值优选灵活配置混合型证券投资基金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001864</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中海魅力长三角灵活配置混合型证券投资基金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004219</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中海添顺定期开放混合型证券投资基金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398001</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中海优质成长证券投资基金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000316</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中海瑞利六个月定期开放债券型证券投资基金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002213</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中海顺鑫灵活配置混合型证券投资基金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163907</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中海惠裕纯债债券型发起式证券投资基金</w:t>
            </w:r>
            <w:r>
              <w:rPr>
                <w:rFonts w:asciiTheme="minorEastAsia" w:eastAsiaTheme="minorEastAsia" w:hAnsiTheme="minorEastAsia" w:cs="宋体"/>
                <w:color w:val="000000"/>
                <w:sz w:val="28"/>
                <w:szCs w:val="28"/>
              </w:rPr>
              <w:t>(LOF)</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000878</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中海医药健康产业精选灵活配置混合型证券投资基金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lastRenderedPageBreak/>
              <w:t>26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000166</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中海信息产业精选混合型证券投资基金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001252</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中海进取收益灵活配置混合型证券投资基金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002965</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中海合嘉增强收益债券型证券投资基金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005252</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中海添瑞定期开放混合型证券投资基金</w:t>
            </w:r>
          </w:p>
        </w:tc>
      </w:tr>
      <w:tr w:rsidR="005969A4">
        <w:trPr>
          <w:trHeight w:val="20"/>
        </w:trPr>
        <w:tc>
          <w:tcPr>
            <w:tcW w:w="9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005646</w:t>
            </w:r>
          </w:p>
        </w:tc>
        <w:tc>
          <w:tcPr>
            <w:tcW w:w="60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69A4" w:rsidRDefault="00C63D72">
            <w:pPr>
              <w:widowControl/>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中海沪港深多策略灵活配置混合型证券投资基金</w:t>
            </w:r>
          </w:p>
        </w:tc>
      </w:tr>
    </w:tbl>
    <w:p w:rsidR="005969A4" w:rsidRDefault="00C63D72">
      <w:pPr>
        <w:pStyle w:val="a3"/>
        <w:spacing w:before="0" w:beforeAutospacing="0" w:after="0" w:afterAutospacing="0" w:line="480" w:lineRule="atLeas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二、基金合同修订情况</w:t>
      </w:r>
    </w:p>
    <w:p w:rsidR="005969A4" w:rsidRDefault="00C63D72">
      <w:pPr>
        <w:pStyle w:val="a3"/>
        <w:spacing w:before="0" w:beforeAutospacing="0" w:after="0" w:afterAutospacing="0" w:line="480" w:lineRule="atLeas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由于基金类别、运作方式等不同，各基金基金合同修订内容、具体表述等可能存在差异，本公告正文列示的基金合同修订内容并不特别加以区分，各基金基金合同具体修订详见附件。</w:t>
      </w:r>
    </w:p>
    <w:p w:rsidR="005969A4" w:rsidRDefault="00C63D72">
      <w:pPr>
        <w:pStyle w:val="a3"/>
        <w:spacing w:before="0" w:beforeAutospacing="0" w:after="0" w:afterAutospacing="0" w:line="480" w:lineRule="atLeast"/>
        <w:jc w:val="both"/>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（一）将存量基金合同中的公募基金信息披露法律法规名称修订为《公开募集证券投资基金信息披露管理办法》。</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（二）由于《信息披露办法》新增</w:t>
      </w:r>
      <w:r>
        <w:rPr>
          <w:rFonts w:ascii="Verdana" w:hAnsi="Verdana" w:hint="eastAsia"/>
          <w:color w:val="333333"/>
          <w:sz w:val="29"/>
          <w:szCs w:val="29"/>
        </w:rPr>
        <w:t>“</w:t>
      </w:r>
      <w:r>
        <w:rPr>
          <w:rFonts w:ascii="Verdana" w:hAnsi="Verdana"/>
          <w:color w:val="333333"/>
          <w:sz w:val="29"/>
          <w:szCs w:val="29"/>
        </w:rPr>
        <w:t>基金产品资料概要</w:t>
      </w:r>
      <w:r>
        <w:rPr>
          <w:rFonts w:ascii="Verdana" w:hAnsi="Verdana" w:hint="eastAsia"/>
          <w:color w:val="333333"/>
          <w:sz w:val="29"/>
          <w:szCs w:val="29"/>
        </w:rPr>
        <w:t>”</w:t>
      </w:r>
      <w:r>
        <w:rPr>
          <w:rFonts w:ascii="Verdana" w:hAnsi="Verdana"/>
          <w:color w:val="333333"/>
          <w:sz w:val="29"/>
          <w:szCs w:val="29"/>
        </w:rPr>
        <w:t>为公开披露的基金信息，相应在基金合同中增加</w:t>
      </w:r>
      <w:r>
        <w:rPr>
          <w:rFonts w:ascii="Verdana" w:hAnsi="Verdana" w:hint="eastAsia"/>
          <w:color w:val="333333"/>
          <w:sz w:val="29"/>
          <w:szCs w:val="29"/>
        </w:rPr>
        <w:t>“</w:t>
      </w:r>
      <w:r>
        <w:rPr>
          <w:rFonts w:ascii="Verdana" w:hAnsi="Verdana"/>
          <w:color w:val="333333"/>
          <w:sz w:val="29"/>
          <w:szCs w:val="29"/>
        </w:rPr>
        <w:t>基金产品资料概要</w:t>
      </w:r>
      <w:r>
        <w:rPr>
          <w:rFonts w:ascii="Verdana" w:hAnsi="Verdana" w:hint="eastAsia"/>
          <w:color w:val="333333"/>
          <w:sz w:val="29"/>
          <w:szCs w:val="29"/>
        </w:rPr>
        <w:t>”</w:t>
      </w:r>
      <w:r>
        <w:rPr>
          <w:rFonts w:ascii="Verdana" w:hAnsi="Verdana"/>
          <w:color w:val="333333"/>
          <w:sz w:val="29"/>
          <w:szCs w:val="29"/>
        </w:rPr>
        <w:t>释义及相关披露要求。关于基金产品资料概要的编制、披露及更新等内容，将不晚于</w:t>
      </w:r>
      <w:r>
        <w:rPr>
          <w:rFonts w:ascii="Verdana" w:hAnsi="Verdana"/>
          <w:color w:val="333333"/>
          <w:sz w:val="29"/>
          <w:szCs w:val="29"/>
        </w:rPr>
        <w:t>2020</w:t>
      </w:r>
      <w:r>
        <w:rPr>
          <w:rFonts w:ascii="Verdana" w:hAnsi="Verdana"/>
          <w:color w:val="333333"/>
          <w:sz w:val="29"/>
          <w:szCs w:val="29"/>
        </w:rPr>
        <w:t>年</w:t>
      </w:r>
      <w:r>
        <w:rPr>
          <w:rFonts w:ascii="Verdana" w:hAnsi="Verdana"/>
          <w:color w:val="333333"/>
          <w:sz w:val="29"/>
          <w:szCs w:val="29"/>
        </w:rPr>
        <w:t>9</w:t>
      </w:r>
      <w:r>
        <w:rPr>
          <w:rFonts w:ascii="Verdana" w:hAnsi="Verdana"/>
          <w:color w:val="333333"/>
          <w:sz w:val="29"/>
          <w:szCs w:val="29"/>
        </w:rPr>
        <w:t>月</w:t>
      </w:r>
      <w:r>
        <w:rPr>
          <w:rFonts w:ascii="Verdana" w:hAnsi="Verdana"/>
          <w:color w:val="333333"/>
          <w:sz w:val="29"/>
          <w:szCs w:val="29"/>
        </w:rPr>
        <w:t>1</w:t>
      </w:r>
      <w:r>
        <w:rPr>
          <w:rFonts w:ascii="Verdana" w:hAnsi="Verdana"/>
          <w:color w:val="333333"/>
          <w:sz w:val="29"/>
          <w:szCs w:val="29"/>
        </w:rPr>
        <w:t>日起执行。</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（三）由于《信息披</w:t>
      </w:r>
      <w:r>
        <w:rPr>
          <w:rFonts w:ascii="Verdana" w:hAnsi="Verdana"/>
          <w:color w:val="333333"/>
          <w:sz w:val="29"/>
          <w:szCs w:val="29"/>
        </w:rPr>
        <w:t>露办法》对招募说明书的更新要求进行了调整，即招募说明书的信息发生重大变更的，基金管理人应当在</w:t>
      </w:r>
      <w:r>
        <w:rPr>
          <w:rFonts w:ascii="Verdana" w:hAnsi="Verdana"/>
          <w:color w:val="333333"/>
          <w:sz w:val="29"/>
          <w:szCs w:val="29"/>
        </w:rPr>
        <w:t> 3 </w:t>
      </w:r>
      <w:r>
        <w:rPr>
          <w:rFonts w:ascii="Verdana" w:hAnsi="Verdana"/>
          <w:color w:val="333333"/>
          <w:sz w:val="29"/>
          <w:szCs w:val="29"/>
        </w:rPr>
        <w:t>个工作日内进行更新，其他信息发生变更的，基金管理人至少每年更新一次，基金合同终止的，基金管理人可以不再更新基金招募说明书。基于此，相应修订存量基金合同中</w:t>
      </w:r>
      <w:r>
        <w:rPr>
          <w:rFonts w:ascii="Verdana" w:hAnsi="Verdana" w:hint="eastAsia"/>
          <w:color w:val="333333"/>
          <w:sz w:val="29"/>
          <w:szCs w:val="29"/>
        </w:rPr>
        <w:t>“</w:t>
      </w:r>
      <w:r>
        <w:rPr>
          <w:rFonts w:ascii="Verdana" w:hAnsi="Verdana"/>
          <w:color w:val="333333"/>
          <w:sz w:val="29"/>
          <w:szCs w:val="29"/>
        </w:rPr>
        <w:t>招募说明书</w:t>
      </w:r>
      <w:r>
        <w:rPr>
          <w:rFonts w:ascii="Verdana" w:hAnsi="Verdana" w:hint="eastAsia"/>
          <w:color w:val="333333"/>
          <w:sz w:val="29"/>
          <w:szCs w:val="29"/>
        </w:rPr>
        <w:t>”</w:t>
      </w:r>
      <w:r>
        <w:rPr>
          <w:rFonts w:ascii="Verdana" w:hAnsi="Verdana"/>
          <w:color w:val="333333"/>
          <w:sz w:val="29"/>
          <w:szCs w:val="29"/>
        </w:rPr>
        <w:t>释义及相关披露要求。</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（四）由于《信息披露办法》取消部分信息披露文件的备案，相应修订存量基金合同中有关</w:t>
      </w:r>
      <w:r>
        <w:rPr>
          <w:rFonts w:ascii="Verdana" w:hAnsi="Verdana" w:hint="eastAsia"/>
          <w:color w:val="333333"/>
          <w:sz w:val="29"/>
          <w:szCs w:val="29"/>
        </w:rPr>
        <w:t>“</w:t>
      </w:r>
      <w:r>
        <w:rPr>
          <w:rFonts w:ascii="Verdana" w:hAnsi="Verdana"/>
          <w:color w:val="333333"/>
          <w:sz w:val="29"/>
          <w:szCs w:val="29"/>
        </w:rPr>
        <w:t>信息披露文件备案</w:t>
      </w:r>
      <w:r>
        <w:rPr>
          <w:rFonts w:ascii="Verdana" w:hAnsi="Verdana" w:hint="eastAsia"/>
          <w:color w:val="333333"/>
          <w:sz w:val="29"/>
          <w:szCs w:val="29"/>
        </w:rPr>
        <w:t>”</w:t>
      </w:r>
      <w:r>
        <w:rPr>
          <w:rFonts w:ascii="Verdana" w:hAnsi="Verdana"/>
          <w:color w:val="333333"/>
          <w:sz w:val="29"/>
          <w:szCs w:val="29"/>
        </w:rPr>
        <w:t>的描述。</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（五）由于《信息披露办法》取消开放式基金基金合同生效后，在开始办理基金份额申购或者赎回前披露基金资产净值，以</w:t>
      </w:r>
      <w:r>
        <w:rPr>
          <w:rFonts w:ascii="Verdana" w:hAnsi="Verdana"/>
          <w:color w:val="333333"/>
          <w:sz w:val="29"/>
          <w:szCs w:val="29"/>
        </w:rPr>
        <w:t>及半年度和年度末披露基金资产净值的要求，相应修订存量基金合同中有关</w:t>
      </w:r>
      <w:r>
        <w:rPr>
          <w:rFonts w:ascii="Verdana" w:hAnsi="Verdana" w:hint="eastAsia"/>
          <w:color w:val="333333"/>
          <w:sz w:val="29"/>
          <w:szCs w:val="29"/>
        </w:rPr>
        <w:t>“</w:t>
      </w:r>
      <w:r>
        <w:rPr>
          <w:rFonts w:ascii="Verdana" w:hAnsi="Verdana"/>
          <w:color w:val="333333"/>
          <w:sz w:val="29"/>
          <w:szCs w:val="29"/>
        </w:rPr>
        <w:t>基金净值披露</w:t>
      </w:r>
      <w:r>
        <w:rPr>
          <w:rFonts w:ascii="Verdana" w:hAnsi="Verdana" w:hint="eastAsia"/>
          <w:color w:val="333333"/>
          <w:sz w:val="29"/>
          <w:szCs w:val="29"/>
        </w:rPr>
        <w:t>”</w:t>
      </w:r>
      <w:r>
        <w:rPr>
          <w:rFonts w:ascii="Verdana" w:hAnsi="Verdana"/>
          <w:color w:val="333333"/>
          <w:sz w:val="29"/>
          <w:szCs w:val="29"/>
        </w:rPr>
        <w:t>的描述。</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（六）由于《信息披露办法》将</w:t>
      </w:r>
      <w:r>
        <w:rPr>
          <w:rFonts w:ascii="Verdana" w:hAnsi="Verdana" w:hint="eastAsia"/>
          <w:color w:val="333333"/>
          <w:sz w:val="29"/>
          <w:szCs w:val="29"/>
        </w:rPr>
        <w:t>“</w:t>
      </w:r>
      <w:r>
        <w:rPr>
          <w:rFonts w:ascii="Verdana" w:hAnsi="Verdana"/>
          <w:color w:val="333333"/>
          <w:sz w:val="29"/>
          <w:szCs w:val="29"/>
        </w:rPr>
        <w:t>基金半年度报告</w:t>
      </w:r>
      <w:r>
        <w:rPr>
          <w:rFonts w:ascii="Verdana" w:hAnsi="Verdana" w:hint="eastAsia"/>
          <w:color w:val="333333"/>
          <w:sz w:val="29"/>
          <w:szCs w:val="29"/>
        </w:rPr>
        <w:t>”</w:t>
      </w:r>
      <w:r>
        <w:rPr>
          <w:rFonts w:ascii="Verdana" w:hAnsi="Verdana"/>
          <w:color w:val="333333"/>
          <w:sz w:val="29"/>
          <w:szCs w:val="29"/>
        </w:rPr>
        <w:t>名称调整为</w:t>
      </w:r>
      <w:r>
        <w:rPr>
          <w:rFonts w:ascii="Verdana" w:hAnsi="Verdana" w:hint="eastAsia"/>
          <w:color w:val="333333"/>
          <w:sz w:val="29"/>
          <w:szCs w:val="29"/>
        </w:rPr>
        <w:t>“</w:t>
      </w:r>
      <w:r>
        <w:rPr>
          <w:rFonts w:ascii="Verdana" w:hAnsi="Verdana"/>
          <w:color w:val="333333"/>
          <w:sz w:val="29"/>
          <w:szCs w:val="29"/>
        </w:rPr>
        <w:t>基金中期报告</w:t>
      </w:r>
      <w:r>
        <w:rPr>
          <w:rFonts w:ascii="Verdana" w:hAnsi="Verdana" w:hint="eastAsia"/>
          <w:color w:val="333333"/>
          <w:sz w:val="29"/>
          <w:szCs w:val="29"/>
        </w:rPr>
        <w:t>”</w:t>
      </w:r>
      <w:r>
        <w:rPr>
          <w:rFonts w:ascii="Verdana" w:hAnsi="Verdana"/>
          <w:color w:val="333333"/>
          <w:sz w:val="29"/>
          <w:szCs w:val="29"/>
        </w:rPr>
        <w:t>，相应修订存量基金合同中有关描述。</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（七）按照《信息披露办法》对存量基金合同</w:t>
      </w:r>
      <w:r>
        <w:rPr>
          <w:rFonts w:ascii="Verdana" w:hAnsi="Verdana" w:hint="eastAsia"/>
          <w:color w:val="333333"/>
          <w:sz w:val="29"/>
          <w:szCs w:val="29"/>
        </w:rPr>
        <w:t>“</w:t>
      </w:r>
      <w:r>
        <w:rPr>
          <w:rFonts w:ascii="Verdana" w:hAnsi="Verdana"/>
          <w:color w:val="333333"/>
          <w:sz w:val="29"/>
          <w:szCs w:val="29"/>
        </w:rPr>
        <w:t>基金的信息披露</w:t>
      </w:r>
      <w:r>
        <w:rPr>
          <w:rFonts w:ascii="Verdana" w:hAnsi="Verdana" w:hint="eastAsia"/>
          <w:color w:val="333333"/>
          <w:sz w:val="29"/>
          <w:szCs w:val="29"/>
        </w:rPr>
        <w:t>”</w:t>
      </w:r>
      <w:r>
        <w:rPr>
          <w:rFonts w:ascii="Verdana" w:hAnsi="Verdana"/>
          <w:color w:val="333333"/>
          <w:sz w:val="29"/>
          <w:szCs w:val="29"/>
        </w:rPr>
        <w:t>章节进行整体修订，主要修订内容如下（本处以普通开放式基金修订内容为例，与货币基金、定期开放式基金等不同类别或运作方式的基金在具体修订内容上存在差异。各基金基金合同具体修订详见附件）：</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w:t>
      </w:r>
      <w:r>
        <w:rPr>
          <w:rFonts w:ascii="Verdana" w:hAnsi="Verdana"/>
          <w:color w:val="333333"/>
          <w:sz w:val="29"/>
          <w:szCs w:val="29"/>
        </w:rPr>
        <w:t>、本基金的信息披露应符合《基金法》、《运作办法》、《信息披露办法》、《基金合同》及其他有关规定。</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2</w:t>
      </w:r>
      <w:r>
        <w:rPr>
          <w:rFonts w:ascii="Verdana" w:hAnsi="Verdana"/>
          <w:color w:val="333333"/>
          <w:sz w:val="29"/>
          <w:szCs w:val="29"/>
        </w:rPr>
        <w:t>、信息披露义务人</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本基金信息披露义务人包括基金管理人、基金托管人、召集基金份额持有人大会的基金份额持有人及其日常机构等法律、行政法规和中国证监会规定的自然人、法人和非法人组织。</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本基金信息披露义务人以保护基金份额持有人利益为根本出发点，按照法律法规和中国证监会的规定披露基金信息，并保证所披露信息的真实性、准确性、完整性、及时性、简明性和易得性。</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本基金信息披露义务人应当在中国证监会规定时</w:t>
      </w:r>
      <w:r>
        <w:rPr>
          <w:rFonts w:ascii="Verdana" w:hAnsi="Verdana"/>
          <w:color w:val="333333"/>
          <w:sz w:val="29"/>
          <w:szCs w:val="29"/>
        </w:rPr>
        <w:t>间内，将应予披露的基金信息通过中国证监会指定的全国性报刊（以下简称</w:t>
      </w:r>
      <w:r>
        <w:rPr>
          <w:rFonts w:ascii="Verdana" w:hAnsi="Verdana" w:hint="eastAsia"/>
          <w:color w:val="333333"/>
          <w:sz w:val="29"/>
          <w:szCs w:val="29"/>
        </w:rPr>
        <w:t>“</w:t>
      </w:r>
      <w:r>
        <w:rPr>
          <w:rFonts w:ascii="Verdana" w:hAnsi="Verdana"/>
          <w:color w:val="333333"/>
          <w:sz w:val="29"/>
          <w:szCs w:val="29"/>
        </w:rPr>
        <w:t>指定报刊</w:t>
      </w:r>
      <w:r>
        <w:rPr>
          <w:rFonts w:ascii="Verdana" w:hAnsi="Verdana" w:hint="eastAsia"/>
          <w:color w:val="333333"/>
          <w:sz w:val="29"/>
          <w:szCs w:val="29"/>
        </w:rPr>
        <w:t>”</w:t>
      </w:r>
      <w:r>
        <w:rPr>
          <w:rFonts w:ascii="Verdana" w:hAnsi="Verdana"/>
          <w:color w:val="333333"/>
          <w:sz w:val="29"/>
          <w:szCs w:val="29"/>
        </w:rPr>
        <w:t>）及指定互联网网站（以下简称</w:t>
      </w:r>
      <w:r>
        <w:rPr>
          <w:rFonts w:ascii="Verdana" w:hAnsi="Verdana" w:hint="eastAsia"/>
          <w:color w:val="333333"/>
          <w:sz w:val="29"/>
          <w:szCs w:val="29"/>
        </w:rPr>
        <w:t>“</w:t>
      </w:r>
      <w:r>
        <w:rPr>
          <w:rFonts w:ascii="Verdana" w:hAnsi="Verdana"/>
          <w:color w:val="333333"/>
          <w:sz w:val="29"/>
          <w:szCs w:val="29"/>
        </w:rPr>
        <w:t>指定网站</w:t>
      </w:r>
      <w:r>
        <w:rPr>
          <w:rFonts w:ascii="Verdana" w:hAnsi="Verdana" w:hint="eastAsia"/>
          <w:color w:val="333333"/>
          <w:sz w:val="29"/>
          <w:szCs w:val="29"/>
        </w:rPr>
        <w:t>”</w:t>
      </w:r>
      <w:r>
        <w:rPr>
          <w:rFonts w:ascii="Verdana" w:hAnsi="Verdana"/>
          <w:color w:val="333333"/>
          <w:sz w:val="29"/>
          <w:szCs w:val="29"/>
        </w:rPr>
        <w:t>）等媒介披露，并保证基金投资者能够按照《基金合同》约定的时间和方式查阅或者复制公开披露的信息资料。</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3</w:t>
      </w:r>
      <w:r>
        <w:rPr>
          <w:rFonts w:ascii="Verdana" w:hAnsi="Verdana"/>
          <w:color w:val="333333"/>
          <w:sz w:val="29"/>
          <w:szCs w:val="29"/>
        </w:rPr>
        <w:t>、本基金信息披露义务人承诺公开披露的基金信息，不得有下列行为：</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w:t>
      </w:r>
      <w:r>
        <w:rPr>
          <w:rFonts w:ascii="Verdana" w:hAnsi="Verdana"/>
          <w:color w:val="333333"/>
          <w:sz w:val="29"/>
          <w:szCs w:val="29"/>
        </w:rPr>
        <w:t>）虚假记载、误导性陈述或者重大遗漏；</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2</w:t>
      </w:r>
      <w:r>
        <w:rPr>
          <w:rFonts w:ascii="Verdana" w:hAnsi="Verdana"/>
          <w:color w:val="333333"/>
          <w:sz w:val="29"/>
          <w:szCs w:val="29"/>
        </w:rPr>
        <w:t>）对证券投资业绩进行预测；</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3</w:t>
      </w:r>
      <w:r>
        <w:rPr>
          <w:rFonts w:ascii="Verdana" w:hAnsi="Verdana"/>
          <w:color w:val="333333"/>
          <w:sz w:val="29"/>
          <w:szCs w:val="29"/>
        </w:rPr>
        <w:t>）违规承诺收益或者承担损失；</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4</w:t>
      </w:r>
      <w:r>
        <w:rPr>
          <w:rFonts w:ascii="Verdana" w:hAnsi="Verdana"/>
          <w:color w:val="333333"/>
          <w:sz w:val="29"/>
          <w:szCs w:val="29"/>
        </w:rPr>
        <w:t>）诋毁其他基金管理人、基金托管人或者基金销售机构；</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5</w:t>
      </w:r>
      <w:r>
        <w:rPr>
          <w:rFonts w:ascii="Verdana" w:hAnsi="Verdana"/>
          <w:color w:val="333333"/>
          <w:sz w:val="29"/>
          <w:szCs w:val="29"/>
        </w:rPr>
        <w:t>）登载任何自然人、法人和非法人组织的祝贺性、恭维性或推荐性的文字；</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6</w:t>
      </w:r>
      <w:r>
        <w:rPr>
          <w:rFonts w:ascii="Verdana" w:hAnsi="Verdana"/>
          <w:color w:val="333333"/>
          <w:sz w:val="29"/>
          <w:szCs w:val="29"/>
        </w:rPr>
        <w:t>）中国证监会禁止的其他行为。</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4</w:t>
      </w:r>
      <w:r>
        <w:rPr>
          <w:rFonts w:ascii="Verdana" w:hAnsi="Verdana"/>
          <w:color w:val="333333"/>
          <w:sz w:val="29"/>
          <w:szCs w:val="29"/>
        </w:rPr>
        <w:t>、</w:t>
      </w:r>
      <w:r>
        <w:rPr>
          <w:rFonts w:ascii="Verdana" w:hAnsi="Verdana" w:hint="eastAsia"/>
          <w:color w:val="333333"/>
          <w:sz w:val="29"/>
          <w:szCs w:val="29"/>
        </w:rPr>
        <w:t>本基金公开披露的信息应采用中文文本。如同时采用外文文本的，基金信息披露义务人应保证不同文本的内容一致。不同文本之间发生歧义的，以中文文本为准。</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本基金公开披露的信息采用阿拉伯数字；除特别说明外，货币单位为人民币元。</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5</w:t>
      </w:r>
      <w:r>
        <w:rPr>
          <w:rFonts w:ascii="Verdana" w:hAnsi="Verdana"/>
          <w:color w:val="333333"/>
          <w:sz w:val="29"/>
          <w:szCs w:val="29"/>
        </w:rPr>
        <w:t>、公开披露的基金信息</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公开披露的基金信息包括：</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w:t>
      </w:r>
      <w:r>
        <w:rPr>
          <w:rFonts w:ascii="Verdana" w:hAnsi="Verdana"/>
          <w:color w:val="333333"/>
          <w:sz w:val="29"/>
          <w:szCs w:val="29"/>
        </w:rPr>
        <w:t>）基金招募说明书、《基金合同》、基金托管协议、基金产品资料概要</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w:t>
      </w:r>
      <w:r>
        <w:rPr>
          <w:rFonts w:ascii="Verdana" w:hAnsi="Verdana"/>
          <w:color w:val="333333"/>
          <w:sz w:val="29"/>
          <w:szCs w:val="29"/>
        </w:rPr>
        <w:t>）</w:t>
      </w:r>
      <w:r>
        <w:rPr>
          <w:rFonts w:ascii="Verdana" w:hAnsi="Verdana" w:hint="eastAsia"/>
          <w:color w:val="333333"/>
          <w:sz w:val="29"/>
          <w:szCs w:val="29"/>
        </w:rPr>
        <w:t>《基金合同》是界定《基金合同》当</w:t>
      </w:r>
      <w:r>
        <w:rPr>
          <w:rFonts w:ascii="Verdana" w:hAnsi="Verdana" w:hint="eastAsia"/>
          <w:color w:val="333333"/>
          <w:sz w:val="29"/>
          <w:szCs w:val="29"/>
        </w:rPr>
        <w:t>事人的各项权利、义务关系，明确基金份额持有人大会召开的规则及具体程序，说明基金产品的特性等涉及基金投资者重大利益的事项的法律文件</w:t>
      </w:r>
      <w:r>
        <w:rPr>
          <w:rFonts w:ascii="Verdana" w:hAnsi="Verdana"/>
          <w:color w:val="333333"/>
          <w:sz w:val="29"/>
          <w:szCs w:val="29"/>
        </w:rPr>
        <w:t>。</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2</w:t>
      </w:r>
      <w:r>
        <w:rPr>
          <w:rFonts w:ascii="Verdana" w:hAnsi="Verdana"/>
          <w:color w:val="333333"/>
          <w:sz w:val="29"/>
          <w:szCs w:val="29"/>
        </w:rPr>
        <w:t>）</w:t>
      </w:r>
      <w:r>
        <w:rPr>
          <w:rFonts w:ascii="Verdana" w:hAnsi="Verdana" w:hint="eastAsia"/>
          <w:color w:val="333333"/>
          <w:sz w:val="29"/>
          <w:szCs w:val="29"/>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w:t>
      </w:r>
      <w:r>
        <w:rPr>
          <w:rFonts w:ascii="Verdana" w:hAnsi="Verdana" w:hint="eastAsia"/>
          <w:color w:val="333333"/>
          <w:sz w:val="29"/>
          <w:szCs w:val="29"/>
        </w:rPr>
        <w:t>人不再更新基金招募说明书</w:t>
      </w:r>
      <w:r>
        <w:rPr>
          <w:rFonts w:ascii="Verdana" w:hAnsi="Verdana"/>
          <w:color w:val="333333"/>
          <w:sz w:val="29"/>
          <w:szCs w:val="29"/>
        </w:rPr>
        <w:t>。</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3</w:t>
      </w:r>
      <w:r>
        <w:rPr>
          <w:rFonts w:ascii="Verdana" w:hAnsi="Verdana"/>
          <w:color w:val="333333"/>
          <w:sz w:val="29"/>
          <w:szCs w:val="29"/>
        </w:rPr>
        <w:t>）</w:t>
      </w:r>
      <w:r>
        <w:rPr>
          <w:rFonts w:ascii="Verdana" w:hAnsi="Verdana" w:hint="eastAsia"/>
          <w:color w:val="333333"/>
          <w:sz w:val="29"/>
          <w:szCs w:val="29"/>
        </w:rPr>
        <w:t>基金托管协议是界定基金托管人和基金管理人在基金财产保管及基金运作监督等活动中的权利、义务关系的法律文件</w:t>
      </w:r>
      <w:r>
        <w:rPr>
          <w:rFonts w:ascii="Verdana" w:hAnsi="Verdana"/>
          <w:color w:val="333333"/>
          <w:sz w:val="29"/>
          <w:szCs w:val="29"/>
        </w:rPr>
        <w:t>。</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4</w:t>
      </w:r>
      <w:r>
        <w:rPr>
          <w:rFonts w:ascii="Verdana" w:hAnsi="Verdana"/>
          <w:color w:val="333333"/>
          <w:sz w:val="29"/>
          <w:szCs w:val="29"/>
        </w:rPr>
        <w:t>）</w:t>
      </w:r>
      <w:r>
        <w:rPr>
          <w:rFonts w:ascii="Verdana" w:hAnsi="Verdana" w:hint="eastAsia"/>
          <w:color w:val="333333"/>
          <w:sz w:val="29"/>
          <w:szCs w:val="29"/>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r>
        <w:rPr>
          <w:rFonts w:ascii="Verdana" w:hAnsi="Verdana"/>
          <w:color w:val="333333"/>
          <w:sz w:val="29"/>
          <w:szCs w:val="29"/>
        </w:rPr>
        <w:t>。</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hint="eastAsia"/>
          <w:color w:val="333333"/>
          <w:sz w:val="29"/>
          <w:szCs w:val="29"/>
        </w:rPr>
        <w:t>基金</w:t>
      </w:r>
      <w:r>
        <w:rPr>
          <w:rFonts w:ascii="Verdana" w:hAnsi="Verdana" w:hint="eastAsia"/>
          <w:color w:val="333333"/>
          <w:sz w:val="29"/>
          <w:szCs w:val="29"/>
        </w:rPr>
        <w:t>募集申请经中国证监会注册后，基金管理人在基金份额发售的</w:t>
      </w:r>
      <w:r>
        <w:rPr>
          <w:rFonts w:ascii="Verdana" w:hAnsi="Verdana" w:hint="eastAsia"/>
          <w:color w:val="333333"/>
          <w:sz w:val="29"/>
          <w:szCs w:val="29"/>
        </w:rPr>
        <w:t>3</w:t>
      </w:r>
      <w:r>
        <w:rPr>
          <w:rFonts w:ascii="Verdana" w:hAnsi="Verdana" w:hint="eastAsia"/>
          <w:color w:val="333333"/>
          <w:sz w:val="29"/>
          <w:szCs w:val="29"/>
        </w:rPr>
        <w:t>日前，将基金招募说明书、《基金合同》摘要登载在指定媒介上；基金管理人、基金托管人应当将《基金合同》、基金托管协议登载在网站上</w:t>
      </w:r>
      <w:r>
        <w:rPr>
          <w:rFonts w:ascii="Verdana" w:hAnsi="Verdana"/>
          <w:color w:val="333333"/>
          <w:sz w:val="29"/>
          <w:szCs w:val="29"/>
        </w:rPr>
        <w:t>。</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2</w:t>
      </w:r>
      <w:r>
        <w:rPr>
          <w:rFonts w:ascii="Verdana" w:hAnsi="Verdana"/>
          <w:color w:val="333333"/>
          <w:sz w:val="29"/>
          <w:szCs w:val="29"/>
        </w:rPr>
        <w:t>）基金份额发售公告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hint="eastAsia"/>
          <w:color w:val="333333"/>
          <w:sz w:val="29"/>
          <w:szCs w:val="29"/>
        </w:rPr>
        <w:t>基金管理人应当就基金份额发售的具体事宜编制基金份额发售公告，并在披露招募说明书的当日登载于指定媒介上</w:t>
      </w:r>
      <w:r>
        <w:rPr>
          <w:rFonts w:ascii="Verdana" w:hAnsi="Verdana"/>
          <w:color w:val="333333"/>
          <w:sz w:val="29"/>
          <w:szCs w:val="29"/>
        </w:rPr>
        <w:t>。</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3</w:t>
      </w:r>
      <w:r>
        <w:rPr>
          <w:rFonts w:ascii="Verdana" w:hAnsi="Verdana"/>
          <w:color w:val="333333"/>
          <w:sz w:val="29"/>
          <w:szCs w:val="29"/>
        </w:rPr>
        <w:t>）《基金合同》生效公告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hint="eastAsia"/>
          <w:color w:val="333333"/>
          <w:sz w:val="29"/>
          <w:szCs w:val="29"/>
        </w:rPr>
        <w:t>基金管理人应当在收到中国证监会确认文件的次日在指定媒介上登载《基金合同》生效公告</w:t>
      </w:r>
      <w:r>
        <w:rPr>
          <w:rFonts w:ascii="Verdana" w:hAnsi="Verdana"/>
          <w:color w:val="333333"/>
          <w:sz w:val="29"/>
          <w:szCs w:val="29"/>
        </w:rPr>
        <w:t>。</w:t>
      </w:r>
    </w:p>
    <w:p w:rsidR="005969A4" w:rsidRDefault="00C63D72">
      <w:pPr>
        <w:pStyle w:val="a3"/>
        <w:spacing w:before="0" w:beforeAutospacing="0" w:after="0" w:afterAutospacing="0" w:line="480" w:lineRule="atLeast"/>
        <w:ind w:firstLine="570"/>
        <w:jc w:val="both"/>
        <w:rPr>
          <w:rFonts w:ascii="Verdana" w:hAnsi="Verdana"/>
          <w:color w:val="333333"/>
          <w:sz w:val="29"/>
          <w:szCs w:val="29"/>
        </w:rPr>
      </w:pPr>
      <w:r>
        <w:rPr>
          <w:rFonts w:ascii="Verdana" w:hAnsi="Verdana"/>
          <w:color w:val="333333"/>
          <w:sz w:val="29"/>
          <w:szCs w:val="29"/>
        </w:rPr>
        <w:t>（</w:t>
      </w:r>
      <w:r>
        <w:rPr>
          <w:rFonts w:ascii="Verdana" w:hAnsi="Verdana"/>
          <w:color w:val="333333"/>
          <w:sz w:val="29"/>
          <w:szCs w:val="29"/>
        </w:rPr>
        <w:t>4</w:t>
      </w:r>
      <w:r>
        <w:rPr>
          <w:rFonts w:ascii="Verdana" w:hAnsi="Verdana"/>
          <w:color w:val="333333"/>
          <w:sz w:val="29"/>
          <w:szCs w:val="29"/>
        </w:rPr>
        <w:t>）基金净值信息</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《基金合同》生效后，在开始办理基金份额申购或者赎回前，基金管理人应当至少每周公告一次基金资产净值和基金份额净值。</w:t>
      </w:r>
    </w:p>
    <w:p w:rsidR="005969A4" w:rsidRDefault="00C63D72">
      <w:pPr>
        <w:pStyle w:val="a3"/>
        <w:adjustRightInd w:val="0"/>
        <w:snapToGrid w:val="0"/>
        <w:spacing w:before="0" w:beforeAutospacing="0" w:after="0" w:afterAutospacing="0" w:line="360" w:lineRule="auto"/>
        <w:ind w:firstLineChars="200" w:firstLine="580"/>
        <w:jc w:val="both"/>
        <w:rPr>
          <w:rFonts w:ascii="Verdana" w:hAnsi="Verdana"/>
          <w:color w:val="333333"/>
          <w:sz w:val="29"/>
          <w:szCs w:val="29"/>
        </w:rPr>
      </w:pPr>
      <w:r>
        <w:rPr>
          <w:rFonts w:ascii="Verdana" w:hAnsi="Verdana" w:hint="eastAsia"/>
          <w:color w:val="333333"/>
          <w:sz w:val="29"/>
          <w:szCs w:val="29"/>
        </w:rPr>
        <w:t>在开始办理基金份额申购或者赎回后，基金管理人应当在不晚于每个开放日的次日，通过指定网站、基金销售机构网站或者营业网点，披露开放日的基金份额净值和基金份额累计净值。</w:t>
      </w:r>
    </w:p>
    <w:p w:rsidR="005969A4" w:rsidRDefault="00C63D72">
      <w:pPr>
        <w:pStyle w:val="a3"/>
        <w:adjustRightInd w:val="0"/>
        <w:snapToGrid w:val="0"/>
        <w:spacing w:before="0" w:beforeAutospacing="0" w:after="0" w:afterAutospacing="0" w:line="360" w:lineRule="auto"/>
        <w:ind w:firstLineChars="200" w:firstLine="580"/>
        <w:jc w:val="both"/>
        <w:rPr>
          <w:rFonts w:ascii="Verdana" w:hAnsi="Verdana"/>
          <w:color w:val="333333"/>
          <w:sz w:val="29"/>
          <w:szCs w:val="29"/>
        </w:rPr>
      </w:pPr>
      <w:r>
        <w:rPr>
          <w:rFonts w:ascii="Verdana" w:hAnsi="Verdana" w:hint="eastAsia"/>
          <w:color w:val="333333"/>
          <w:sz w:val="29"/>
          <w:szCs w:val="29"/>
        </w:rPr>
        <w:t>基金管理人应当在不晚于半年度和年度最后一日的次日，在指定网站披露半年度和年度最后一日的基金份额净值和基金份额累计净值。</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5</w:t>
      </w:r>
      <w:r>
        <w:rPr>
          <w:rFonts w:ascii="Verdana" w:hAnsi="Verdana"/>
          <w:color w:val="333333"/>
          <w:sz w:val="29"/>
          <w:szCs w:val="29"/>
        </w:rPr>
        <w:t>）基金份额申购、赎回价格</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hint="eastAsia"/>
          <w:color w:val="333333"/>
          <w:sz w:val="29"/>
          <w:szCs w:val="29"/>
        </w:rPr>
        <w:t>基金管理人应当在《基金合同》、招募说明书等信息披露文件上载明基金份额</w:t>
      </w:r>
      <w:r>
        <w:rPr>
          <w:rFonts w:ascii="Verdana" w:hAnsi="Verdana" w:hint="eastAsia"/>
          <w:color w:val="333333"/>
          <w:sz w:val="29"/>
          <w:szCs w:val="29"/>
        </w:rPr>
        <w:t>申购、赎回价格的计算方式及有关申购、赎回费率，并保证投资者能够在基金销售机构网站或营业网点查阅或者复制前述信息资料。</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6</w:t>
      </w:r>
      <w:r>
        <w:rPr>
          <w:rFonts w:ascii="Verdana" w:hAnsi="Verdana"/>
          <w:color w:val="333333"/>
          <w:sz w:val="29"/>
          <w:szCs w:val="29"/>
        </w:rPr>
        <w:t>）基金定期报告，包括基金年度报告、基金中期报告和基金季度报告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基金管理人应当在上半年结束之日起两个月内，编制完成基金中期报告，将中期报告登载在指定网站上，并</w:t>
      </w:r>
      <w:r>
        <w:rPr>
          <w:rFonts w:ascii="Verdana" w:hAnsi="Verdana" w:hint="eastAsia"/>
          <w:color w:val="333333"/>
          <w:sz w:val="29"/>
          <w:szCs w:val="29"/>
        </w:rPr>
        <w:t>将中期报告提示性公告登载在指定报刊上。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基金管理人应当在季度结束之日起</w:t>
      </w:r>
      <w:r>
        <w:rPr>
          <w:rFonts w:ascii="Verdana" w:hAnsi="Verdana" w:hint="eastAsia"/>
          <w:color w:val="333333"/>
          <w:sz w:val="29"/>
          <w:szCs w:val="29"/>
        </w:rPr>
        <w:t>15</w:t>
      </w:r>
      <w:r>
        <w:rPr>
          <w:rFonts w:ascii="Verdana" w:hAnsi="Verdana" w:hint="eastAsia"/>
          <w:color w:val="333333"/>
          <w:sz w:val="29"/>
          <w:szCs w:val="29"/>
        </w:rPr>
        <w:t>个工作日内，编制完成基金季度报告，将季度报告登载在指定网站上，并将季度报告提示性公告登载在指定报刊上。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《基金合同》生效不足</w:t>
      </w:r>
      <w:r>
        <w:rPr>
          <w:rFonts w:ascii="Verdana" w:hAnsi="Verdana" w:hint="eastAsia"/>
          <w:color w:val="333333"/>
          <w:sz w:val="29"/>
          <w:szCs w:val="29"/>
        </w:rPr>
        <w:t>2</w:t>
      </w:r>
      <w:r>
        <w:rPr>
          <w:rFonts w:ascii="Verdana" w:hAnsi="Verdana" w:hint="eastAsia"/>
          <w:color w:val="333333"/>
          <w:sz w:val="29"/>
          <w:szCs w:val="29"/>
        </w:rPr>
        <w:t>个月的，基金管理人可以不编制当期季度报告、中期报告或者年度报告。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报告期内出现单一投资者持有基金份额比例达到或超过基金总份额</w:t>
      </w:r>
      <w:r>
        <w:rPr>
          <w:rFonts w:ascii="Verdana" w:hAnsi="Verdana" w:hint="eastAsia"/>
          <w:color w:val="333333"/>
          <w:sz w:val="29"/>
          <w:szCs w:val="29"/>
        </w:rPr>
        <w:t>20%</w:t>
      </w:r>
      <w:r>
        <w:rPr>
          <w:rFonts w:ascii="Verdana" w:hAnsi="Verdana" w:hint="eastAsia"/>
          <w:color w:val="333333"/>
          <w:sz w:val="29"/>
          <w:szCs w:val="29"/>
        </w:rPr>
        <w:t>的情形，为保障其他投资者利益，基金管理人应当在季度报告、中期报告、年度报告等定期报告文件中“影响投资者决策的其他重要信息”项下披露该投资者的类别、报告期末持有</w:t>
      </w:r>
      <w:r>
        <w:rPr>
          <w:rFonts w:ascii="Verdana" w:hAnsi="Verdana" w:hint="eastAsia"/>
          <w:color w:val="333333"/>
          <w:sz w:val="29"/>
          <w:szCs w:val="29"/>
        </w:rPr>
        <w:t>份额及占比、报告期内持有份额变化情况及本基金的特有风险。</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本基金持续运作过程中，应当在基金年度报告和中期报告中披露基金组合资产情况及其流动性风险分析等。</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7</w:t>
      </w:r>
      <w:r>
        <w:rPr>
          <w:rFonts w:ascii="Verdana" w:hAnsi="Verdana"/>
          <w:color w:val="333333"/>
          <w:sz w:val="29"/>
          <w:szCs w:val="29"/>
        </w:rPr>
        <w:t>）临时报告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本基金发生重大事件，有关信息披露义务人应当在</w:t>
      </w:r>
      <w:r>
        <w:rPr>
          <w:rFonts w:ascii="Verdana" w:hAnsi="Verdana"/>
          <w:color w:val="333333"/>
          <w:sz w:val="29"/>
          <w:szCs w:val="29"/>
        </w:rPr>
        <w:t>2</w:t>
      </w:r>
      <w:r>
        <w:rPr>
          <w:rFonts w:ascii="Verdana" w:hAnsi="Verdana"/>
          <w:color w:val="333333"/>
          <w:sz w:val="29"/>
          <w:szCs w:val="29"/>
        </w:rPr>
        <w:t>日内编制临时报告书，并登载在指定报刊和指定网站上。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前款所称重大事件，是指可能对基金份额持有人权益或者基金份额的价格产生重大影响的下列事件：</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w:t>
      </w:r>
      <w:r>
        <w:rPr>
          <w:rFonts w:ascii="Verdana" w:hAnsi="Verdana"/>
          <w:color w:val="333333"/>
          <w:sz w:val="29"/>
          <w:szCs w:val="29"/>
        </w:rPr>
        <w:t>）基金份额持有人大会的召开及决定的事项；</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2</w:t>
      </w:r>
      <w:r>
        <w:rPr>
          <w:rFonts w:ascii="Verdana" w:hAnsi="Verdana"/>
          <w:color w:val="333333"/>
          <w:sz w:val="29"/>
          <w:szCs w:val="29"/>
        </w:rPr>
        <w:t>）《基金合同》终止、基金清算；</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3</w:t>
      </w:r>
      <w:r>
        <w:rPr>
          <w:rFonts w:ascii="Verdana" w:hAnsi="Verdana"/>
          <w:color w:val="333333"/>
          <w:sz w:val="29"/>
          <w:szCs w:val="29"/>
        </w:rPr>
        <w:t>）转换基金运作方式、基金合并；</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4</w:t>
      </w:r>
      <w:r>
        <w:rPr>
          <w:rFonts w:ascii="Verdana" w:hAnsi="Verdana"/>
          <w:color w:val="333333"/>
          <w:sz w:val="29"/>
          <w:szCs w:val="29"/>
        </w:rPr>
        <w:t>）更换基金管理人、基金托管人、基金份额登记机构，基金改聘会计师事务所；</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5</w:t>
      </w:r>
      <w:r>
        <w:rPr>
          <w:rFonts w:ascii="Verdana" w:hAnsi="Verdana"/>
          <w:color w:val="333333"/>
          <w:sz w:val="29"/>
          <w:szCs w:val="29"/>
        </w:rPr>
        <w:t>）基金管理人委托基金服务机构代为办理基金的份额登记、核算、估值等事项，基金托管人委托基金服务机构代为办理基金的核算、估值、复核等事项；</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6</w:t>
      </w:r>
      <w:r>
        <w:rPr>
          <w:rFonts w:ascii="Verdana" w:hAnsi="Verdana"/>
          <w:color w:val="333333"/>
          <w:sz w:val="29"/>
          <w:szCs w:val="29"/>
        </w:rPr>
        <w:t>）基金管理人、基金托管人的法定名称、住所发生变更；</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7</w:t>
      </w:r>
      <w:r>
        <w:rPr>
          <w:rFonts w:ascii="Verdana" w:hAnsi="Verdana"/>
          <w:color w:val="333333"/>
          <w:sz w:val="29"/>
          <w:szCs w:val="29"/>
        </w:rPr>
        <w:t>）基金管理人变更持有百分之五以上股权的股东、基金管理人的实际控制人变更；</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8</w:t>
      </w:r>
      <w:r>
        <w:rPr>
          <w:rFonts w:ascii="Verdana" w:hAnsi="Verdana"/>
          <w:color w:val="333333"/>
          <w:sz w:val="29"/>
          <w:szCs w:val="29"/>
        </w:rPr>
        <w:t>）基金募集期延长；</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9</w:t>
      </w:r>
      <w:r>
        <w:rPr>
          <w:rFonts w:ascii="Verdana" w:hAnsi="Verdana"/>
          <w:color w:val="333333"/>
          <w:sz w:val="29"/>
          <w:szCs w:val="29"/>
        </w:rPr>
        <w:t>）基金管理人的高级管理人员、基金经理和基金托管人专门基金托管部门负责人发生变动；</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10</w:t>
      </w:r>
      <w:r>
        <w:rPr>
          <w:rFonts w:ascii="Verdana" w:hAnsi="Verdana"/>
          <w:color w:val="333333"/>
          <w:sz w:val="29"/>
          <w:szCs w:val="29"/>
        </w:rPr>
        <w:t>）基金管理人的董事在最近</w:t>
      </w:r>
      <w:r>
        <w:rPr>
          <w:rFonts w:ascii="Verdana" w:hAnsi="Verdana"/>
          <w:color w:val="333333"/>
          <w:sz w:val="29"/>
          <w:szCs w:val="29"/>
        </w:rPr>
        <w:t>12</w:t>
      </w:r>
      <w:r>
        <w:rPr>
          <w:rFonts w:ascii="Verdana" w:hAnsi="Verdana"/>
          <w:color w:val="333333"/>
          <w:sz w:val="29"/>
          <w:szCs w:val="29"/>
        </w:rPr>
        <w:t>个月内变更超过百分之五十，基金管理人、基金托管人专门基金托管部门的主要业务人员在最近</w:t>
      </w:r>
      <w:r>
        <w:rPr>
          <w:rFonts w:ascii="Verdana" w:hAnsi="Verdana"/>
          <w:color w:val="333333"/>
          <w:sz w:val="29"/>
          <w:szCs w:val="29"/>
        </w:rPr>
        <w:t>12</w:t>
      </w:r>
      <w:r>
        <w:rPr>
          <w:rFonts w:ascii="Verdana" w:hAnsi="Verdana"/>
          <w:color w:val="333333"/>
          <w:sz w:val="29"/>
          <w:szCs w:val="29"/>
        </w:rPr>
        <w:t>个月内变动超过百分之三十；</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11</w:t>
      </w:r>
      <w:r>
        <w:rPr>
          <w:rFonts w:ascii="Verdana" w:hAnsi="Verdana"/>
          <w:color w:val="333333"/>
          <w:sz w:val="29"/>
          <w:szCs w:val="29"/>
        </w:rPr>
        <w:t>）涉及基金管理业务、基金财产、基金托管业务的诉讼或仲裁；</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12</w:t>
      </w:r>
      <w:r>
        <w:rPr>
          <w:rFonts w:ascii="Verdana" w:hAnsi="Verdana"/>
          <w:color w:val="333333"/>
          <w:sz w:val="29"/>
          <w:szCs w:val="29"/>
        </w:rPr>
        <w:t>）基金管理人或其高级管理人员、基金经理因基金管理业务相关行为受到重大行政处罚、刑事处罚，基金托管人或其专门基金托管部门负责人因基金托管业务相关行为受到重大行政处罚、刑事处罚；</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13</w:t>
      </w:r>
      <w:r>
        <w:rPr>
          <w:rFonts w:ascii="Verdana" w:hAnsi="Verdana"/>
          <w:color w:val="333333"/>
          <w:sz w:val="29"/>
          <w:szCs w:val="29"/>
        </w:rPr>
        <w:t>）基金管理人运用基金财产买卖基金管理人、基金托管人及其控股股东、实际控制人或者与其有重大利害关系的公司</w:t>
      </w:r>
      <w:r>
        <w:rPr>
          <w:rFonts w:ascii="Verdana" w:hAnsi="Verdana"/>
          <w:color w:val="333333"/>
          <w:sz w:val="29"/>
          <w:szCs w:val="29"/>
        </w:rPr>
        <w:t>发行的证券或者承销期内承销的证券，或者从事其他重大关联交易事项，但中国证监会另有规定的除外；</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14</w:t>
      </w:r>
      <w:r>
        <w:rPr>
          <w:rFonts w:ascii="Verdana" w:hAnsi="Verdana"/>
          <w:color w:val="333333"/>
          <w:sz w:val="29"/>
          <w:szCs w:val="29"/>
        </w:rPr>
        <w:t>）基金收益分配事项；</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15</w:t>
      </w:r>
      <w:r>
        <w:rPr>
          <w:rFonts w:ascii="Verdana" w:hAnsi="Verdana"/>
          <w:color w:val="333333"/>
          <w:sz w:val="29"/>
          <w:szCs w:val="29"/>
        </w:rPr>
        <w:t>）管理费、托管费、销售服务费、申购费、赎回费等费用计提标准、计提方式和费率发生变更；</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16</w:t>
      </w:r>
      <w:r>
        <w:rPr>
          <w:rFonts w:ascii="Verdana" w:hAnsi="Verdana"/>
          <w:color w:val="333333"/>
          <w:sz w:val="29"/>
          <w:szCs w:val="29"/>
        </w:rPr>
        <w:t>）基金份额净值计价错误达基金份额净值百分之零点五；</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17</w:t>
      </w:r>
      <w:r>
        <w:rPr>
          <w:rFonts w:ascii="Verdana" w:hAnsi="Verdana"/>
          <w:color w:val="333333"/>
          <w:sz w:val="29"/>
          <w:szCs w:val="29"/>
        </w:rPr>
        <w:t>）本基金开始办理申购、赎回；</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18</w:t>
      </w:r>
      <w:r>
        <w:rPr>
          <w:rFonts w:ascii="Verdana" w:hAnsi="Verdana"/>
          <w:color w:val="333333"/>
          <w:sz w:val="29"/>
          <w:szCs w:val="29"/>
        </w:rPr>
        <w:t>）本基金发生巨额赎回并延期办理；</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19</w:t>
      </w:r>
      <w:r>
        <w:rPr>
          <w:rFonts w:ascii="Verdana" w:hAnsi="Verdana"/>
          <w:color w:val="333333"/>
          <w:sz w:val="29"/>
          <w:szCs w:val="29"/>
        </w:rPr>
        <w:t>）本基金连续发生巨额赎回并暂停接受赎回申请或延缓支付赎回款项；</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20</w:t>
      </w:r>
      <w:r>
        <w:rPr>
          <w:rFonts w:ascii="Verdana" w:hAnsi="Verdana"/>
          <w:color w:val="333333"/>
          <w:sz w:val="29"/>
          <w:szCs w:val="29"/>
        </w:rPr>
        <w:t>）本基金暂停接受申购、赎回申请或重新接受申购、赎回申请；</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21</w:t>
      </w:r>
      <w:r>
        <w:rPr>
          <w:rFonts w:ascii="Verdana" w:hAnsi="Verdana"/>
          <w:color w:val="333333"/>
          <w:sz w:val="29"/>
          <w:szCs w:val="29"/>
        </w:rPr>
        <w:t>）本基金</w:t>
      </w:r>
      <w:r>
        <w:rPr>
          <w:rFonts w:ascii="Verdana" w:hAnsi="Verdana"/>
          <w:color w:val="333333"/>
          <w:sz w:val="29"/>
          <w:szCs w:val="29"/>
        </w:rPr>
        <w:t>发生涉及基金申购、赎回事项调整或潜在影响投资者赎回等重大事项时；</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22</w:t>
      </w:r>
      <w:r>
        <w:rPr>
          <w:rFonts w:ascii="Verdana" w:hAnsi="Verdana"/>
          <w:color w:val="333333"/>
          <w:sz w:val="29"/>
          <w:szCs w:val="29"/>
        </w:rPr>
        <w:t>）基金管理人采用摆动定价机制进行估值；</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23</w:t>
      </w:r>
      <w:r>
        <w:rPr>
          <w:rFonts w:ascii="Verdana" w:hAnsi="Verdana"/>
          <w:color w:val="333333"/>
          <w:sz w:val="29"/>
          <w:szCs w:val="29"/>
        </w:rPr>
        <w:t>）基金信息披露义务人认为可能对基金份额持有人权益或者基金份额的价格产生重大影响的其他事项或中国证监会规定的其他事项。</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8</w:t>
      </w:r>
      <w:r>
        <w:rPr>
          <w:rFonts w:ascii="Verdana" w:hAnsi="Verdana"/>
          <w:color w:val="333333"/>
          <w:sz w:val="29"/>
          <w:szCs w:val="29"/>
        </w:rPr>
        <w:t>）澄清公告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hint="eastAsia"/>
          <w:color w:val="333333"/>
          <w:sz w:val="29"/>
          <w:szCs w:val="29"/>
        </w:rPr>
        <w:t>9</w:t>
      </w:r>
      <w:r>
        <w:rPr>
          <w:rFonts w:ascii="Verdana" w:hAnsi="Verdana"/>
          <w:color w:val="333333"/>
          <w:sz w:val="29"/>
          <w:szCs w:val="29"/>
        </w:rPr>
        <w:t>）清算报告</w:t>
      </w:r>
    </w:p>
    <w:p w:rsidR="005969A4" w:rsidRDefault="00C63D72">
      <w:pPr>
        <w:pStyle w:val="a3"/>
        <w:spacing w:before="0" w:beforeAutospacing="0" w:after="0" w:afterAutospacing="0" w:line="480" w:lineRule="atLeast"/>
        <w:ind w:firstLine="585"/>
        <w:jc w:val="both"/>
        <w:rPr>
          <w:rFonts w:ascii="Verdana" w:hAnsi="Verdana"/>
          <w:color w:val="333333"/>
          <w:sz w:val="29"/>
          <w:szCs w:val="29"/>
        </w:rPr>
      </w:pPr>
      <w:r>
        <w:rPr>
          <w:rFonts w:ascii="Verdana" w:hAnsi="Verdana"/>
          <w:color w:val="333333"/>
          <w:sz w:val="29"/>
          <w:szCs w:val="29"/>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color w:val="333333"/>
          <w:sz w:val="29"/>
          <w:szCs w:val="29"/>
        </w:rPr>
        <w:t>（</w:t>
      </w:r>
      <w:r>
        <w:rPr>
          <w:rFonts w:ascii="Verdana" w:hAnsi="Verdana" w:hint="eastAsia"/>
          <w:color w:val="333333"/>
          <w:sz w:val="29"/>
          <w:szCs w:val="29"/>
        </w:rPr>
        <w:t>10</w:t>
      </w:r>
      <w:r>
        <w:rPr>
          <w:rFonts w:ascii="Verdana" w:hAnsi="Verdana"/>
          <w:color w:val="333333"/>
          <w:sz w:val="29"/>
          <w:szCs w:val="29"/>
        </w:rPr>
        <w:t>）基金份额持有人大会决议</w:t>
      </w:r>
    </w:p>
    <w:p w:rsidR="005969A4" w:rsidRDefault="00C63D72">
      <w:pPr>
        <w:pStyle w:val="a3"/>
        <w:spacing w:before="0" w:beforeAutospacing="0" w:after="0" w:afterAutospacing="0" w:line="480" w:lineRule="atLeast"/>
        <w:ind w:firstLine="585"/>
        <w:jc w:val="both"/>
        <w:rPr>
          <w:rFonts w:ascii="Verdana" w:hAnsi="Verdana"/>
          <w:color w:val="333333"/>
          <w:sz w:val="29"/>
          <w:szCs w:val="29"/>
        </w:rPr>
      </w:pPr>
      <w:r>
        <w:rPr>
          <w:rFonts w:ascii="Verdana" w:hAnsi="Verdana"/>
          <w:color w:val="333333"/>
          <w:sz w:val="29"/>
          <w:szCs w:val="29"/>
        </w:rPr>
        <w:t>基金份额持有人大会决定的事项，应当依法报中国证监会备案，并予以公告。</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w:t>
      </w:r>
      <w:r>
        <w:rPr>
          <w:rFonts w:ascii="Verdana" w:hAnsi="Verdana" w:hint="eastAsia"/>
          <w:color w:val="333333"/>
          <w:sz w:val="29"/>
          <w:szCs w:val="29"/>
        </w:rPr>
        <w:t>11</w:t>
      </w:r>
      <w:r>
        <w:rPr>
          <w:rFonts w:ascii="Verdana" w:hAnsi="Verdana" w:hint="eastAsia"/>
          <w:color w:val="333333"/>
          <w:sz w:val="29"/>
          <w:szCs w:val="29"/>
        </w:rPr>
        <w:t>）投资于中小企业私募债券的信息</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1</w:t>
      </w:r>
      <w:r>
        <w:rPr>
          <w:rFonts w:ascii="Verdana" w:hAnsi="Verdana" w:hint="eastAsia"/>
          <w:color w:val="333333"/>
          <w:sz w:val="29"/>
          <w:szCs w:val="29"/>
        </w:rPr>
        <w:t>）基金管理人应当在基金投资中小企业私募债券后</w:t>
      </w:r>
      <w:r>
        <w:rPr>
          <w:rFonts w:ascii="Verdana" w:hAnsi="Verdana" w:hint="eastAsia"/>
          <w:color w:val="333333"/>
          <w:sz w:val="29"/>
          <w:szCs w:val="29"/>
        </w:rPr>
        <w:t>2</w:t>
      </w:r>
      <w:r>
        <w:rPr>
          <w:rFonts w:ascii="Verdana" w:hAnsi="Verdana" w:hint="eastAsia"/>
          <w:color w:val="333333"/>
          <w:sz w:val="29"/>
          <w:szCs w:val="29"/>
        </w:rPr>
        <w:t>个交易日内，在中国证监会指定媒介披露所投资中小企业私募债券的名称、数量、期限、收益率等信息。</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2</w:t>
      </w:r>
      <w:r>
        <w:rPr>
          <w:rFonts w:ascii="Verdana" w:hAnsi="Verdana" w:hint="eastAsia"/>
          <w:color w:val="333333"/>
          <w:sz w:val="29"/>
          <w:szCs w:val="29"/>
        </w:rPr>
        <w:t>）基金管理人应当在季度报告、中期报告、年度报告等定期报告和招募说明书（更新）等文件中披露中小企业私募债券的投资情况。</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12</w:t>
      </w:r>
      <w:r>
        <w:rPr>
          <w:rFonts w:ascii="Verdana" w:hAnsi="Verdana"/>
          <w:color w:val="333333"/>
          <w:sz w:val="29"/>
          <w:szCs w:val="29"/>
        </w:rPr>
        <w:t>）中国证监会规定的其他信息。</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6</w:t>
      </w:r>
      <w:r>
        <w:rPr>
          <w:rFonts w:ascii="Verdana" w:hAnsi="Verdana"/>
          <w:color w:val="333333"/>
          <w:sz w:val="29"/>
          <w:szCs w:val="29"/>
        </w:rPr>
        <w:t>、信息披露事务管理</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hint="eastAsia"/>
          <w:color w:val="333333"/>
          <w:sz w:val="29"/>
          <w:szCs w:val="29"/>
        </w:rPr>
        <w:t>基金管理人、基金托管人应当建立健全信息披露管理制度，指定专门部门及高级管理人员负责管理信息披露事务。</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基金信息披露义务人公开披露基金信息，应当符合中国证监会相关基金信息披露内容与格式准则等法规的规定。</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基金管理人、基金托管人除</w:t>
      </w:r>
      <w:r>
        <w:rPr>
          <w:rFonts w:ascii="Verdana" w:hAnsi="Verdana" w:hint="eastAsia"/>
          <w:color w:val="333333"/>
          <w:sz w:val="29"/>
          <w:szCs w:val="29"/>
        </w:rPr>
        <w:t>依法在指定媒介上披露信息外，还可以根据需要在其他公共媒介披露信息，但是其他公共媒介不得早于指定媒介披露信息，并且在不同媒介上披露同一信息的内容应当一致。</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hint="eastAsia"/>
          <w:color w:val="333333"/>
          <w:sz w:val="29"/>
          <w:szCs w:val="29"/>
        </w:rPr>
        <w:t xml:space="preserve">    </w:t>
      </w:r>
      <w:r>
        <w:rPr>
          <w:rFonts w:ascii="Verdana" w:hAnsi="Verdana" w:hint="eastAsia"/>
          <w:color w:val="333333"/>
          <w:sz w:val="29"/>
          <w:szCs w:val="29"/>
        </w:rPr>
        <w:t>为基金信息披露义务人公开披露的基金信息出具审计报告、法律意见书的专业机构，应当制作工作底稿，并将相关档案至少保存到《基金合同》终止后</w:t>
      </w:r>
      <w:r>
        <w:rPr>
          <w:rFonts w:ascii="Verdana" w:hAnsi="Verdana" w:hint="eastAsia"/>
          <w:color w:val="333333"/>
          <w:sz w:val="29"/>
          <w:szCs w:val="29"/>
        </w:rPr>
        <w:t>10</w:t>
      </w:r>
      <w:r>
        <w:rPr>
          <w:rFonts w:ascii="Verdana" w:hAnsi="Verdana" w:hint="eastAsia"/>
          <w:color w:val="333333"/>
          <w:sz w:val="29"/>
          <w:szCs w:val="29"/>
        </w:rPr>
        <w:t>年。</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7</w:t>
      </w:r>
      <w:r>
        <w:rPr>
          <w:rFonts w:ascii="Verdana" w:hAnsi="Verdana"/>
          <w:color w:val="333333"/>
          <w:sz w:val="29"/>
          <w:szCs w:val="29"/>
        </w:rPr>
        <w:t>、信息披露文件的存放与查阅</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依法必须披露的信息发布后，基金管理人、基金托管人应当按照相关法律法规规定将信息置备于各自住所，供社会公众查阅、复制。</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w:t>
      </w:r>
      <w:r>
        <w:rPr>
          <w:rFonts w:ascii="Verdana" w:hAnsi="Verdana"/>
          <w:color w:val="333333"/>
          <w:sz w:val="29"/>
          <w:szCs w:val="29"/>
        </w:rPr>
        <w:t>8</w:t>
      </w:r>
      <w:r>
        <w:rPr>
          <w:rFonts w:ascii="Verdana" w:hAnsi="Verdana"/>
          <w:color w:val="333333"/>
          <w:sz w:val="29"/>
          <w:szCs w:val="29"/>
        </w:rPr>
        <w:t>、本基金信息披露事项以法律法规规定及本章节约定</w:t>
      </w:r>
      <w:r>
        <w:rPr>
          <w:rFonts w:ascii="Verdana" w:hAnsi="Verdana"/>
          <w:color w:val="333333"/>
          <w:sz w:val="29"/>
          <w:szCs w:val="29"/>
        </w:rPr>
        <w:t>的内容为准。</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（八）对各基金基金合同的</w:t>
      </w:r>
      <w:r>
        <w:rPr>
          <w:rFonts w:ascii="Verdana" w:hAnsi="Verdana" w:hint="eastAsia"/>
          <w:color w:val="333333"/>
          <w:sz w:val="29"/>
          <w:szCs w:val="29"/>
        </w:rPr>
        <w:t>“</w:t>
      </w:r>
      <w:r>
        <w:rPr>
          <w:rFonts w:ascii="Verdana" w:hAnsi="Verdana"/>
          <w:color w:val="333333"/>
          <w:sz w:val="29"/>
          <w:szCs w:val="29"/>
        </w:rPr>
        <w:t>基金合同当事人及权利义务</w:t>
      </w:r>
      <w:r>
        <w:rPr>
          <w:rFonts w:ascii="Verdana" w:hAnsi="Verdana" w:hint="eastAsia"/>
          <w:color w:val="333333"/>
          <w:sz w:val="29"/>
          <w:szCs w:val="29"/>
        </w:rPr>
        <w:t>”</w:t>
      </w:r>
      <w:r>
        <w:rPr>
          <w:rFonts w:ascii="Verdana" w:hAnsi="Verdana"/>
          <w:color w:val="333333"/>
          <w:sz w:val="29"/>
          <w:szCs w:val="29"/>
        </w:rPr>
        <w:t>、</w:t>
      </w:r>
      <w:r>
        <w:rPr>
          <w:rFonts w:ascii="Verdana" w:hAnsi="Verdana" w:hint="eastAsia"/>
          <w:color w:val="333333"/>
          <w:sz w:val="29"/>
          <w:szCs w:val="29"/>
        </w:rPr>
        <w:t>“</w:t>
      </w:r>
      <w:r>
        <w:rPr>
          <w:rFonts w:ascii="Verdana" w:hAnsi="Verdana"/>
          <w:color w:val="333333"/>
          <w:sz w:val="29"/>
          <w:szCs w:val="29"/>
        </w:rPr>
        <w:t>基金份额的申购与赎回</w:t>
      </w:r>
      <w:r>
        <w:rPr>
          <w:rFonts w:ascii="Verdana" w:hAnsi="Verdana" w:hint="eastAsia"/>
          <w:color w:val="333333"/>
          <w:sz w:val="29"/>
          <w:szCs w:val="29"/>
        </w:rPr>
        <w:t>”</w:t>
      </w:r>
      <w:r>
        <w:rPr>
          <w:rFonts w:ascii="Verdana" w:hAnsi="Verdana"/>
          <w:color w:val="333333"/>
          <w:sz w:val="29"/>
          <w:szCs w:val="29"/>
        </w:rPr>
        <w:t>、</w:t>
      </w:r>
      <w:r>
        <w:rPr>
          <w:rFonts w:ascii="Verdana" w:hAnsi="Verdana" w:hint="eastAsia"/>
          <w:color w:val="333333"/>
          <w:sz w:val="29"/>
          <w:szCs w:val="29"/>
        </w:rPr>
        <w:t>“</w:t>
      </w:r>
      <w:r>
        <w:rPr>
          <w:rFonts w:ascii="Verdana" w:hAnsi="Verdana"/>
          <w:color w:val="333333"/>
          <w:sz w:val="29"/>
          <w:szCs w:val="29"/>
        </w:rPr>
        <w:t>基金资产估值</w:t>
      </w:r>
      <w:r>
        <w:rPr>
          <w:rFonts w:ascii="Verdana" w:hAnsi="Verdana" w:hint="eastAsia"/>
          <w:color w:val="333333"/>
          <w:sz w:val="29"/>
          <w:szCs w:val="29"/>
        </w:rPr>
        <w:t>”</w:t>
      </w:r>
      <w:r>
        <w:rPr>
          <w:rFonts w:ascii="Verdana" w:hAnsi="Verdana"/>
          <w:color w:val="333333"/>
          <w:sz w:val="29"/>
          <w:szCs w:val="29"/>
        </w:rPr>
        <w:t>、</w:t>
      </w:r>
      <w:r>
        <w:rPr>
          <w:rFonts w:ascii="Verdana" w:hAnsi="Verdana" w:hint="eastAsia"/>
          <w:color w:val="333333"/>
          <w:sz w:val="29"/>
          <w:szCs w:val="29"/>
        </w:rPr>
        <w:t>“</w:t>
      </w:r>
      <w:r>
        <w:rPr>
          <w:rFonts w:ascii="Verdana" w:hAnsi="Verdana"/>
          <w:color w:val="333333"/>
          <w:sz w:val="29"/>
          <w:szCs w:val="29"/>
        </w:rPr>
        <w:t>基金的会计与审计</w:t>
      </w:r>
      <w:r>
        <w:rPr>
          <w:rFonts w:ascii="Verdana" w:hAnsi="Verdana" w:hint="eastAsia"/>
          <w:color w:val="333333"/>
          <w:sz w:val="29"/>
          <w:szCs w:val="29"/>
        </w:rPr>
        <w:t>”</w:t>
      </w:r>
      <w:r>
        <w:rPr>
          <w:rFonts w:ascii="Verdana" w:hAnsi="Verdana"/>
          <w:color w:val="333333"/>
          <w:sz w:val="29"/>
          <w:szCs w:val="29"/>
        </w:rPr>
        <w:t>、</w:t>
      </w:r>
      <w:r>
        <w:rPr>
          <w:rFonts w:ascii="Verdana" w:hAnsi="Verdana" w:hint="eastAsia"/>
          <w:color w:val="333333"/>
          <w:sz w:val="29"/>
          <w:szCs w:val="29"/>
        </w:rPr>
        <w:t>“</w:t>
      </w:r>
      <w:r>
        <w:rPr>
          <w:rFonts w:ascii="Verdana" w:hAnsi="Verdana"/>
          <w:color w:val="333333"/>
          <w:sz w:val="29"/>
          <w:szCs w:val="29"/>
        </w:rPr>
        <w:t>基金合同的变更、终止与基金财产的清算</w:t>
      </w:r>
      <w:r>
        <w:rPr>
          <w:rFonts w:ascii="Verdana" w:hAnsi="Verdana" w:hint="eastAsia"/>
          <w:color w:val="333333"/>
          <w:sz w:val="29"/>
          <w:szCs w:val="29"/>
        </w:rPr>
        <w:t>”</w:t>
      </w:r>
      <w:r>
        <w:rPr>
          <w:rFonts w:ascii="Verdana" w:hAnsi="Verdana"/>
          <w:color w:val="333333"/>
          <w:sz w:val="29"/>
          <w:szCs w:val="29"/>
        </w:rPr>
        <w:t>等章节涉及上述修改的内容进行一并调整。</w:t>
      </w:r>
    </w:p>
    <w:p w:rsidR="005969A4" w:rsidRDefault="00C63D72">
      <w:pPr>
        <w:autoSpaceDE w:val="0"/>
        <w:autoSpaceDN w:val="0"/>
        <w:adjustRightInd w:val="0"/>
        <w:spacing w:line="360" w:lineRule="auto"/>
        <w:ind w:firstLine="570"/>
        <w:rPr>
          <w:rFonts w:ascii="宋体" w:hAnsi="宋体"/>
          <w:sz w:val="28"/>
          <w:szCs w:val="28"/>
        </w:rPr>
      </w:pPr>
      <w:r>
        <w:rPr>
          <w:rFonts w:ascii="宋体" w:hAnsi="宋体" w:hint="eastAsia"/>
          <w:sz w:val="28"/>
          <w:szCs w:val="28"/>
        </w:rPr>
        <w:t>本次法律文件的修改系因相应的法律法规发生变动而进行，不涉及基金份额持有人权利义务关系的变化，对原有基金份额持有人的利益无实质性不利影响，且基金管理人已履行适当程序。</w:t>
      </w:r>
    </w:p>
    <w:p w:rsidR="005969A4" w:rsidRDefault="00C63D72">
      <w:pPr>
        <w:pStyle w:val="a3"/>
        <w:spacing w:before="0" w:beforeAutospacing="0" w:after="0" w:afterAutospacing="0" w:line="480" w:lineRule="atLeast"/>
        <w:ind w:firstLineChars="200" w:firstLine="580"/>
        <w:jc w:val="both"/>
        <w:rPr>
          <w:rFonts w:ascii="Verdana" w:hAnsi="Verdana"/>
          <w:color w:val="333333"/>
          <w:sz w:val="29"/>
          <w:szCs w:val="29"/>
        </w:rPr>
      </w:pPr>
      <w:r>
        <w:rPr>
          <w:rFonts w:ascii="Verdana" w:hAnsi="Verdana"/>
          <w:color w:val="333333"/>
          <w:sz w:val="29"/>
          <w:szCs w:val="29"/>
        </w:rPr>
        <w:t>基金管理人根据《信息披露办法》的规定，对各基金托管协议、招募说明书中涉及上述修改的内容也进行了相应更新。</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投资者可登录基金管</w:t>
      </w:r>
      <w:r>
        <w:rPr>
          <w:rFonts w:ascii="Verdana" w:hAnsi="Verdana"/>
          <w:color w:val="333333"/>
          <w:sz w:val="29"/>
          <w:szCs w:val="29"/>
        </w:rPr>
        <w:t>理人网站（</w:t>
      </w:r>
      <w:r>
        <w:rPr>
          <w:rFonts w:ascii="Verdana" w:hAnsi="Verdana"/>
          <w:color w:val="333333"/>
          <w:sz w:val="29"/>
          <w:szCs w:val="29"/>
        </w:rPr>
        <w:t>www.zhfund.com</w:t>
      </w:r>
      <w:r>
        <w:rPr>
          <w:rFonts w:ascii="Verdana" w:hAnsi="Verdana"/>
          <w:color w:val="333333"/>
          <w:sz w:val="29"/>
          <w:szCs w:val="29"/>
        </w:rPr>
        <w:t>）和中国证监会基金电子披露网站（</w:t>
      </w:r>
      <w:r>
        <w:rPr>
          <w:rFonts w:ascii="Verdana" w:hAnsi="Verdana"/>
          <w:color w:val="333333"/>
          <w:sz w:val="29"/>
          <w:szCs w:val="29"/>
        </w:rPr>
        <w:t>http://eid.csrc.gov.cn/fund</w:t>
      </w:r>
      <w:r>
        <w:rPr>
          <w:rFonts w:ascii="Verdana" w:hAnsi="Verdana"/>
          <w:color w:val="333333"/>
          <w:sz w:val="29"/>
          <w:szCs w:val="29"/>
        </w:rPr>
        <w:t>）查阅各基金修订后的基金合同、托管协议及招募说明书（更新）。</w:t>
      </w:r>
    </w:p>
    <w:p w:rsidR="005969A4" w:rsidRDefault="00C63D72">
      <w:pPr>
        <w:pStyle w:val="a3"/>
        <w:spacing w:before="0" w:beforeAutospacing="0" w:after="0" w:afterAutospacing="0" w:line="480" w:lineRule="atLeast"/>
        <w:jc w:val="both"/>
        <w:rPr>
          <w:rFonts w:ascii="Verdana" w:hAnsi="Verdana"/>
          <w:color w:val="333333"/>
          <w:sz w:val="29"/>
          <w:szCs w:val="29"/>
        </w:rPr>
      </w:pPr>
      <w:r>
        <w:rPr>
          <w:rFonts w:ascii="Verdana" w:hAnsi="Verdana"/>
          <w:color w:val="333333"/>
          <w:sz w:val="29"/>
          <w:szCs w:val="29"/>
        </w:rPr>
        <w:t xml:space="preserve">　　风险提示：本公司承诺以诚实信用、勤勉尽责的原则管理和运用基金资产，但不保证基金一定盈利，也不保证最低收益。敬请投资者注意投资风险。投资者办理基金交易等相关业务前，应仔细阅读各基金的基金合同、招募说明书等法律文件。</w:t>
      </w:r>
    </w:p>
    <w:p w:rsidR="005969A4" w:rsidRDefault="00C63D72">
      <w:pPr>
        <w:autoSpaceDE w:val="0"/>
        <w:autoSpaceDN w:val="0"/>
        <w:adjustRightInd w:val="0"/>
        <w:spacing w:line="360" w:lineRule="auto"/>
        <w:ind w:firstLine="570"/>
        <w:rPr>
          <w:rFonts w:ascii="宋体" w:hAnsi="宋体"/>
          <w:sz w:val="28"/>
          <w:szCs w:val="28"/>
        </w:rPr>
      </w:pPr>
      <w:r>
        <w:rPr>
          <w:rFonts w:ascii="Verdana" w:hAnsi="Verdana"/>
          <w:color w:val="333333"/>
          <w:sz w:val="29"/>
          <w:szCs w:val="29"/>
        </w:rPr>
        <w:t>投资者可拨打本公司的客户服务电话</w:t>
      </w:r>
      <w:r>
        <w:rPr>
          <w:rFonts w:ascii="Verdana" w:hAnsi="Verdana"/>
          <w:color w:val="333333"/>
          <w:sz w:val="29"/>
          <w:szCs w:val="29"/>
        </w:rPr>
        <w:t>400-888-9788</w:t>
      </w:r>
      <w:r>
        <w:rPr>
          <w:rFonts w:ascii="Verdana" w:hAnsi="Verdana"/>
          <w:color w:val="333333"/>
          <w:sz w:val="29"/>
          <w:szCs w:val="29"/>
        </w:rPr>
        <w:t>（全国统一，免长途话费）咨询相关情况。</w:t>
      </w:r>
    </w:p>
    <w:p w:rsidR="005969A4" w:rsidRDefault="005969A4">
      <w:pPr>
        <w:autoSpaceDE w:val="0"/>
        <w:autoSpaceDN w:val="0"/>
        <w:adjustRightInd w:val="0"/>
        <w:spacing w:line="360" w:lineRule="auto"/>
        <w:ind w:firstLine="570"/>
        <w:rPr>
          <w:rFonts w:ascii="宋体" w:hAnsi="宋体"/>
          <w:sz w:val="28"/>
          <w:szCs w:val="28"/>
        </w:rPr>
      </w:pPr>
    </w:p>
    <w:p w:rsidR="005969A4" w:rsidRDefault="00C63D72">
      <w:pPr>
        <w:autoSpaceDE w:val="0"/>
        <w:autoSpaceDN w:val="0"/>
        <w:adjustRightInd w:val="0"/>
        <w:spacing w:line="360" w:lineRule="auto"/>
        <w:ind w:firstLine="570"/>
        <w:rPr>
          <w:rFonts w:ascii="宋体" w:hAnsi="宋体"/>
          <w:sz w:val="28"/>
          <w:szCs w:val="28"/>
        </w:rPr>
      </w:pPr>
      <w:r>
        <w:rPr>
          <w:rFonts w:ascii="宋体" w:hAnsi="宋体" w:hint="eastAsia"/>
          <w:sz w:val="28"/>
          <w:szCs w:val="28"/>
        </w:rPr>
        <w:t>特此公告。</w:t>
      </w:r>
    </w:p>
    <w:p w:rsidR="005969A4" w:rsidRDefault="005969A4">
      <w:pPr>
        <w:autoSpaceDE w:val="0"/>
        <w:autoSpaceDN w:val="0"/>
        <w:adjustRightInd w:val="0"/>
        <w:spacing w:line="360" w:lineRule="auto"/>
        <w:ind w:firstLine="570"/>
        <w:rPr>
          <w:rFonts w:ascii="宋体" w:hAnsi="宋体"/>
          <w:sz w:val="28"/>
          <w:szCs w:val="28"/>
        </w:rPr>
      </w:pPr>
    </w:p>
    <w:p w:rsidR="005969A4" w:rsidRDefault="005969A4">
      <w:pPr>
        <w:autoSpaceDE w:val="0"/>
        <w:autoSpaceDN w:val="0"/>
        <w:adjustRightInd w:val="0"/>
        <w:spacing w:line="360" w:lineRule="auto"/>
        <w:ind w:firstLine="570"/>
        <w:rPr>
          <w:rFonts w:ascii="宋体" w:hAnsi="宋体"/>
          <w:sz w:val="28"/>
          <w:szCs w:val="28"/>
        </w:rPr>
      </w:pPr>
    </w:p>
    <w:p w:rsidR="005969A4" w:rsidRDefault="005969A4">
      <w:pPr>
        <w:autoSpaceDE w:val="0"/>
        <w:autoSpaceDN w:val="0"/>
        <w:adjustRightInd w:val="0"/>
        <w:spacing w:line="360" w:lineRule="auto"/>
        <w:ind w:firstLine="570"/>
        <w:rPr>
          <w:rFonts w:ascii="宋体" w:hAnsi="宋体"/>
          <w:sz w:val="28"/>
          <w:szCs w:val="28"/>
        </w:rPr>
      </w:pPr>
    </w:p>
    <w:p w:rsidR="005969A4" w:rsidRDefault="00C63D72">
      <w:pPr>
        <w:autoSpaceDE w:val="0"/>
        <w:autoSpaceDN w:val="0"/>
        <w:adjustRightInd w:val="0"/>
        <w:spacing w:line="360" w:lineRule="auto"/>
        <w:jc w:val="right"/>
        <w:rPr>
          <w:rFonts w:ascii="宋体" w:hAnsi="宋体"/>
          <w:sz w:val="28"/>
          <w:szCs w:val="28"/>
        </w:rPr>
      </w:pPr>
      <w:r>
        <w:rPr>
          <w:rFonts w:ascii="宋体" w:hAnsi="宋体" w:hint="eastAsia"/>
          <w:sz w:val="28"/>
          <w:szCs w:val="28"/>
        </w:rPr>
        <w:t>中海基金管理有限公司</w:t>
      </w:r>
    </w:p>
    <w:p w:rsidR="005969A4" w:rsidRDefault="00C63D72">
      <w:pPr>
        <w:autoSpaceDE w:val="0"/>
        <w:autoSpaceDN w:val="0"/>
        <w:adjustRightInd w:val="0"/>
        <w:spacing w:line="360" w:lineRule="auto"/>
        <w:jc w:val="right"/>
        <w:rPr>
          <w:rFonts w:ascii="宋体" w:hAnsi="宋体"/>
          <w:sz w:val="28"/>
          <w:szCs w:val="28"/>
        </w:rPr>
      </w:pPr>
      <w:r>
        <w:rPr>
          <w:rFonts w:ascii="宋体" w:hAnsi="宋体"/>
          <w:sz w:val="28"/>
          <w:szCs w:val="28"/>
        </w:rPr>
        <w:t>2020</w:t>
      </w:r>
      <w:r>
        <w:rPr>
          <w:rFonts w:ascii="宋体" w:hAnsi="宋体" w:hint="eastAsia"/>
          <w:sz w:val="28"/>
          <w:szCs w:val="28"/>
        </w:rPr>
        <w:t>年</w:t>
      </w:r>
      <w:r>
        <w:rPr>
          <w:rFonts w:ascii="宋体" w:hAnsi="宋体" w:hint="eastAsia"/>
          <w:sz w:val="28"/>
          <w:szCs w:val="28"/>
        </w:rPr>
        <w:t>7</w:t>
      </w:r>
      <w:r>
        <w:rPr>
          <w:rFonts w:ascii="宋体" w:hAnsi="宋体" w:hint="eastAsia"/>
          <w:sz w:val="28"/>
          <w:szCs w:val="28"/>
        </w:rPr>
        <w:t>月</w:t>
      </w:r>
      <w:r>
        <w:rPr>
          <w:rFonts w:ascii="宋体" w:hAnsi="宋体" w:hint="eastAsia"/>
          <w:sz w:val="28"/>
          <w:szCs w:val="28"/>
        </w:rPr>
        <w:t>4</w:t>
      </w:r>
      <w:bookmarkStart w:id="0" w:name="_GoBack"/>
      <w:bookmarkEnd w:id="0"/>
      <w:r>
        <w:rPr>
          <w:rFonts w:ascii="宋体" w:hAnsi="宋体" w:hint="eastAsia"/>
          <w:sz w:val="28"/>
          <w:szCs w:val="28"/>
        </w:rPr>
        <w:t>日</w:t>
      </w:r>
    </w:p>
    <w:p w:rsidR="005969A4" w:rsidRDefault="005969A4"/>
    <w:sectPr w:rsidR="005969A4" w:rsidSect="005969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72" w:rsidRDefault="00C63D72" w:rsidP="00C63D72">
      <w:r>
        <w:separator/>
      </w:r>
    </w:p>
  </w:endnote>
  <w:endnote w:type="continuationSeparator" w:id="0">
    <w:p w:rsidR="00C63D72" w:rsidRDefault="00C63D72" w:rsidP="00C63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default"/>
    <w:sig w:usb0="A10006FF" w:usb1="4000205B" w:usb2="00000010" w:usb3="00000000" w:csb0="200001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72" w:rsidRDefault="00C63D72" w:rsidP="00C63D72">
      <w:r>
        <w:separator/>
      </w:r>
    </w:p>
  </w:footnote>
  <w:footnote w:type="continuationSeparator" w:id="0">
    <w:p w:rsidR="00C63D72" w:rsidRDefault="00C63D72" w:rsidP="00C63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77C34BC"/>
    <w:rsid w:val="005969A4"/>
    <w:rsid w:val="00C63D72"/>
    <w:rsid w:val="0B433EBD"/>
    <w:rsid w:val="3F5137AC"/>
    <w:rsid w:val="577C3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9A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969A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rsid w:val="00C63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63D72"/>
    <w:rPr>
      <w:rFonts w:ascii="Calibri" w:eastAsia="宋体" w:hAnsi="Calibri" w:cs="Times New Roman"/>
      <w:kern w:val="2"/>
      <w:sz w:val="18"/>
      <w:szCs w:val="18"/>
    </w:rPr>
  </w:style>
  <w:style w:type="paragraph" w:styleId="a5">
    <w:name w:val="footer"/>
    <w:basedOn w:val="a"/>
    <w:link w:val="Char0"/>
    <w:rsid w:val="00C63D72"/>
    <w:pPr>
      <w:tabs>
        <w:tab w:val="center" w:pos="4153"/>
        <w:tab w:val="right" w:pos="8306"/>
      </w:tabs>
      <w:snapToGrid w:val="0"/>
      <w:jc w:val="left"/>
    </w:pPr>
    <w:rPr>
      <w:sz w:val="18"/>
      <w:szCs w:val="18"/>
    </w:rPr>
  </w:style>
  <w:style w:type="character" w:customStyle="1" w:styleId="Char0">
    <w:name w:val="页脚 Char"/>
    <w:basedOn w:val="a0"/>
    <w:link w:val="a5"/>
    <w:rsid w:val="00C63D7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5943</Characters>
  <Application>Microsoft Office Word</Application>
  <DocSecurity>4</DocSecurity>
  <Lines>49</Lines>
  <Paragraphs>13</Paragraphs>
  <ScaleCrop>false</ScaleCrop>
  <Company>CNSTOCK</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ZHONGM</cp:lastModifiedBy>
  <cp:revision>2</cp:revision>
  <dcterms:created xsi:type="dcterms:W3CDTF">2020-07-03T16:01:00Z</dcterms:created>
  <dcterms:modified xsi:type="dcterms:W3CDTF">2020-07-03T16:01:00Z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