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0C55" w:rsidRDefault="00470300" w:rsidP="00470300">
      <w:pPr>
        <w:widowControl/>
        <w:spacing w:beforeLines="50" w:afterLines="50" w:line="360" w:lineRule="atLeast"/>
        <w:jc w:val="center"/>
        <w:rPr>
          <w:rFonts w:asciiTheme="minorEastAsia" w:hAnsiTheme="minorEastAsia" w:cs="Arial"/>
          <w:kern w:val="0"/>
          <w:sz w:val="24"/>
          <w:szCs w:val="24"/>
        </w:rPr>
      </w:pPr>
      <w:r>
        <w:rPr>
          <w:rFonts w:ascii="黑体" w:eastAsia="黑体" w:hAnsi="黑体" w:hint="eastAsia"/>
          <w:sz w:val="32"/>
          <w:szCs w:val="32"/>
        </w:rPr>
        <w:t>宝盈基金管理有限公司</w:t>
      </w:r>
      <w:r>
        <w:rPr>
          <w:rFonts w:ascii="黑体" w:eastAsia="黑体" w:hAnsi="黑体" w:hint="eastAsia"/>
          <w:sz w:val="32"/>
          <w:szCs w:val="32"/>
        </w:rPr>
        <w:t>关于旗下基金参加交通银行股份有限公司</w:t>
      </w:r>
      <w:r>
        <w:rPr>
          <w:rFonts w:ascii="黑体" w:eastAsia="黑体" w:hAnsi="黑体" w:cs="Arial" w:hint="eastAsia"/>
          <w:kern w:val="0"/>
          <w:sz w:val="32"/>
          <w:szCs w:val="32"/>
        </w:rPr>
        <w:t>手机银行渠道基金申购及定期定额投资手续费率优惠活动的公告</w:t>
      </w:r>
    </w:p>
    <w:p w:rsidR="00380C55" w:rsidRDefault="00470300">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为答谢广大客户长期以来给予的信任与支持，宝盈基金管理有限公司（以下简称“本公司”）决定配合交通银行股份有限公司（以下简称“交通银行”）开展手机银行渠道基金申购及定期定额投资手续费率优惠活动，以回报广大投资人。</w:t>
      </w:r>
    </w:p>
    <w:p w:rsidR="00380C55" w:rsidRDefault="00470300">
      <w:pPr>
        <w:widowControl/>
        <w:spacing w:line="336" w:lineRule="auto"/>
        <w:ind w:firstLine="480"/>
        <w:rPr>
          <w:rFonts w:asciiTheme="minorEastAsia" w:hAnsiTheme="minorEastAsia" w:cs="Arial"/>
          <w:kern w:val="0"/>
          <w:sz w:val="24"/>
          <w:szCs w:val="24"/>
        </w:rPr>
      </w:pPr>
      <w:r>
        <w:rPr>
          <w:rFonts w:asciiTheme="minorEastAsia" w:hAnsiTheme="minorEastAsia" w:cs="Arial" w:hint="eastAsia"/>
          <w:b/>
          <w:bCs/>
          <w:kern w:val="0"/>
          <w:sz w:val="24"/>
          <w:szCs w:val="24"/>
        </w:rPr>
        <w:t>一、</w:t>
      </w:r>
      <w:r>
        <w:rPr>
          <w:rFonts w:asciiTheme="minorEastAsia" w:hAnsiTheme="minorEastAsia" w:cs="Arial" w:hint="eastAsia"/>
          <w:b/>
          <w:bCs/>
          <w:kern w:val="0"/>
          <w:sz w:val="24"/>
          <w:szCs w:val="24"/>
        </w:rPr>
        <w:t xml:space="preserve"> </w:t>
      </w:r>
      <w:r>
        <w:rPr>
          <w:rFonts w:asciiTheme="minorEastAsia" w:hAnsiTheme="minorEastAsia" w:cs="Arial" w:hint="eastAsia"/>
          <w:b/>
          <w:bCs/>
          <w:kern w:val="0"/>
          <w:sz w:val="24"/>
          <w:szCs w:val="24"/>
        </w:rPr>
        <w:t>活动时间</w:t>
      </w:r>
    </w:p>
    <w:p w:rsidR="00380C55" w:rsidRDefault="00470300">
      <w:pPr>
        <w:widowControl/>
        <w:spacing w:line="336" w:lineRule="auto"/>
        <w:ind w:firstLine="480"/>
        <w:rPr>
          <w:rFonts w:ascii="Times New Roman" w:hAnsi="Times New Roman" w:cs="Times New Roman"/>
          <w:kern w:val="0"/>
          <w:sz w:val="24"/>
          <w:szCs w:val="24"/>
        </w:rPr>
      </w:pPr>
      <w:r>
        <w:rPr>
          <w:rFonts w:ascii="Times New Roman" w:hAnsi="Times New Roman" w:cs="Times New Roman"/>
          <w:kern w:val="0"/>
          <w:sz w:val="24"/>
          <w:szCs w:val="24"/>
        </w:rPr>
        <w:t>2020</w:t>
      </w:r>
      <w:r>
        <w:rPr>
          <w:rFonts w:asciiTheme="minorEastAsia" w:hAnsiTheme="minorEastAsia" w:cs="Arial" w:hint="eastAsia"/>
          <w:kern w:val="0"/>
          <w:sz w:val="24"/>
          <w:szCs w:val="24"/>
        </w:rPr>
        <w:t>年</w:t>
      </w:r>
      <w:r>
        <w:rPr>
          <w:rFonts w:ascii="Times New Roman" w:hAnsi="Times New Roman" w:cs="Times New Roman"/>
          <w:kern w:val="0"/>
          <w:sz w:val="24"/>
          <w:szCs w:val="24"/>
        </w:rPr>
        <w:t>7</w:t>
      </w:r>
      <w:r>
        <w:rPr>
          <w:rFonts w:asciiTheme="minorEastAsia" w:hAnsiTheme="minorEastAsia" w:cs="Arial" w:hint="eastAsia"/>
          <w:kern w:val="0"/>
          <w:sz w:val="24"/>
          <w:szCs w:val="24"/>
        </w:rPr>
        <w:t>月</w:t>
      </w:r>
      <w:r>
        <w:rPr>
          <w:rFonts w:ascii="Times New Roman" w:hAnsi="Times New Roman" w:cs="Times New Roman"/>
          <w:kern w:val="0"/>
          <w:sz w:val="24"/>
          <w:szCs w:val="24"/>
        </w:rPr>
        <w:t>1</w:t>
      </w:r>
      <w:r>
        <w:rPr>
          <w:rFonts w:asciiTheme="minorEastAsia" w:hAnsiTheme="minorEastAsia" w:cs="Arial" w:hint="eastAsia"/>
          <w:kern w:val="0"/>
          <w:sz w:val="24"/>
          <w:szCs w:val="24"/>
        </w:rPr>
        <w:t>日</w:t>
      </w:r>
      <w:r>
        <w:rPr>
          <w:rFonts w:ascii="Times New Roman" w:hAnsi="Times New Roman" w:cs="Times New Roman"/>
          <w:kern w:val="0"/>
          <w:sz w:val="24"/>
          <w:szCs w:val="24"/>
        </w:rPr>
        <w:t>00:00</w:t>
      </w:r>
      <w:r>
        <w:rPr>
          <w:rFonts w:asciiTheme="minorEastAsia" w:hAnsiTheme="minorEastAsia" w:cs="Arial" w:hint="eastAsia"/>
          <w:kern w:val="0"/>
          <w:sz w:val="24"/>
          <w:szCs w:val="24"/>
        </w:rPr>
        <w:t>至</w:t>
      </w:r>
      <w:r>
        <w:rPr>
          <w:rFonts w:ascii="Times New Roman" w:hAnsi="Times New Roman" w:cs="Times New Roman"/>
          <w:kern w:val="0"/>
          <w:sz w:val="24"/>
          <w:szCs w:val="24"/>
        </w:rPr>
        <w:t>2020</w:t>
      </w:r>
      <w:r>
        <w:rPr>
          <w:rFonts w:asciiTheme="minorEastAsia" w:hAnsiTheme="minorEastAsia" w:cs="Arial" w:hint="eastAsia"/>
          <w:kern w:val="0"/>
          <w:sz w:val="24"/>
          <w:szCs w:val="24"/>
        </w:rPr>
        <w:t>年</w:t>
      </w:r>
      <w:r>
        <w:rPr>
          <w:rFonts w:ascii="Times New Roman" w:hAnsi="Times New Roman" w:cs="Times New Roman"/>
          <w:kern w:val="0"/>
          <w:sz w:val="24"/>
          <w:szCs w:val="24"/>
        </w:rPr>
        <w:t>12</w:t>
      </w:r>
      <w:r>
        <w:rPr>
          <w:rFonts w:asciiTheme="minorEastAsia" w:hAnsiTheme="minorEastAsia" w:cs="Arial" w:hint="eastAsia"/>
          <w:kern w:val="0"/>
          <w:sz w:val="24"/>
          <w:szCs w:val="24"/>
        </w:rPr>
        <w:t>月</w:t>
      </w:r>
      <w:r>
        <w:rPr>
          <w:rFonts w:ascii="Times New Roman" w:hAnsi="Times New Roman" w:cs="Times New Roman"/>
          <w:kern w:val="0"/>
          <w:sz w:val="24"/>
          <w:szCs w:val="24"/>
        </w:rPr>
        <w:t>3</w:t>
      </w:r>
      <w:r>
        <w:rPr>
          <w:rFonts w:ascii="Times New Roman" w:hAnsi="Times New Roman" w:cs="Times New Roman"/>
          <w:kern w:val="0"/>
          <w:sz w:val="24"/>
          <w:szCs w:val="24"/>
        </w:rPr>
        <w:t>1</w:t>
      </w:r>
      <w:r>
        <w:rPr>
          <w:rFonts w:asciiTheme="minorEastAsia" w:hAnsiTheme="minorEastAsia" w:cs="Arial" w:hint="eastAsia"/>
          <w:kern w:val="0"/>
          <w:sz w:val="24"/>
          <w:szCs w:val="24"/>
        </w:rPr>
        <w:t>日</w:t>
      </w:r>
      <w:bookmarkStart w:id="0" w:name="_GoBack"/>
      <w:r>
        <w:rPr>
          <w:rFonts w:ascii="Times New Roman" w:hAnsi="Times New Roman" w:cs="Times New Roman"/>
          <w:kern w:val="0"/>
          <w:sz w:val="24"/>
          <w:szCs w:val="24"/>
        </w:rPr>
        <w:t>24:00</w:t>
      </w:r>
    </w:p>
    <w:bookmarkEnd w:id="0"/>
    <w:p w:rsidR="00380C55" w:rsidRDefault="00470300">
      <w:pPr>
        <w:widowControl/>
        <w:spacing w:line="336" w:lineRule="auto"/>
        <w:ind w:firstLine="480"/>
        <w:rPr>
          <w:rFonts w:asciiTheme="minorEastAsia" w:hAnsiTheme="minorEastAsia" w:cs="Arial"/>
          <w:kern w:val="0"/>
          <w:sz w:val="24"/>
          <w:szCs w:val="24"/>
        </w:rPr>
      </w:pPr>
      <w:r>
        <w:rPr>
          <w:rFonts w:asciiTheme="minorEastAsia" w:hAnsiTheme="minorEastAsia" w:cs="Arial" w:hint="eastAsia"/>
          <w:b/>
          <w:bCs/>
          <w:kern w:val="0"/>
          <w:sz w:val="24"/>
          <w:szCs w:val="24"/>
        </w:rPr>
        <w:t>二、适用基金</w:t>
      </w:r>
    </w:p>
    <w:tbl>
      <w:tblPr>
        <w:tblW w:w="88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712"/>
        <w:gridCol w:w="2410"/>
        <w:gridCol w:w="1755"/>
      </w:tblGrid>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heme="minorEastAsia" w:hAnsiTheme="minorEastAsia" w:cs="Arial"/>
                <w:kern w:val="0"/>
                <w:szCs w:val="21"/>
              </w:rPr>
            </w:pPr>
            <w:r>
              <w:rPr>
                <w:rFonts w:asciiTheme="minorEastAsia" w:hAnsiTheme="minorEastAsia" w:cs="Arial" w:hint="eastAsia"/>
                <w:kern w:val="0"/>
                <w:szCs w:val="21"/>
              </w:rPr>
              <w:t>基金名称</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heme="minorEastAsia" w:hAnsiTheme="minorEastAsia" w:cs="Arial"/>
                <w:kern w:val="0"/>
                <w:szCs w:val="21"/>
              </w:rPr>
            </w:pPr>
            <w:r>
              <w:rPr>
                <w:rFonts w:asciiTheme="minorEastAsia" w:hAnsiTheme="minorEastAsia" w:cs="Arial" w:hint="eastAsia"/>
                <w:kern w:val="0"/>
                <w:szCs w:val="21"/>
              </w:rPr>
              <w:t>基金简称</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heme="minorEastAsia" w:hAnsiTheme="minorEastAsia" w:cs="Arial"/>
                <w:kern w:val="0"/>
                <w:szCs w:val="21"/>
              </w:rPr>
            </w:pPr>
            <w:r>
              <w:rPr>
                <w:rFonts w:asciiTheme="minorEastAsia" w:hAnsiTheme="minorEastAsia" w:cs="Arial" w:hint="eastAsia"/>
                <w:kern w:val="0"/>
                <w:szCs w:val="21"/>
              </w:rPr>
              <w:t>基金代码</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宝盈鸿利收益灵活配置混合型证券投资基金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宝盈鸿利收益混合</w:t>
            </w:r>
            <w:r>
              <w:rPr>
                <w:rFonts w:asciiTheme="minorEastAsia" w:hAnsiTheme="minorEastAsia" w:cs="Arial" w:hint="eastAsia"/>
                <w:kern w:val="0"/>
                <w:szCs w:val="21"/>
              </w:rPr>
              <w:t>A</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213001</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宝盈泛沿海区域增长混合型证券投资基金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宝盈泛沿海混合</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213002</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宝盈策略增长混合型证券投资基金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宝盈策略增长混合</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213003</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宝盈核心优势灵活配置混合型证券投资基金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宝盈核心优势混合</w:t>
            </w:r>
            <w:r>
              <w:rPr>
                <w:rFonts w:asciiTheme="minorEastAsia" w:hAnsiTheme="minorEastAsia" w:cs="Arial" w:hint="eastAsia"/>
                <w:kern w:val="0"/>
                <w:szCs w:val="21"/>
              </w:rPr>
              <w:t>A</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213006</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宝盈增强收益债券型证券投资基金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宝盈增强收益债券</w:t>
            </w:r>
            <w:r>
              <w:rPr>
                <w:rFonts w:asciiTheme="minorEastAsia" w:hAnsiTheme="minorEastAsia" w:cs="Arial" w:hint="eastAsia"/>
                <w:kern w:val="0"/>
                <w:szCs w:val="21"/>
              </w:rPr>
              <w:t>A</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213007</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宝盈资源优选混合型证券投资基金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宝盈资源优选混合</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213008</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宝盈中证</w:t>
            </w:r>
            <w:r>
              <w:rPr>
                <w:rFonts w:asciiTheme="minorEastAsia" w:hAnsiTheme="minorEastAsia" w:cs="Arial" w:hint="eastAsia"/>
                <w:kern w:val="0"/>
                <w:szCs w:val="21"/>
              </w:rPr>
              <w:t>100</w:t>
            </w:r>
            <w:r>
              <w:rPr>
                <w:rFonts w:asciiTheme="minorEastAsia" w:hAnsiTheme="minorEastAsia" w:cs="Arial" w:hint="eastAsia"/>
                <w:kern w:val="0"/>
                <w:szCs w:val="21"/>
              </w:rPr>
              <w:t>指数增强型证券投资基金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宝盈中证</w:t>
            </w:r>
            <w:r>
              <w:rPr>
                <w:rFonts w:asciiTheme="minorEastAsia" w:hAnsiTheme="minorEastAsia" w:cs="Arial" w:hint="eastAsia"/>
                <w:kern w:val="0"/>
                <w:szCs w:val="21"/>
              </w:rPr>
              <w:t>100</w:t>
            </w:r>
            <w:r>
              <w:rPr>
                <w:rFonts w:asciiTheme="minorEastAsia" w:hAnsiTheme="minorEastAsia" w:cs="Arial" w:hint="eastAsia"/>
                <w:kern w:val="0"/>
                <w:szCs w:val="21"/>
              </w:rPr>
              <w:t>指数增强</w:t>
            </w:r>
            <w:r>
              <w:rPr>
                <w:rFonts w:asciiTheme="minorEastAsia" w:hAnsiTheme="minorEastAsia" w:cs="Arial" w:hint="eastAsia"/>
                <w:kern w:val="0"/>
                <w:szCs w:val="21"/>
              </w:rPr>
              <w:t>A</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213010</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宝盈新价值灵活配置混合型证券投资基金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宝盈新价值混合</w:t>
            </w:r>
            <w:r>
              <w:rPr>
                <w:rFonts w:asciiTheme="minorEastAsia" w:hAnsiTheme="minorEastAsia" w:cs="Arial" w:hint="eastAsia"/>
                <w:kern w:val="0"/>
                <w:szCs w:val="21"/>
              </w:rPr>
              <w:t>A</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000574</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宝盈祥瑞混合型证券投资基金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宝盈祥瑞混合</w:t>
            </w:r>
            <w:r>
              <w:rPr>
                <w:rFonts w:asciiTheme="minorEastAsia" w:hAnsiTheme="minorEastAsia" w:cs="Arial" w:hint="eastAsia"/>
                <w:kern w:val="0"/>
                <w:szCs w:val="21"/>
              </w:rPr>
              <w:t>A</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000639</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宝盈科技</w:t>
            </w:r>
            <w:r>
              <w:rPr>
                <w:rFonts w:asciiTheme="minorEastAsia" w:hAnsiTheme="minorEastAsia" w:cs="Arial" w:hint="eastAsia"/>
                <w:kern w:val="0"/>
                <w:szCs w:val="21"/>
              </w:rPr>
              <w:t>30</w:t>
            </w:r>
            <w:r>
              <w:rPr>
                <w:rFonts w:asciiTheme="minorEastAsia" w:hAnsiTheme="minorEastAsia" w:cs="Arial" w:hint="eastAsia"/>
                <w:kern w:val="0"/>
                <w:szCs w:val="21"/>
              </w:rPr>
              <w:t>灵活配置混合型证券投资基金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宝盈科技</w:t>
            </w:r>
            <w:r>
              <w:rPr>
                <w:rFonts w:asciiTheme="minorEastAsia" w:hAnsiTheme="minorEastAsia" w:cs="Arial" w:hint="eastAsia"/>
                <w:kern w:val="0"/>
                <w:szCs w:val="21"/>
              </w:rPr>
              <w:t>30</w:t>
            </w:r>
            <w:r>
              <w:rPr>
                <w:rFonts w:asciiTheme="minorEastAsia" w:hAnsiTheme="minorEastAsia" w:cs="Arial" w:hint="eastAsia"/>
                <w:kern w:val="0"/>
                <w:szCs w:val="21"/>
              </w:rPr>
              <w:t>混合</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000698</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宝盈睿丰创新灵活配置混合型证券投资基金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宝盈睿丰创新混合</w:t>
            </w:r>
            <w:r>
              <w:rPr>
                <w:rFonts w:asciiTheme="minorEastAsia" w:hAnsiTheme="minorEastAsia" w:cs="Arial" w:hint="eastAsia"/>
                <w:kern w:val="0"/>
                <w:szCs w:val="21"/>
              </w:rPr>
              <w:t>A</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000794</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宝盈先进制造灵活配置混合型证券投资基金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宝盈先进制造混合</w:t>
            </w:r>
            <w:r>
              <w:rPr>
                <w:rFonts w:asciiTheme="minorEastAsia" w:hAnsiTheme="minorEastAsia" w:cs="Arial" w:hint="eastAsia"/>
                <w:kern w:val="0"/>
                <w:szCs w:val="21"/>
              </w:rPr>
              <w:t>A</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000924</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宝盈新兴产业灵活配置混合型证券投资基金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宝盈新兴产业混合</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001128</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宝盈转型动力灵活配置混合型证券投资基金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宝盈转型动力混合</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001075</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宝盈祥泰混合型证券投资基金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宝盈祥泰混合</w:t>
            </w:r>
            <w:r>
              <w:rPr>
                <w:rFonts w:asciiTheme="minorEastAsia" w:hAnsiTheme="minorEastAsia" w:cs="Arial" w:hint="eastAsia"/>
                <w:kern w:val="0"/>
                <w:szCs w:val="21"/>
              </w:rPr>
              <w:t>A</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001358</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宝盈优势产业灵活配置混合型证券投资基金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宝盈优势产业混合</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001487</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宝盈新锐灵活配置混合型证券投资基金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宝盈新锐混合</w:t>
            </w:r>
            <w:r>
              <w:rPr>
                <w:rFonts w:asciiTheme="minorEastAsia" w:hAnsiTheme="minorEastAsia" w:cs="Arial" w:hint="eastAsia"/>
                <w:kern w:val="0"/>
                <w:szCs w:val="21"/>
              </w:rPr>
              <w:t>A</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001543</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宝盈医疗健康沪港深股票型证券投资基金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宝盈医疗健康沪港深股票</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001915</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宝盈国家安全战略沪港深股票型证券投资基金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宝盈国家安全沪港深股票</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001877</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宝盈互联网沪港深灵活配置混合型证券投资基金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宝盈互联网沪港深混合</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002482</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宝盈消费主题灵活配置混合型证券投资基金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宝盈消费主题混合</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003715</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宝盈盈泰纯债债券型证券投资基金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宝盈盈泰纯债债券</w:t>
            </w:r>
            <w:r>
              <w:rPr>
                <w:rFonts w:asciiTheme="minorEastAsia" w:hAnsiTheme="minorEastAsia" w:cs="Arial" w:hint="eastAsia"/>
                <w:kern w:val="0"/>
                <w:szCs w:val="21"/>
              </w:rPr>
              <w:t>A</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005846</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宝盈人工智能主题股票型证券投资基金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宝盈人工智能股票</w:t>
            </w:r>
            <w:r>
              <w:rPr>
                <w:rFonts w:asciiTheme="minorEastAsia" w:hAnsiTheme="minorEastAsia" w:cs="Arial" w:hint="eastAsia"/>
                <w:kern w:val="0"/>
                <w:szCs w:val="21"/>
              </w:rPr>
              <w:t>A</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005962</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lastRenderedPageBreak/>
              <w:t>宝盈</w:t>
            </w:r>
            <w:r>
              <w:rPr>
                <w:rFonts w:asciiTheme="minorEastAsia" w:hAnsiTheme="minorEastAsia" w:cs="Arial"/>
                <w:kern w:val="0"/>
                <w:szCs w:val="21"/>
              </w:rPr>
              <w:t>融源可转债</w:t>
            </w:r>
            <w:r>
              <w:rPr>
                <w:rFonts w:asciiTheme="minorEastAsia" w:hAnsiTheme="minorEastAsia" w:cs="Arial" w:hint="eastAsia"/>
                <w:kern w:val="0"/>
                <w:szCs w:val="21"/>
              </w:rPr>
              <w:t>债券</w:t>
            </w:r>
            <w:r>
              <w:rPr>
                <w:rFonts w:asciiTheme="minorEastAsia" w:hAnsiTheme="minorEastAsia" w:cs="Arial"/>
                <w:kern w:val="0"/>
                <w:szCs w:val="21"/>
              </w:rPr>
              <w:t>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宝盈融源可转债债券</w:t>
            </w:r>
            <w:r>
              <w:rPr>
                <w:rFonts w:asciiTheme="minorEastAsia" w:hAnsiTheme="minorEastAsia" w:cs="Arial" w:hint="eastAsia"/>
                <w:kern w:val="0"/>
                <w:szCs w:val="21"/>
              </w:rPr>
              <w:t>A</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006147</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imes New Roman" w:eastAsia="宋体" w:hAnsi="Times New Roman" w:cs="Times New Roman" w:hint="eastAsia"/>
                <w:szCs w:val="20"/>
              </w:rPr>
              <w:t>宝盈</w:t>
            </w:r>
            <w:r>
              <w:rPr>
                <w:rFonts w:ascii="Times New Roman" w:eastAsia="宋体" w:hAnsi="Times New Roman" w:cs="Times New Roman"/>
                <w:szCs w:val="20"/>
              </w:rPr>
              <w:t>安泰短债债券型证券投资基金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heme="minorEastAsia" w:hAnsiTheme="minorEastAsia" w:cs="Arial"/>
                <w:kern w:val="0"/>
                <w:szCs w:val="21"/>
              </w:rPr>
            </w:pPr>
            <w:r>
              <w:rPr>
                <w:rFonts w:ascii="Times New Roman" w:eastAsia="宋体" w:hAnsi="Times New Roman" w:cs="Times New Roman" w:hint="eastAsia"/>
                <w:szCs w:val="20"/>
              </w:rPr>
              <w:t>宝盈</w:t>
            </w:r>
            <w:r>
              <w:rPr>
                <w:rFonts w:ascii="Times New Roman" w:eastAsia="宋体" w:hAnsi="Times New Roman" w:cs="Times New Roman"/>
                <w:szCs w:val="20"/>
              </w:rPr>
              <w:t>安泰短债债券</w:t>
            </w:r>
            <w:r>
              <w:rPr>
                <w:rFonts w:ascii="Times New Roman" w:eastAsia="宋体" w:hAnsi="Times New Roman" w:cs="Times New Roman" w:hint="eastAsia"/>
                <w:szCs w:val="20"/>
              </w:rPr>
              <w:t>A</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heme="minorEastAsia" w:hAnsiTheme="minorEastAsia" w:cs="Arial"/>
                <w:kern w:val="0"/>
                <w:szCs w:val="21"/>
              </w:rPr>
            </w:pPr>
            <w:r>
              <w:rPr>
                <w:rFonts w:ascii="Times New Roman" w:eastAsia="宋体" w:hAnsi="Times New Roman" w:cs="Times New Roman" w:hint="eastAsia"/>
                <w:kern w:val="0"/>
                <w:szCs w:val="21"/>
              </w:rPr>
              <w:t>006387</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imes New Roman" w:eastAsia="宋体" w:hAnsi="Times New Roman" w:cs="Times New Roman"/>
                <w:szCs w:val="20"/>
              </w:rPr>
            </w:pPr>
            <w:r>
              <w:rPr>
                <w:rFonts w:ascii="Times New Roman" w:eastAsia="宋体" w:hAnsi="Times New Roman" w:cs="Times New Roman" w:hint="eastAsia"/>
                <w:szCs w:val="20"/>
              </w:rPr>
              <w:t>宝盈</w:t>
            </w:r>
            <w:r>
              <w:rPr>
                <w:rFonts w:ascii="Times New Roman" w:eastAsia="宋体" w:hAnsi="Times New Roman" w:cs="Times New Roman"/>
                <w:szCs w:val="20"/>
              </w:rPr>
              <w:t>祥颐</w:t>
            </w:r>
            <w:r>
              <w:rPr>
                <w:rFonts w:ascii="Times New Roman" w:eastAsia="宋体" w:hAnsi="Times New Roman" w:cs="Times New Roman" w:hint="eastAsia"/>
                <w:szCs w:val="20"/>
              </w:rPr>
              <w:t>定期</w:t>
            </w:r>
            <w:r>
              <w:rPr>
                <w:rFonts w:ascii="Times New Roman" w:eastAsia="宋体" w:hAnsi="Times New Roman" w:cs="Times New Roman"/>
                <w:szCs w:val="20"/>
              </w:rPr>
              <w:t>开放混合型证券投资基金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imes New Roman" w:eastAsia="宋体" w:hAnsi="Times New Roman" w:cs="Times New Roman"/>
                <w:szCs w:val="20"/>
              </w:rPr>
            </w:pPr>
            <w:r>
              <w:rPr>
                <w:rFonts w:ascii="Times New Roman" w:eastAsia="宋体" w:hAnsi="Times New Roman" w:cs="Times New Roman" w:hint="eastAsia"/>
                <w:szCs w:val="20"/>
              </w:rPr>
              <w:t>宝盈</w:t>
            </w:r>
            <w:r>
              <w:rPr>
                <w:rFonts w:ascii="Times New Roman" w:eastAsia="宋体" w:hAnsi="Times New Roman" w:cs="Times New Roman"/>
                <w:szCs w:val="20"/>
              </w:rPr>
              <w:t>祥颐</w:t>
            </w:r>
            <w:r>
              <w:rPr>
                <w:rFonts w:ascii="Times New Roman" w:eastAsia="宋体" w:hAnsi="Times New Roman" w:cs="Times New Roman" w:hint="eastAsia"/>
                <w:szCs w:val="20"/>
              </w:rPr>
              <w:t>定期</w:t>
            </w:r>
            <w:r>
              <w:rPr>
                <w:rFonts w:ascii="Times New Roman" w:eastAsia="宋体" w:hAnsi="Times New Roman" w:cs="Times New Roman"/>
                <w:szCs w:val="20"/>
              </w:rPr>
              <w:t>开放混合</w:t>
            </w:r>
            <w:r>
              <w:rPr>
                <w:rFonts w:ascii="Times New Roman" w:eastAsia="宋体" w:hAnsi="Times New Roman" w:cs="Times New Roman" w:hint="eastAsia"/>
                <w:szCs w:val="20"/>
              </w:rPr>
              <w:t>A</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006398</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imes New Roman" w:eastAsia="宋体" w:hAnsi="Times New Roman" w:cs="Times New Roman"/>
                <w:szCs w:val="20"/>
              </w:rPr>
            </w:pPr>
            <w:r>
              <w:rPr>
                <w:rFonts w:ascii="Times New Roman" w:eastAsia="宋体" w:hAnsi="Times New Roman" w:cs="Times New Roman" w:hint="eastAsia"/>
                <w:szCs w:val="20"/>
              </w:rPr>
              <w:t>宝盈</w:t>
            </w:r>
            <w:r>
              <w:rPr>
                <w:rFonts w:ascii="Times New Roman" w:eastAsia="宋体" w:hAnsi="Times New Roman" w:cs="Times New Roman"/>
                <w:szCs w:val="20"/>
              </w:rPr>
              <w:t>品牌</w:t>
            </w:r>
            <w:r>
              <w:rPr>
                <w:rFonts w:ascii="Times New Roman" w:eastAsia="宋体" w:hAnsi="Times New Roman" w:cs="Times New Roman" w:hint="eastAsia"/>
                <w:szCs w:val="20"/>
              </w:rPr>
              <w:t>消费</w:t>
            </w:r>
            <w:r>
              <w:rPr>
                <w:rFonts w:ascii="Times New Roman" w:eastAsia="宋体" w:hAnsi="Times New Roman" w:cs="Times New Roman"/>
                <w:szCs w:val="20"/>
              </w:rPr>
              <w:t>股票型证券投资基金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imes New Roman" w:eastAsia="宋体" w:hAnsi="Times New Roman" w:cs="Times New Roman"/>
                <w:szCs w:val="20"/>
              </w:rPr>
            </w:pPr>
            <w:r>
              <w:rPr>
                <w:rFonts w:ascii="Times New Roman" w:eastAsia="宋体" w:hAnsi="Times New Roman" w:cs="Times New Roman" w:hint="eastAsia"/>
                <w:szCs w:val="20"/>
              </w:rPr>
              <w:t>宝盈</w:t>
            </w:r>
            <w:r>
              <w:rPr>
                <w:rFonts w:ascii="Times New Roman" w:eastAsia="宋体" w:hAnsi="Times New Roman" w:cs="Times New Roman"/>
                <w:szCs w:val="20"/>
              </w:rPr>
              <w:t>品牌消费股票</w:t>
            </w:r>
            <w:r>
              <w:rPr>
                <w:rFonts w:ascii="Times New Roman" w:eastAsia="宋体" w:hAnsi="Times New Roman" w:cs="Times New Roman" w:hint="eastAsia"/>
                <w:szCs w:val="20"/>
              </w:rPr>
              <w:t>A</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006675</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imes New Roman" w:eastAsia="宋体" w:hAnsi="Times New Roman" w:cs="Times New Roman"/>
                <w:szCs w:val="20"/>
              </w:rPr>
            </w:pPr>
            <w:r>
              <w:rPr>
                <w:rFonts w:ascii="Times New Roman" w:eastAsia="宋体" w:hAnsi="Times New Roman" w:cs="Times New Roman" w:hint="eastAsia"/>
                <w:szCs w:val="20"/>
              </w:rPr>
              <w:t>宝盈</w:t>
            </w:r>
            <w:r>
              <w:rPr>
                <w:rFonts w:ascii="Times New Roman" w:eastAsia="宋体" w:hAnsi="Times New Roman" w:cs="Times New Roman"/>
                <w:szCs w:val="20"/>
              </w:rPr>
              <w:t>研究精选混合型证券</w:t>
            </w:r>
            <w:r>
              <w:rPr>
                <w:rFonts w:ascii="Times New Roman" w:eastAsia="宋体" w:hAnsi="Times New Roman" w:cs="Times New Roman" w:hint="eastAsia"/>
                <w:szCs w:val="20"/>
              </w:rPr>
              <w:t>投资</w:t>
            </w:r>
            <w:r>
              <w:rPr>
                <w:rFonts w:ascii="Times New Roman" w:eastAsia="宋体" w:hAnsi="Times New Roman" w:cs="Times New Roman"/>
                <w:szCs w:val="20"/>
              </w:rPr>
              <w:t>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imes New Roman" w:eastAsia="宋体" w:hAnsi="Times New Roman" w:cs="Times New Roman"/>
                <w:szCs w:val="20"/>
              </w:rPr>
            </w:pPr>
            <w:r>
              <w:rPr>
                <w:rFonts w:ascii="Times New Roman" w:eastAsia="宋体" w:hAnsi="Times New Roman" w:cs="Times New Roman" w:hint="eastAsia"/>
                <w:szCs w:val="20"/>
              </w:rPr>
              <w:t>宝盈研究精选混合</w:t>
            </w:r>
            <w:r>
              <w:rPr>
                <w:rFonts w:ascii="Times New Roman" w:eastAsia="宋体" w:hAnsi="Times New Roman" w:cs="Times New Roman" w:hint="eastAsia"/>
                <w:szCs w:val="20"/>
              </w:rPr>
              <w:t>A</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imes New Roman" w:eastAsia="宋体" w:hAnsi="Times New Roman" w:cs="Times New Roman"/>
                <w:kern w:val="0"/>
                <w:szCs w:val="21"/>
              </w:rPr>
            </w:pPr>
            <w:r>
              <w:rPr>
                <w:rFonts w:ascii="Times New Roman" w:eastAsia="宋体" w:hAnsi="Times New Roman" w:cs="Times New Roman"/>
                <w:kern w:val="0"/>
                <w:szCs w:val="21"/>
              </w:rPr>
              <w:t>008227</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imes New Roman" w:eastAsia="宋体" w:hAnsi="Times New Roman" w:cs="Times New Roman"/>
                <w:szCs w:val="20"/>
              </w:rPr>
            </w:pPr>
            <w:r>
              <w:rPr>
                <w:rFonts w:ascii="Times New Roman" w:eastAsia="宋体" w:hAnsi="Times New Roman" w:cs="Times New Roman" w:hint="eastAsia"/>
                <w:szCs w:val="20"/>
              </w:rPr>
              <w:t>宝盈龙头优选股票型证券投资基金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imes New Roman" w:eastAsia="宋体" w:hAnsi="Times New Roman" w:cs="Times New Roman"/>
                <w:szCs w:val="20"/>
              </w:rPr>
            </w:pPr>
            <w:r>
              <w:rPr>
                <w:rFonts w:ascii="Times New Roman" w:eastAsia="宋体" w:hAnsi="Times New Roman" w:cs="Times New Roman" w:hint="eastAsia"/>
                <w:szCs w:val="20"/>
              </w:rPr>
              <w:t>宝盈龙头优选股票</w:t>
            </w:r>
            <w:r>
              <w:rPr>
                <w:rFonts w:ascii="Times New Roman" w:eastAsia="宋体" w:hAnsi="Times New Roman" w:cs="Times New Roman" w:hint="eastAsia"/>
                <w:szCs w:val="20"/>
              </w:rPr>
              <w:t>A</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008303</w:t>
            </w:r>
          </w:p>
        </w:tc>
      </w:tr>
      <w:tr w:rsidR="00380C55">
        <w:tc>
          <w:tcPr>
            <w:tcW w:w="4712"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imes New Roman" w:eastAsia="宋体" w:hAnsi="Times New Roman" w:cs="Times New Roman"/>
                <w:szCs w:val="20"/>
              </w:rPr>
            </w:pPr>
            <w:r>
              <w:rPr>
                <w:rFonts w:ascii="Times New Roman" w:eastAsia="宋体" w:hAnsi="Times New Roman" w:cs="Times New Roman" w:hint="eastAsia"/>
                <w:szCs w:val="20"/>
              </w:rPr>
              <w:t>宝盈祥明一年定期开放混合型证券投资基金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left"/>
              <w:rPr>
                <w:rFonts w:ascii="Times New Roman" w:eastAsia="宋体" w:hAnsi="Times New Roman" w:cs="Times New Roman"/>
                <w:szCs w:val="20"/>
              </w:rPr>
            </w:pPr>
            <w:r>
              <w:rPr>
                <w:rFonts w:ascii="Times New Roman" w:eastAsia="宋体" w:hAnsi="Times New Roman" w:cs="Times New Roman" w:hint="eastAsia"/>
                <w:szCs w:val="20"/>
              </w:rPr>
              <w:t>宝盈祥明一年定开混合</w:t>
            </w:r>
            <w:r>
              <w:rPr>
                <w:rFonts w:ascii="Times New Roman" w:eastAsia="宋体" w:hAnsi="Times New Roman" w:cs="Times New Roman" w:hint="eastAsia"/>
                <w:szCs w:val="20"/>
              </w:rPr>
              <w:t>A</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380C55" w:rsidRDefault="00470300">
            <w:pPr>
              <w:widowControl/>
              <w:ind w:firstLine="7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009419</w:t>
            </w:r>
          </w:p>
        </w:tc>
      </w:tr>
    </w:tbl>
    <w:p w:rsidR="00380C55" w:rsidRDefault="00380C55">
      <w:pPr>
        <w:widowControl/>
        <w:spacing w:line="360" w:lineRule="auto"/>
        <w:rPr>
          <w:rFonts w:asciiTheme="minorEastAsia" w:hAnsiTheme="minorEastAsia" w:cs="Arial"/>
          <w:b/>
          <w:bCs/>
          <w:kern w:val="0"/>
          <w:sz w:val="24"/>
          <w:szCs w:val="24"/>
        </w:rPr>
      </w:pPr>
    </w:p>
    <w:p w:rsidR="00380C55" w:rsidRDefault="00470300">
      <w:pPr>
        <w:widowControl/>
        <w:spacing w:line="336" w:lineRule="auto"/>
        <w:ind w:firstLine="480"/>
        <w:rPr>
          <w:rFonts w:asciiTheme="minorEastAsia" w:hAnsiTheme="minorEastAsia" w:cs="Arial"/>
          <w:b/>
          <w:bCs/>
          <w:kern w:val="0"/>
          <w:sz w:val="24"/>
          <w:szCs w:val="24"/>
        </w:rPr>
      </w:pPr>
      <w:r>
        <w:rPr>
          <w:rFonts w:asciiTheme="minorEastAsia" w:hAnsiTheme="minorEastAsia" w:cs="Arial" w:hint="eastAsia"/>
          <w:b/>
          <w:bCs/>
          <w:kern w:val="0"/>
          <w:sz w:val="24"/>
          <w:szCs w:val="24"/>
        </w:rPr>
        <w:t>三、活动内容</w:t>
      </w:r>
    </w:p>
    <w:p w:rsidR="00380C55" w:rsidRDefault="00470300">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1</w:t>
      </w:r>
      <w:r>
        <w:rPr>
          <w:rFonts w:asciiTheme="minorEastAsia" w:hAnsiTheme="minorEastAsia" w:cs="Arial" w:hint="eastAsia"/>
          <w:kern w:val="0"/>
          <w:sz w:val="24"/>
          <w:szCs w:val="24"/>
        </w:rPr>
        <w:t>、在费率优惠活动期间，凡已领取基金</w:t>
      </w:r>
      <w:r>
        <w:rPr>
          <w:rFonts w:asciiTheme="minorEastAsia" w:hAnsiTheme="minorEastAsia" w:cs="Arial" w:hint="eastAsia"/>
          <w:kern w:val="0"/>
          <w:sz w:val="24"/>
          <w:szCs w:val="24"/>
        </w:rPr>
        <w:t>1</w:t>
      </w:r>
      <w:r>
        <w:rPr>
          <w:rFonts w:asciiTheme="minorEastAsia" w:hAnsiTheme="minorEastAsia" w:cs="Arial" w:hint="eastAsia"/>
          <w:kern w:val="0"/>
          <w:sz w:val="24"/>
          <w:szCs w:val="24"/>
        </w:rPr>
        <w:t>折权益的个人投资者，通过交通银行手机银行渠道申购上述开放式基金，享受基金申购手续费率</w:t>
      </w:r>
      <w:r>
        <w:rPr>
          <w:rFonts w:asciiTheme="minorEastAsia" w:hAnsiTheme="minorEastAsia" w:cs="Arial" w:hint="eastAsia"/>
          <w:kern w:val="0"/>
          <w:sz w:val="24"/>
          <w:szCs w:val="24"/>
        </w:rPr>
        <w:t>1</w:t>
      </w:r>
      <w:r>
        <w:rPr>
          <w:rFonts w:asciiTheme="minorEastAsia" w:hAnsiTheme="minorEastAsia" w:cs="Arial" w:hint="eastAsia"/>
          <w:kern w:val="0"/>
          <w:sz w:val="24"/>
          <w:szCs w:val="24"/>
        </w:rPr>
        <w:t>折优惠。</w:t>
      </w:r>
    </w:p>
    <w:p w:rsidR="00380C55" w:rsidRDefault="00470300">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2</w:t>
      </w:r>
      <w:r>
        <w:rPr>
          <w:rFonts w:asciiTheme="minorEastAsia" w:hAnsiTheme="minorEastAsia" w:cs="Arial" w:hint="eastAsia"/>
          <w:kern w:val="0"/>
          <w:sz w:val="24"/>
          <w:szCs w:val="24"/>
        </w:rPr>
        <w:t>、在费率优惠活动期间，凡已领取基金</w:t>
      </w:r>
      <w:r>
        <w:rPr>
          <w:rFonts w:asciiTheme="minorEastAsia" w:hAnsiTheme="minorEastAsia" w:cs="Arial" w:hint="eastAsia"/>
          <w:kern w:val="0"/>
          <w:sz w:val="24"/>
          <w:szCs w:val="24"/>
        </w:rPr>
        <w:t>1</w:t>
      </w:r>
      <w:r>
        <w:rPr>
          <w:rFonts w:asciiTheme="minorEastAsia" w:hAnsiTheme="minorEastAsia" w:cs="Arial" w:hint="eastAsia"/>
          <w:kern w:val="0"/>
          <w:sz w:val="24"/>
          <w:szCs w:val="24"/>
        </w:rPr>
        <w:t>折权益的个人投资者，通过交通银行手机银行渠道签约定期定额投资协议，并于费率优惠活动期间成功扣款的定投交易，享受定期定额投资</w:t>
      </w:r>
      <w:r>
        <w:rPr>
          <w:rFonts w:asciiTheme="minorEastAsia" w:hAnsiTheme="minorEastAsia" w:cs="Arial" w:hint="eastAsia"/>
          <w:kern w:val="0"/>
          <w:sz w:val="24"/>
          <w:szCs w:val="24"/>
        </w:rPr>
        <w:t>1</w:t>
      </w:r>
      <w:r>
        <w:rPr>
          <w:rFonts w:asciiTheme="minorEastAsia" w:hAnsiTheme="minorEastAsia" w:cs="Arial" w:hint="eastAsia"/>
          <w:kern w:val="0"/>
          <w:sz w:val="24"/>
          <w:szCs w:val="24"/>
        </w:rPr>
        <w:t>折费率优惠。</w:t>
      </w:r>
    </w:p>
    <w:p w:rsidR="00380C55" w:rsidRDefault="00470300">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3</w:t>
      </w:r>
      <w:r>
        <w:rPr>
          <w:rFonts w:asciiTheme="minorEastAsia" w:hAnsiTheme="minorEastAsia" w:cs="Arial" w:hint="eastAsia"/>
          <w:kern w:val="0"/>
          <w:sz w:val="24"/>
          <w:szCs w:val="24"/>
        </w:rPr>
        <w:t>、</w:t>
      </w:r>
      <w:r>
        <w:rPr>
          <w:rFonts w:asciiTheme="minorEastAsia" w:hAnsiTheme="minorEastAsia" w:cs="Arial" w:hint="eastAsia"/>
          <w:kern w:val="0"/>
          <w:sz w:val="24"/>
          <w:szCs w:val="24"/>
        </w:rPr>
        <w:t>基金</w:t>
      </w:r>
      <w:r>
        <w:rPr>
          <w:rFonts w:asciiTheme="minorEastAsia" w:hAnsiTheme="minorEastAsia" w:cs="Arial" w:hint="eastAsia"/>
          <w:kern w:val="0"/>
          <w:sz w:val="24"/>
          <w:szCs w:val="24"/>
        </w:rPr>
        <w:t>1</w:t>
      </w:r>
      <w:r>
        <w:rPr>
          <w:rFonts w:asciiTheme="minorEastAsia" w:hAnsiTheme="minorEastAsia" w:cs="Arial" w:hint="eastAsia"/>
          <w:kern w:val="0"/>
          <w:sz w:val="24"/>
          <w:szCs w:val="24"/>
        </w:rPr>
        <w:t>折权益是指：在费率优惠活动期间，通过交通银行手机银行渠道领取的可享受基金申购、定期定额投资费率</w:t>
      </w:r>
      <w:r>
        <w:rPr>
          <w:rFonts w:asciiTheme="minorEastAsia" w:hAnsiTheme="minorEastAsia" w:cs="Arial" w:hint="eastAsia"/>
          <w:kern w:val="0"/>
          <w:sz w:val="24"/>
          <w:szCs w:val="24"/>
        </w:rPr>
        <w:t>1</w:t>
      </w:r>
      <w:r>
        <w:rPr>
          <w:rFonts w:asciiTheme="minorEastAsia" w:hAnsiTheme="minorEastAsia" w:cs="Arial" w:hint="eastAsia"/>
          <w:kern w:val="0"/>
          <w:sz w:val="24"/>
          <w:szCs w:val="24"/>
        </w:rPr>
        <w:t>折优惠的权益。</w:t>
      </w:r>
    </w:p>
    <w:p w:rsidR="00380C55" w:rsidRDefault="00470300">
      <w:pPr>
        <w:widowControl/>
        <w:spacing w:line="336"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4</w:t>
      </w:r>
      <w:r>
        <w:rPr>
          <w:rFonts w:asciiTheme="minorEastAsia" w:hAnsiTheme="minorEastAsia" w:cs="Arial" w:hint="eastAsia"/>
          <w:kern w:val="0"/>
          <w:sz w:val="24"/>
          <w:szCs w:val="24"/>
        </w:rPr>
        <w:t>、费率优惠活动期间，如本公司新增通过交通银行销售的基金，默认参加上述费率优惠活动，具体折扣费率及费率优惠活动期限以交通银行活动公告为准，本公司不再另行公告。</w:t>
      </w:r>
    </w:p>
    <w:p w:rsidR="00380C55" w:rsidRDefault="00380C55">
      <w:pPr>
        <w:widowControl/>
        <w:spacing w:line="336" w:lineRule="auto"/>
        <w:ind w:firstLineChars="200" w:firstLine="480"/>
        <w:rPr>
          <w:rFonts w:asciiTheme="minorEastAsia" w:hAnsiTheme="minorEastAsia" w:cs="Arial"/>
          <w:kern w:val="0"/>
          <w:sz w:val="24"/>
          <w:szCs w:val="24"/>
        </w:rPr>
      </w:pPr>
    </w:p>
    <w:p w:rsidR="00380C55" w:rsidRDefault="00470300">
      <w:pPr>
        <w:widowControl/>
        <w:spacing w:line="336" w:lineRule="auto"/>
        <w:ind w:firstLine="480"/>
        <w:rPr>
          <w:rFonts w:asciiTheme="minorEastAsia" w:hAnsiTheme="minorEastAsia" w:cs="Arial"/>
          <w:b/>
          <w:bCs/>
          <w:kern w:val="0"/>
          <w:sz w:val="24"/>
          <w:szCs w:val="24"/>
        </w:rPr>
      </w:pPr>
      <w:r>
        <w:rPr>
          <w:rFonts w:asciiTheme="minorEastAsia" w:hAnsiTheme="minorEastAsia" w:cs="Arial" w:hint="eastAsia"/>
          <w:b/>
          <w:bCs/>
          <w:kern w:val="0"/>
          <w:sz w:val="24"/>
          <w:szCs w:val="24"/>
        </w:rPr>
        <w:t>四、重要提示</w:t>
      </w:r>
    </w:p>
    <w:p w:rsidR="00380C55" w:rsidRDefault="00470300">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1</w:t>
      </w:r>
      <w:r>
        <w:rPr>
          <w:rFonts w:asciiTheme="minorEastAsia" w:hAnsiTheme="minorEastAsia" w:cs="Arial" w:hint="eastAsia"/>
          <w:kern w:val="0"/>
          <w:sz w:val="24"/>
          <w:szCs w:val="24"/>
        </w:rPr>
        <w:t>、交通银行手机银行基金申购及定期定额投资手续费率优惠仅针对处于正常申购期的指定开放式基金</w:t>
      </w:r>
      <w:r>
        <w:rPr>
          <w:rFonts w:asciiTheme="minorEastAsia" w:hAnsiTheme="minorEastAsia" w:cs="Arial" w:hint="eastAsia"/>
          <w:kern w:val="0"/>
          <w:sz w:val="24"/>
          <w:szCs w:val="24"/>
        </w:rPr>
        <w:t>(</w:t>
      </w:r>
      <w:r>
        <w:rPr>
          <w:rFonts w:asciiTheme="minorEastAsia" w:hAnsiTheme="minorEastAsia" w:cs="Arial" w:hint="eastAsia"/>
          <w:kern w:val="0"/>
          <w:sz w:val="24"/>
          <w:szCs w:val="24"/>
        </w:rPr>
        <w:t>前端模式</w:t>
      </w:r>
      <w:r>
        <w:rPr>
          <w:rFonts w:asciiTheme="minorEastAsia" w:hAnsiTheme="minorEastAsia" w:cs="Arial" w:hint="eastAsia"/>
          <w:kern w:val="0"/>
          <w:sz w:val="24"/>
          <w:szCs w:val="24"/>
        </w:rPr>
        <w:t>)</w:t>
      </w:r>
      <w:r>
        <w:rPr>
          <w:rFonts w:asciiTheme="minorEastAsia" w:hAnsiTheme="minorEastAsia" w:cs="Arial" w:hint="eastAsia"/>
          <w:kern w:val="0"/>
          <w:sz w:val="24"/>
          <w:szCs w:val="24"/>
        </w:rPr>
        <w:t>申购及定期定额投资手续费。不包括转换费率、后端收费模式基金的申购及定期定额投资、处于基金募集期的开放式基金认购手续费</w:t>
      </w:r>
      <w:r>
        <w:rPr>
          <w:rFonts w:asciiTheme="minorEastAsia" w:hAnsiTheme="minorEastAsia" w:cs="Arial" w:hint="eastAsia"/>
          <w:kern w:val="0"/>
          <w:sz w:val="24"/>
          <w:szCs w:val="24"/>
        </w:rPr>
        <w:t>。“前端模式申购”是指申购基金时就需要支付申购费的购买方式。</w:t>
      </w:r>
    </w:p>
    <w:p w:rsidR="00380C55" w:rsidRDefault="00470300">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投资人</w:t>
      </w:r>
      <w:r>
        <w:rPr>
          <w:rFonts w:asciiTheme="minorEastAsia" w:hAnsiTheme="minorEastAsia" w:cs="Arial" w:hint="eastAsia"/>
          <w:kern w:val="0"/>
          <w:sz w:val="24"/>
          <w:szCs w:val="24"/>
        </w:rPr>
        <w:t>通过</w:t>
      </w:r>
      <w:r>
        <w:rPr>
          <w:rFonts w:asciiTheme="minorEastAsia" w:hAnsiTheme="minorEastAsia" w:cs="Arial" w:hint="eastAsia"/>
          <w:kern w:val="0"/>
          <w:sz w:val="24"/>
          <w:szCs w:val="24"/>
        </w:rPr>
        <w:t>交通银行</w:t>
      </w:r>
      <w:r>
        <w:rPr>
          <w:rFonts w:asciiTheme="minorEastAsia" w:hAnsiTheme="minorEastAsia" w:cs="Arial" w:hint="eastAsia"/>
          <w:kern w:val="0"/>
          <w:sz w:val="24"/>
          <w:szCs w:val="24"/>
        </w:rPr>
        <w:t>柜面、网银等非手机银行渠道签约的定期定额投资协议在手机银行渠道费率优惠活动期间内的扣款不享受</w:t>
      </w:r>
      <w:r>
        <w:rPr>
          <w:rFonts w:asciiTheme="minorEastAsia" w:hAnsiTheme="minorEastAsia" w:cs="Arial" w:hint="eastAsia"/>
          <w:kern w:val="0"/>
          <w:sz w:val="24"/>
          <w:szCs w:val="24"/>
        </w:rPr>
        <w:t>1</w:t>
      </w:r>
      <w:r>
        <w:rPr>
          <w:rFonts w:asciiTheme="minorEastAsia" w:hAnsiTheme="minorEastAsia" w:cs="Arial" w:hint="eastAsia"/>
          <w:kern w:val="0"/>
          <w:sz w:val="24"/>
          <w:szCs w:val="24"/>
        </w:rPr>
        <w:t>折费率优惠。</w:t>
      </w:r>
    </w:p>
    <w:p w:rsidR="00380C55" w:rsidRDefault="00470300">
      <w:pPr>
        <w:widowControl/>
        <w:numPr>
          <w:ilvl w:val="0"/>
          <w:numId w:val="1"/>
        </w:numPr>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参与上述费率优惠活动时，原基金申购费率为固定费用的，则按原费率执行，不再享有费率优惠。</w:t>
      </w:r>
    </w:p>
    <w:p w:rsidR="00380C55" w:rsidRDefault="00470300">
      <w:pPr>
        <w:widowControl/>
        <w:numPr>
          <w:ilvl w:val="0"/>
          <w:numId w:val="1"/>
        </w:numPr>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未领取基金</w:t>
      </w:r>
      <w:r>
        <w:rPr>
          <w:rFonts w:asciiTheme="minorEastAsia" w:hAnsiTheme="minorEastAsia" w:cs="Arial" w:hint="eastAsia"/>
          <w:kern w:val="0"/>
          <w:sz w:val="24"/>
          <w:szCs w:val="24"/>
        </w:rPr>
        <w:t>1</w:t>
      </w:r>
      <w:r>
        <w:rPr>
          <w:rFonts w:asciiTheme="minorEastAsia" w:hAnsiTheme="minorEastAsia" w:cs="Arial" w:hint="eastAsia"/>
          <w:kern w:val="0"/>
          <w:sz w:val="24"/>
          <w:szCs w:val="24"/>
        </w:rPr>
        <w:t>折权益的客户在</w:t>
      </w:r>
      <w:r>
        <w:rPr>
          <w:rFonts w:asciiTheme="minorEastAsia" w:hAnsiTheme="minorEastAsia" w:cs="Arial" w:hint="eastAsia"/>
          <w:kern w:val="0"/>
          <w:sz w:val="24"/>
          <w:szCs w:val="24"/>
        </w:rPr>
        <w:t>交通银行</w:t>
      </w:r>
      <w:r>
        <w:rPr>
          <w:rFonts w:asciiTheme="minorEastAsia" w:hAnsiTheme="minorEastAsia" w:cs="Arial" w:hint="eastAsia"/>
          <w:kern w:val="0"/>
          <w:sz w:val="24"/>
          <w:szCs w:val="24"/>
        </w:rPr>
        <w:t>手机银行不享受本次费率优惠。</w:t>
      </w:r>
    </w:p>
    <w:p w:rsidR="00380C55" w:rsidRDefault="00470300">
      <w:pPr>
        <w:widowControl/>
        <w:numPr>
          <w:ilvl w:val="0"/>
          <w:numId w:val="1"/>
        </w:numPr>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费率优惠活动期间，客户在</w:t>
      </w:r>
      <w:r>
        <w:rPr>
          <w:rFonts w:asciiTheme="minorEastAsia" w:hAnsiTheme="minorEastAsia" w:cs="Arial" w:hint="eastAsia"/>
          <w:kern w:val="0"/>
          <w:sz w:val="24"/>
          <w:szCs w:val="24"/>
        </w:rPr>
        <w:t>交通银行</w:t>
      </w:r>
      <w:r>
        <w:rPr>
          <w:rFonts w:asciiTheme="minorEastAsia" w:hAnsiTheme="minorEastAsia" w:cs="Arial" w:hint="eastAsia"/>
          <w:kern w:val="0"/>
          <w:sz w:val="24"/>
          <w:szCs w:val="24"/>
        </w:rPr>
        <w:t>手机银行进行基金组合产品的申购与定期定额投资享受</w:t>
      </w:r>
      <w:r>
        <w:rPr>
          <w:rFonts w:asciiTheme="minorEastAsia" w:hAnsiTheme="minorEastAsia" w:cs="Arial" w:hint="eastAsia"/>
          <w:kern w:val="0"/>
          <w:sz w:val="24"/>
          <w:szCs w:val="24"/>
        </w:rPr>
        <w:t>1</w:t>
      </w:r>
      <w:r>
        <w:rPr>
          <w:rFonts w:asciiTheme="minorEastAsia" w:hAnsiTheme="minorEastAsia" w:cs="Arial" w:hint="eastAsia"/>
          <w:kern w:val="0"/>
          <w:sz w:val="24"/>
          <w:szCs w:val="24"/>
        </w:rPr>
        <w:t>折费率优惠（无前端申购费率或不支持费率优惠的开放式基金除外）</w:t>
      </w:r>
      <w:r>
        <w:rPr>
          <w:rFonts w:asciiTheme="minorEastAsia" w:hAnsiTheme="minorEastAsia" w:cs="Arial" w:hint="eastAsia"/>
          <w:kern w:val="0"/>
          <w:sz w:val="24"/>
          <w:szCs w:val="24"/>
        </w:rPr>
        <w:t>。</w:t>
      </w:r>
    </w:p>
    <w:p w:rsidR="00380C55" w:rsidRDefault="00470300">
      <w:pPr>
        <w:widowControl/>
        <w:numPr>
          <w:ilvl w:val="0"/>
          <w:numId w:val="1"/>
        </w:numPr>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lastRenderedPageBreak/>
        <w:t>有关上述费率优惠活动的具体费率折扣及活动起止时间如有变化，敬请投资人留意交通银行的有关公告。</w:t>
      </w:r>
    </w:p>
    <w:p w:rsidR="00380C55" w:rsidRDefault="00380C55">
      <w:pPr>
        <w:widowControl/>
        <w:spacing w:line="336" w:lineRule="auto"/>
        <w:ind w:left="480"/>
        <w:rPr>
          <w:rFonts w:asciiTheme="minorEastAsia" w:hAnsiTheme="minorEastAsia" w:cs="Arial"/>
          <w:kern w:val="0"/>
          <w:sz w:val="24"/>
          <w:szCs w:val="24"/>
        </w:rPr>
      </w:pPr>
    </w:p>
    <w:p w:rsidR="00380C55" w:rsidRDefault="00470300">
      <w:pPr>
        <w:widowControl/>
        <w:spacing w:line="336" w:lineRule="auto"/>
        <w:ind w:firstLine="480"/>
        <w:rPr>
          <w:rFonts w:asciiTheme="minorEastAsia" w:hAnsiTheme="minorEastAsia" w:cs="Arial"/>
          <w:kern w:val="0"/>
          <w:sz w:val="24"/>
          <w:szCs w:val="24"/>
        </w:rPr>
      </w:pPr>
      <w:r>
        <w:rPr>
          <w:rFonts w:asciiTheme="minorEastAsia" w:hAnsiTheme="minorEastAsia" w:cs="Arial" w:hint="eastAsia"/>
          <w:b/>
          <w:bCs/>
          <w:kern w:val="0"/>
          <w:sz w:val="24"/>
          <w:szCs w:val="24"/>
        </w:rPr>
        <w:t>五、投资人可通过以下途径咨询详情</w:t>
      </w:r>
    </w:p>
    <w:p w:rsidR="00380C55" w:rsidRDefault="00470300">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1</w:t>
      </w:r>
      <w:r>
        <w:rPr>
          <w:rFonts w:asciiTheme="minorEastAsia" w:hAnsiTheme="minorEastAsia" w:cs="Arial" w:hint="eastAsia"/>
          <w:kern w:val="0"/>
          <w:sz w:val="24"/>
          <w:szCs w:val="24"/>
        </w:rPr>
        <w:t>、宝盈基金管理有限公司</w:t>
      </w:r>
    </w:p>
    <w:p w:rsidR="00380C55" w:rsidRDefault="00470300">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网站：</w:t>
      </w:r>
      <w:r>
        <w:rPr>
          <w:rFonts w:ascii="Times New Roman" w:hAnsi="Times New Roman" w:cs="Times New Roman"/>
          <w:kern w:val="0"/>
          <w:sz w:val="24"/>
          <w:szCs w:val="24"/>
        </w:rPr>
        <w:t>www.byfunds.com</w:t>
      </w:r>
    </w:p>
    <w:p w:rsidR="00380C55" w:rsidRDefault="00470300">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客户服务电话</w:t>
      </w:r>
      <w:r>
        <w:rPr>
          <w:rFonts w:ascii="Times New Roman" w:hAnsi="Times New Roman" w:cs="Times New Roman"/>
          <w:kern w:val="0"/>
          <w:sz w:val="24"/>
          <w:szCs w:val="24"/>
        </w:rPr>
        <w:t>：</w:t>
      </w:r>
      <w:r>
        <w:rPr>
          <w:rFonts w:ascii="Times New Roman" w:hAnsi="Times New Roman" w:cs="Times New Roman"/>
          <w:kern w:val="0"/>
          <w:sz w:val="24"/>
          <w:szCs w:val="24"/>
        </w:rPr>
        <w:t>400-8888-300</w:t>
      </w:r>
      <w:r>
        <w:rPr>
          <w:rFonts w:asciiTheme="minorEastAsia" w:hAnsiTheme="minorEastAsia" w:cs="Arial" w:hint="eastAsia"/>
          <w:kern w:val="0"/>
          <w:sz w:val="24"/>
          <w:szCs w:val="24"/>
        </w:rPr>
        <w:t>（免长途话费）</w:t>
      </w:r>
    </w:p>
    <w:p w:rsidR="00380C55" w:rsidRDefault="00470300">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2</w:t>
      </w:r>
      <w:r>
        <w:rPr>
          <w:rFonts w:asciiTheme="minorEastAsia" w:hAnsiTheme="minorEastAsia" w:cs="Arial" w:hint="eastAsia"/>
          <w:kern w:val="0"/>
          <w:sz w:val="24"/>
          <w:szCs w:val="24"/>
        </w:rPr>
        <w:t>、交通银行股份有限公司</w:t>
      </w:r>
    </w:p>
    <w:p w:rsidR="00380C55" w:rsidRDefault="00470300">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网站：</w:t>
      </w:r>
      <w:r>
        <w:rPr>
          <w:rFonts w:ascii="Times New Roman" w:hAnsi="Times New Roman" w:cs="Times New Roman"/>
          <w:kern w:val="0"/>
          <w:sz w:val="24"/>
          <w:szCs w:val="24"/>
        </w:rPr>
        <w:t>www.bankcomm.com</w:t>
      </w:r>
    </w:p>
    <w:p w:rsidR="00380C55" w:rsidRDefault="00470300">
      <w:pPr>
        <w:widowControl/>
        <w:spacing w:line="336" w:lineRule="auto"/>
        <w:ind w:firstLine="480"/>
        <w:rPr>
          <w:rFonts w:ascii="Times New Roman" w:hAnsi="Times New Roman" w:cs="Times New Roman"/>
          <w:kern w:val="0"/>
          <w:sz w:val="24"/>
          <w:szCs w:val="24"/>
        </w:rPr>
      </w:pPr>
      <w:r>
        <w:rPr>
          <w:rFonts w:asciiTheme="minorEastAsia" w:hAnsiTheme="minorEastAsia" w:cs="Arial" w:hint="eastAsia"/>
          <w:kern w:val="0"/>
          <w:sz w:val="24"/>
          <w:szCs w:val="24"/>
        </w:rPr>
        <w:t>客户服务电话：</w:t>
      </w:r>
      <w:r>
        <w:rPr>
          <w:rFonts w:ascii="Times New Roman" w:hAnsi="Times New Roman" w:cs="Times New Roman"/>
          <w:kern w:val="0"/>
          <w:sz w:val="24"/>
          <w:szCs w:val="24"/>
        </w:rPr>
        <w:t>95559</w:t>
      </w:r>
    </w:p>
    <w:p w:rsidR="00380C55" w:rsidRDefault="00470300">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投资人在交通银行办理业务应遵循交通银行的具体规定。</w:t>
      </w:r>
      <w:r>
        <w:rPr>
          <w:rFonts w:asciiTheme="minorEastAsia" w:hAnsiTheme="minorEastAsia" w:cs="Arial" w:hint="eastAsia"/>
          <w:kern w:val="0"/>
          <w:sz w:val="24"/>
          <w:szCs w:val="24"/>
        </w:rPr>
        <w:t xml:space="preserve"> </w:t>
      </w:r>
    </w:p>
    <w:p w:rsidR="00380C55" w:rsidRDefault="00470300">
      <w:pPr>
        <w:spacing w:line="360" w:lineRule="auto"/>
        <w:ind w:firstLineChars="200" w:firstLine="480"/>
        <w:textAlignment w:val="baseline"/>
        <w:rPr>
          <w:rFonts w:hAnsi="宋体"/>
          <w:color w:val="000000"/>
          <w:kern w:val="0"/>
          <w:sz w:val="24"/>
          <w:szCs w:val="24"/>
        </w:rPr>
      </w:pPr>
      <w:r>
        <w:rPr>
          <w:rFonts w:hAnsi="宋体"/>
          <w:color w:val="000000"/>
          <w:kern w:val="0"/>
          <w:sz w:val="24"/>
          <w:szCs w:val="24"/>
        </w:rPr>
        <w:t>风险提示：</w:t>
      </w:r>
      <w:r>
        <w:rPr>
          <w:rFonts w:hAnsi="宋体" w:hint="eastAsia"/>
          <w:color w:val="000000"/>
          <w:kern w:val="0"/>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380C55" w:rsidRDefault="00470300">
      <w:pPr>
        <w:spacing w:line="360" w:lineRule="auto"/>
        <w:ind w:firstLineChars="200" w:firstLine="480"/>
        <w:rPr>
          <w:rFonts w:hAnsi="宋体"/>
          <w:color w:val="000000"/>
          <w:kern w:val="0"/>
          <w:sz w:val="24"/>
          <w:szCs w:val="24"/>
        </w:rPr>
      </w:pPr>
      <w:r>
        <w:rPr>
          <w:rFonts w:hAnsi="宋体" w:hint="eastAsia"/>
          <w:color w:val="000000"/>
          <w:kern w:val="0"/>
          <w:sz w:val="24"/>
          <w:szCs w:val="24"/>
        </w:rPr>
        <w:t>本公司保留对该公告的最终解释权</w:t>
      </w:r>
      <w:r>
        <w:rPr>
          <w:rFonts w:hAnsi="宋体"/>
          <w:color w:val="000000"/>
          <w:kern w:val="0"/>
          <w:sz w:val="24"/>
          <w:szCs w:val="24"/>
        </w:rPr>
        <w:t>。</w:t>
      </w:r>
      <w:r>
        <w:rPr>
          <w:rFonts w:asciiTheme="minorEastAsia" w:hAnsiTheme="minorEastAsia" w:cs="Arial" w:hint="eastAsia"/>
          <w:kern w:val="0"/>
          <w:sz w:val="24"/>
          <w:szCs w:val="24"/>
        </w:rPr>
        <w:t xml:space="preserve"> </w:t>
      </w:r>
    </w:p>
    <w:p w:rsidR="00380C55" w:rsidRDefault="00470300">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特此公告。</w:t>
      </w:r>
      <w:r>
        <w:rPr>
          <w:rFonts w:asciiTheme="minorEastAsia" w:hAnsiTheme="minorEastAsia" w:cs="Arial" w:hint="eastAsia"/>
          <w:kern w:val="0"/>
          <w:sz w:val="24"/>
          <w:szCs w:val="24"/>
        </w:rPr>
        <w:t xml:space="preserve"> </w:t>
      </w:r>
    </w:p>
    <w:p w:rsidR="00380C55" w:rsidRDefault="00470300">
      <w:pPr>
        <w:widowControl/>
        <w:spacing w:line="336" w:lineRule="auto"/>
        <w:ind w:firstLine="480"/>
        <w:jc w:val="right"/>
        <w:rPr>
          <w:rFonts w:asciiTheme="minorEastAsia" w:hAnsiTheme="minorEastAsia" w:cs="Arial"/>
          <w:kern w:val="0"/>
          <w:sz w:val="24"/>
          <w:szCs w:val="24"/>
        </w:rPr>
      </w:pPr>
      <w:r>
        <w:rPr>
          <w:rFonts w:asciiTheme="minorEastAsia" w:hAnsiTheme="minorEastAsia" w:cs="Arial" w:hint="eastAsia"/>
          <w:kern w:val="0"/>
          <w:sz w:val="24"/>
          <w:szCs w:val="24"/>
        </w:rPr>
        <w:t>宝盈基金管理有限公司</w:t>
      </w:r>
    </w:p>
    <w:p w:rsidR="00380C55" w:rsidRDefault="00470300">
      <w:pPr>
        <w:widowControl/>
        <w:spacing w:line="360" w:lineRule="auto"/>
        <w:ind w:firstLine="480"/>
        <w:jc w:val="right"/>
        <w:rPr>
          <w:rFonts w:asciiTheme="minorEastAsia" w:hAnsiTheme="minorEastAsia" w:cs="Arial"/>
          <w:kern w:val="0"/>
          <w:sz w:val="24"/>
          <w:szCs w:val="24"/>
        </w:rPr>
      </w:pPr>
      <w:r>
        <w:rPr>
          <w:rFonts w:ascii="Times New Roman" w:hAnsi="Times New Roman" w:cs="Times New Roman"/>
          <w:kern w:val="0"/>
          <w:sz w:val="24"/>
          <w:szCs w:val="24"/>
        </w:rPr>
        <w:t>20</w:t>
      </w:r>
      <w:r>
        <w:rPr>
          <w:rFonts w:ascii="Times New Roman" w:hAnsi="Times New Roman" w:cs="Times New Roman"/>
          <w:kern w:val="0"/>
          <w:sz w:val="24"/>
          <w:szCs w:val="24"/>
        </w:rPr>
        <w:t>20</w:t>
      </w:r>
      <w:r>
        <w:rPr>
          <w:rFonts w:asciiTheme="minorEastAsia" w:hAnsiTheme="minorEastAsia" w:cs="Arial" w:hint="eastAsia"/>
          <w:kern w:val="0"/>
          <w:sz w:val="24"/>
          <w:szCs w:val="24"/>
        </w:rPr>
        <w:t>年</w:t>
      </w:r>
      <w:r>
        <w:rPr>
          <w:rFonts w:ascii="Times New Roman" w:hAnsi="Times New Roman" w:cs="Times New Roman"/>
          <w:kern w:val="0"/>
          <w:sz w:val="24"/>
          <w:szCs w:val="24"/>
        </w:rPr>
        <w:t>7</w:t>
      </w:r>
      <w:r>
        <w:rPr>
          <w:rFonts w:asciiTheme="minorEastAsia" w:hAnsiTheme="minorEastAsia" w:cs="Arial" w:hint="eastAsia"/>
          <w:kern w:val="0"/>
          <w:sz w:val="24"/>
          <w:szCs w:val="24"/>
        </w:rPr>
        <w:t>月</w:t>
      </w:r>
      <w:r>
        <w:rPr>
          <w:rFonts w:ascii="Times New Roman" w:hAnsi="Times New Roman" w:cs="Times New Roman"/>
          <w:kern w:val="0"/>
          <w:sz w:val="24"/>
          <w:szCs w:val="24"/>
        </w:rPr>
        <w:t>1</w:t>
      </w:r>
      <w:r>
        <w:rPr>
          <w:rFonts w:asciiTheme="minorEastAsia" w:hAnsiTheme="minorEastAsia" w:cs="Arial" w:hint="eastAsia"/>
          <w:kern w:val="0"/>
          <w:sz w:val="24"/>
          <w:szCs w:val="24"/>
        </w:rPr>
        <w:t>日</w:t>
      </w:r>
    </w:p>
    <w:sectPr w:rsidR="00380C55" w:rsidSect="00380C55">
      <w:pgSz w:w="11906" w:h="16838"/>
      <w:pgMar w:top="1440" w:right="1361" w:bottom="1440" w:left="136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C55" w:rsidRDefault="00380C55" w:rsidP="00380C55">
      <w:r>
        <w:separator/>
      </w:r>
    </w:p>
  </w:endnote>
  <w:endnote w:type="continuationSeparator" w:id="0">
    <w:p w:rsidR="00380C55" w:rsidRDefault="00380C55" w:rsidP="00380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C55" w:rsidRDefault="00380C55" w:rsidP="00380C55">
      <w:r>
        <w:separator/>
      </w:r>
    </w:p>
  </w:footnote>
  <w:footnote w:type="continuationSeparator" w:id="0">
    <w:p w:rsidR="00380C55" w:rsidRDefault="00380C55" w:rsidP="00380C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972A6"/>
    <w:multiLevelType w:val="singleLevel"/>
    <w:tmpl w:val="799972A6"/>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2012B"/>
    <w:rsid w:val="000522AE"/>
    <w:rsid w:val="000759FD"/>
    <w:rsid w:val="000E1DA7"/>
    <w:rsid w:val="000F48D7"/>
    <w:rsid w:val="0017351D"/>
    <w:rsid w:val="001909DB"/>
    <w:rsid w:val="001C24A8"/>
    <w:rsid w:val="001C7355"/>
    <w:rsid w:val="002A6536"/>
    <w:rsid w:val="002F531A"/>
    <w:rsid w:val="00365E00"/>
    <w:rsid w:val="003705A4"/>
    <w:rsid w:val="00380C55"/>
    <w:rsid w:val="003C1557"/>
    <w:rsid w:val="003E1E72"/>
    <w:rsid w:val="00470300"/>
    <w:rsid w:val="004938C2"/>
    <w:rsid w:val="004E43A0"/>
    <w:rsid w:val="00516F62"/>
    <w:rsid w:val="005854EB"/>
    <w:rsid w:val="006343EF"/>
    <w:rsid w:val="0068150A"/>
    <w:rsid w:val="006A1A55"/>
    <w:rsid w:val="00701C0C"/>
    <w:rsid w:val="007811C8"/>
    <w:rsid w:val="007920FC"/>
    <w:rsid w:val="007D4FB2"/>
    <w:rsid w:val="007E2831"/>
    <w:rsid w:val="0082012B"/>
    <w:rsid w:val="008660A8"/>
    <w:rsid w:val="00871515"/>
    <w:rsid w:val="008A4421"/>
    <w:rsid w:val="009C2727"/>
    <w:rsid w:val="00A4378D"/>
    <w:rsid w:val="00A74A5F"/>
    <w:rsid w:val="00B368F6"/>
    <w:rsid w:val="00B42BAD"/>
    <w:rsid w:val="00B44ABC"/>
    <w:rsid w:val="00BD3661"/>
    <w:rsid w:val="00BE346C"/>
    <w:rsid w:val="00CB496D"/>
    <w:rsid w:val="00CD634C"/>
    <w:rsid w:val="00D751CF"/>
    <w:rsid w:val="00DC2412"/>
    <w:rsid w:val="00E071D1"/>
    <w:rsid w:val="00E530A2"/>
    <w:rsid w:val="00F94FF8"/>
    <w:rsid w:val="02D31945"/>
    <w:rsid w:val="03855D46"/>
    <w:rsid w:val="06E9464B"/>
    <w:rsid w:val="06F83B46"/>
    <w:rsid w:val="0D1B4315"/>
    <w:rsid w:val="0D49214A"/>
    <w:rsid w:val="103B5D63"/>
    <w:rsid w:val="106946FA"/>
    <w:rsid w:val="144C195D"/>
    <w:rsid w:val="1A8D390A"/>
    <w:rsid w:val="1C416F27"/>
    <w:rsid w:val="1DF6737C"/>
    <w:rsid w:val="21B535DD"/>
    <w:rsid w:val="2A0955A5"/>
    <w:rsid w:val="2DBE1C37"/>
    <w:rsid w:val="315D0282"/>
    <w:rsid w:val="338F4F6B"/>
    <w:rsid w:val="3B8351C8"/>
    <w:rsid w:val="3FA405AA"/>
    <w:rsid w:val="40076F08"/>
    <w:rsid w:val="406164E4"/>
    <w:rsid w:val="42323362"/>
    <w:rsid w:val="46E7339A"/>
    <w:rsid w:val="4CB16E18"/>
    <w:rsid w:val="5A630C76"/>
    <w:rsid w:val="5B3D3E53"/>
    <w:rsid w:val="5CFB74BF"/>
    <w:rsid w:val="69075050"/>
    <w:rsid w:val="6CA0712E"/>
    <w:rsid w:val="73BC1ED9"/>
    <w:rsid w:val="770E49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C5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80C55"/>
    <w:rPr>
      <w:sz w:val="18"/>
      <w:szCs w:val="18"/>
    </w:rPr>
  </w:style>
  <w:style w:type="paragraph" w:styleId="a4">
    <w:name w:val="footer"/>
    <w:basedOn w:val="a"/>
    <w:uiPriority w:val="99"/>
    <w:unhideWhenUsed/>
    <w:qFormat/>
    <w:rsid w:val="00380C55"/>
    <w:pPr>
      <w:tabs>
        <w:tab w:val="center" w:pos="4153"/>
        <w:tab w:val="right" w:pos="8306"/>
      </w:tabs>
      <w:snapToGrid w:val="0"/>
      <w:jc w:val="left"/>
    </w:pPr>
    <w:rPr>
      <w:sz w:val="18"/>
    </w:rPr>
  </w:style>
  <w:style w:type="paragraph" w:styleId="a5">
    <w:name w:val="header"/>
    <w:basedOn w:val="a"/>
    <w:uiPriority w:val="99"/>
    <w:unhideWhenUsed/>
    <w:qFormat/>
    <w:rsid w:val="00380C5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380C55"/>
    <w:pPr>
      <w:jc w:val="left"/>
    </w:pPr>
    <w:rPr>
      <w:rFonts w:ascii="Arial" w:hAnsi="Arial" w:cs="Times New Roman" w:hint="eastAsia"/>
      <w:color w:val="464646"/>
      <w:kern w:val="0"/>
      <w:sz w:val="18"/>
      <w:szCs w:val="18"/>
    </w:rPr>
  </w:style>
  <w:style w:type="character" w:styleId="a7">
    <w:name w:val="Strong"/>
    <w:basedOn w:val="a0"/>
    <w:uiPriority w:val="22"/>
    <w:qFormat/>
    <w:rsid w:val="00380C55"/>
    <w:rPr>
      <w:b/>
      <w:bCs/>
    </w:rPr>
  </w:style>
  <w:style w:type="character" w:styleId="a8">
    <w:name w:val="FollowedHyperlink"/>
    <w:basedOn w:val="a0"/>
    <w:uiPriority w:val="99"/>
    <w:unhideWhenUsed/>
    <w:qFormat/>
    <w:rsid w:val="00380C55"/>
    <w:rPr>
      <w:color w:val="464646"/>
      <w:u w:val="none"/>
    </w:rPr>
  </w:style>
  <w:style w:type="character" w:styleId="a9">
    <w:name w:val="Emphasis"/>
    <w:basedOn w:val="a0"/>
    <w:uiPriority w:val="20"/>
    <w:qFormat/>
    <w:rsid w:val="00380C55"/>
  </w:style>
  <w:style w:type="character" w:styleId="aa">
    <w:name w:val="Hyperlink"/>
    <w:basedOn w:val="a0"/>
    <w:uiPriority w:val="99"/>
    <w:unhideWhenUsed/>
    <w:qFormat/>
    <w:rsid w:val="00380C55"/>
    <w:rPr>
      <w:color w:val="464646"/>
      <w:u w:val="none"/>
    </w:rPr>
  </w:style>
  <w:style w:type="character" w:customStyle="1" w:styleId="Char">
    <w:name w:val="批注框文本 Char"/>
    <w:basedOn w:val="a0"/>
    <w:link w:val="a3"/>
    <w:uiPriority w:val="99"/>
    <w:semiHidden/>
    <w:qFormat/>
    <w:rsid w:val="00380C5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2075</Characters>
  <Application>Microsoft Office Word</Application>
  <DocSecurity>4</DocSecurity>
  <Lines>17</Lines>
  <Paragraphs>4</Paragraphs>
  <ScaleCrop>false</ScaleCrop>
  <Company>CNSTOCK</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yu2</dc:creator>
  <cp:lastModifiedBy>ZHONGM</cp:lastModifiedBy>
  <cp:revision>2</cp:revision>
  <cp:lastPrinted>2017-02-22T07:04:00Z</cp:lastPrinted>
  <dcterms:created xsi:type="dcterms:W3CDTF">2020-06-30T16:02:00Z</dcterms:created>
  <dcterms:modified xsi:type="dcterms:W3CDTF">2020-06-30T16:02:00Z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