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0F" w:rsidRPr="007F32C3" w:rsidRDefault="00B438D0" w:rsidP="008C306C">
      <w:pPr>
        <w:autoSpaceDE w:val="0"/>
        <w:autoSpaceDN w:val="0"/>
        <w:adjustRightInd w:val="0"/>
        <w:spacing w:line="48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r w:rsidRPr="007F32C3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银华基金管理股份有限公司</w:t>
      </w:r>
    </w:p>
    <w:p w:rsidR="00C4540F" w:rsidRPr="009666F1" w:rsidRDefault="00C4540F" w:rsidP="008C306C">
      <w:pPr>
        <w:autoSpaceDE w:val="0"/>
        <w:autoSpaceDN w:val="0"/>
        <w:adjustRightInd w:val="0"/>
        <w:spacing w:line="48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</w:pPr>
      <w:r w:rsidRPr="009666F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关于</w:t>
      </w:r>
      <w:r w:rsidR="00C832F9" w:rsidRPr="009666F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在交通银行</w:t>
      </w:r>
      <w:r w:rsidRPr="009666F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参加</w:t>
      </w:r>
      <w:r w:rsidR="00A65E9F" w:rsidRPr="009666F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手机银行渠道</w:t>
      </w:r>
      <w:r w:rsidR="00677D80" w:rsidRPr="009666F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费率</w:t>
      </w:r>
      <w:r w:rsidRPr="009666F1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优惠活动的公告</w:t>
      </w:r>
    </w:p>
    <w:p w:rsidR="00C4540F" w:rsidRPr="00613FAD" w:rsidRDefault="00C4540F" w:rsidP="008C306C">
      <w:pPr>
        <w:autoSpaceDE w:val="0"/>
        <w:autoSpaceDN w:val="0"/>
        <w:adjustRightInd w:val="0"/>
        <w:spacing w:line="48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C4540F" w:rsidRPr="00C00A3A" w:rsidRDefault="00C4540F" w:rsidP="008E6179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为满足广大投资者的理财需求，银华基金管理</w:t>
      </w:r>
      <w:r w:rsidR="00B438D0" w:rsidRPr="00C00A3A">
        <w:rPr>
          <w:rFonts w:ascii="宋体" w:hAnsi="宋体" w:cs="宋体" w:hint="eastAsia"/>
          <w:color w:val="000000"/>
          <w:kern w:val="0"/>
          <w:sz w:val="24"/>
        </w:rPr>
        <w:t>股份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有限公司</w:t>
      </w:r>
      <w:r w:rsidR="0029228B" w:rsidRPr="00C00A3A">
        <w:rPr>
          <w:rFonts w:ascii="宋体" w:hAnsi="宋体" w:cs="宋体" w:hint="eastAsia"/>
          <w:color w:val="000000"/>
          <w:kern w:val="0"/>
          <w:sz w:val="24"/>
        </w:rPr>
        <w:t>（以下简称“本公司”）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决定自</w:t>
      </w:r>
      <w:r w:rsidR="007C6C23">
        <w:rPr>
          <w:rFonts w:ascii="宋体" w:hAnsi="宋体" w:cs="宋体"/>
          <w:color w:val="000000"/>
          <w:kern w:val="0"/>
          <w:sz w:val="24"/>
        </w:rPr>
        <w:t>2020年7月1日至2020年12月31日</w:t>
      </w:r>
      <w:r w:rsidR="00677D80" w:rsidRPr="00C00A3A">
        <w:rPr>
          <w:rFonts w:ascii="宋体" w:hAnsi="宋体" w:cs="宋体" w:hint="eastAsia"/>
          <w:color w:val="000000"/>
          <w:kern w:val="0"/>
          <w:sz w:val="24"/>
        </w:rPr>
        <w:t>期间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参加</w:t>
      </w:r>
      <w:r w:rsidR="00B438D0" w:rsidRPr="00C00A3A">
        <w:rPr>
          <w:rFonts w:ascii="宋体" w:hAnsi="宋体" w:cs="宋体" w:hint="eastAsia"/>
          <w:color w:val="000000"/>
          <w:kern w:val="0"/>
          <w:sz w:val="24"/>
        </w:rPr>
        <w:t>交通</w:t>
      </w:r>
      <w:r w:rsidR="00983246" w:rsidRPr="00C00A3A">
        <w:rPr>
          <w:rFonts w:ascii="宋体" w:hAnsi="宋体" w:cs="宋体" w:hint="eastAsia"/>
          <w:color w:val="000000"/>
          <w:kern w:val="0"/>
          <w:sz w:val="24"/>
        </w:rPr>
        <w:t>银行</w:t>
      </w:r>
      <w:r w:rsidR="00B438D0" w:rsidRPr="00C00A3A">
        <w:rPr>
          <w:rFonts w:ascii="宋体" w:hAnsi="宋体" w:cs="宋体" w:hint="eastAsia"/>
          <w:color w:val="000000"/>
          <w:kern w:val="0"/>
          <w:sz w:val="24"/>
        </w:rPr>
        <w:t>手机银行渠道</w:t>
      </w:r>
      <w:r w:rsidR="00BB4107" w:rsidRPr="00C00A3A">
        <w:rPr>
          <w:rFonts w:ascii="宋体" w:hAnsi="宋体" w:cs="宋体" w:hint="eastAsia"/>
          <w:color w:val="000000"/>
          <w:kern w:val="0"/>
          <w:sz w:val="24"/>
        </w:rPr>
        <w:t>申购</w:t>
      </w:r>
      <w:r w:rsidR="00F374B5">
        <w:rPr>
          <w:rFonts w:ascii="宋体" w:hAnsi="宋体" w:cs="宋体" w:hint="eastAsia"/>
          <w:color w:val="000000"/>
          <w:kern w:val="0"/>
          <w:sz w:val="24"/>
        </w:rPr>
        <w:t>（</w:t>
      </w:r>
      <w:r w:rsidR="002D1EA1">
        <w:rPr>
          <w:rFonts w:ascii="宋体" w:hAnsi="宋体" w:cs="宋体" w:hint="eastAsia"/>
          <w:color w:val="000000"/>
          <w:kern w:val="0"/>
          <w:sz w:val="24"/>
        </w:rPr>
        <w:t>含</w:t>
      </w:r>
      <w:r w:rsidR="005043E2" w:rsidRPr="00C00A3A">
        <w:rPr>
          <w:rFonts w:ascii="宋体" w:hAnsi="宋体" w:cs="宋体" w:hint="eastAsia"/>
          <w:color w:val="000000"/>
          <w:kern w:val="0"/>
          <w:sz w:val="24"/>
        </w:rPr>
        <w:t>定期定额投资</w:t>
      </w:r>
      <w:r w:rsidR="00F374B5">
        <w:rPr>
          <w:rFonts w:ascii="宋体" w:hAnsi="宋体" w:cs="宋体" w:hint="eastAsia"/>
          <w:color w:val="000000"/>
          <w:kern w:val="0"/>
          <w:sz w:val="24"/>
        </w:rPr>
        <w:t>）业务</w:t>
      </w:r>
      <w:r w:rsidR="005043E2" w:rsidRPr="00C00A3A">
        <w:rPr>
          <w:rFonts w:ascii="宋体" w:hAnsi="宋体" w:cs="宋体" w:hint="eastAsia"/>
          <w:color w:val="000000"/>
          <w:kern w:val="0"/>
          <w:sz w:val="24"/>
        </w:rPr>
        <w:t>费率优惠活动。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现将有关事项公告如下：</w:t>
      </w:r>
      <w:r w:rsidRPr="00C00A3A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190E71" w:rsidRDefault="00190E71" w:rsidP="00190E71">
      <w:pPr>
        <w:ind w:left="1202"/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190E71" w:rsidRPr="00190E71" w:rsidRDefault="00190E71" w:rsidP="00190E71">
      <w:pPr>
        <w:numPr>
          <w:ilvl w:val="0"/>
          <w:numId w:val="4"/>
        </w:numPr>
        <w:rPr>
          <w:rFonts w:ascii="宋体" w:hAnsi="宋体" w:cs="宋体" w:hint="eastAsia"/>
          <w:b/>
          <w:color w:val="000000"/>
          <w:kern w:val="0"/>
          <w:sz w:val="24"/>
        </w:rPr>
      </w:pPr>
      <w:r w:rsidRPr="00190E71">
        <w:rPr>
          <w:rFonts w:ascii="宋体" w:hAnsi="宋体" w:cs="宋体" w:hint="eastAsia"/>
          <w:b/>
          <w:color w:val="000000"/>
          <w:kern w:val="0"/>
          <w:sz w:val="24"/>
        </w:rPr>
        <w:t>本次参加费率优惠活动的基金</w:t>
      </w:r>
    </w:p>
    <w:tbl>
      <w:tblPr>
        <w:tblW w:w="8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6237"/>
        <w:gridCol w:w="1703"/>
      </w:tblGrid>
      <w:tr w:rsidR="005C5EA8" w:rsidRPr="007103E7" w:rsidTr="00533387">
        <w:trPr>
          <w:jc w:val="center"/>
        </w:trPr>
        <w:tc>
          <w:tcPr>
            <w:tcW w:w="768" w:type="dxa"/>
            <w:vAlign w:val="center"/>
          </w:tcPr>
          <w:p w:rsidR="005C5EA8" w:rsidRPr="007103E7" w:rsidRDefault="005C5EA8" w:rsidP="0053338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103E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5C5EA8" w:rsidRPr="007103E7" w:rsidRDefault="005C5EA8" w:rsidP="0053338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103E7">
              <w:rPr>
                <w:rFonts w:ascii="宋体" w:hAnsi="宋体" w:hint="eastAsia"/>
                <w:b/>
                <w:sz w:val="24"/>
              </w:rPr>
              <w:t>基金名称</w:t>
            </w:r>
          </w:p>
        </w:tc>
        <w:tc>
          <w:tcPr>
            <w:tcW w:w="1703" w:type="dxa"/>
            <w:vAlign w:val="center"/>
          </w:tcPr>
          <w:p w:rsidR="005C5EA8" w:rsidRPr="007103E7" w:rsidRDefault="005C5EA8" w:rsidP="0053338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103E7">
              <w:rPr>
                <w:rFonts w:ascii="宋体" w:hAnsi="宋体" w:hint="eastAsia"/>
                <w:b/>
                <w:sz w:val="24"/>
              </w:rPr>
              <w:t>基金代码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银华安盈短债债券型证券投资基金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006496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银华成长先锋混合型证券投资基金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180020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银华纯债信用主题债券型证券投资基金（</w:t>
            </w:r>
            <w:r w:rsidRPr="00F82133">
              <w:rPr>
                <w:rFonts w:hint="eastAsia"/>
              </w:rPr>
              <w:t>LOF</w:t>
            </w:r>
            <w:r w:rsidRPr="00F82133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161820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银华大数据灵活配置定期开放混合型发起式证券投资基金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002269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5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</w:t>
            </w:r>
            <w:r w:rsidRPr="00F82133">
              <w:rPr>
                <w:rFonts w:hint="eastAsia"/>
              </w:rPr>
              <w:t>-</w:t>
            </w:r>
            <w:r w:rsidRPr="00F82133">
              <w:rPr>
                <w:rFonts w:hint="eastAsia"/>
              </w:rPr>
              <w:t>道琼斯</w:t>
            </w:r>
            <w:r w:rsidRPr="00F82133">
              <w:rPr>
                <w:rFonts w:hint="eastAsia"/>
              </w:rPr>
              <w:t>88</w:t>
            </w:r>
            <w:r w:rsidRPr="00F82133">
              <w:rPr>
                <w:rFonts w:hint="eastAsia"/>
              </w:rPr>
              <w:t>精选证券投资基金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925C4D" w:rsidP="00533387">
            <w:pPr>
              <w:jc w:val="center"/>
              <w:rPr>
                <w:rFonts w:ascii="宋体" w:hAnsi="宋体" w:hint="eastAsia"/>
                <w:sz w:val="24"/>
              </w:rPr>
            </w:pPr>
            <w:r>
              <w:t>A</w:t>
            </w:r>
            <w:r>
              <w:rPr>
                <w:rFonts w:hint="eastAsia"/>
              </w:rPr>
              <w:t>类</w:t>
            </w:r>
            <w:r>
              <w:t>：</w:t>
            </w:r>
            <w:r w:rsidR="00533387" w:rsidRPr="00F82133">
              <w:rPr>
                <w:rFonts w:hint="eastAsia"/>
              </w:rPr>
              <w:t>180003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6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银华多元动力灵活配置混合型证券投资基金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005251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7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银华多元视野灵活配置混合型证券投资基金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002307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8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银华多元收益定期开放混合型证券投资基金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005463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9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银华富裕主题混合型证券投资基金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180012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10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银华高端制造业灵活配置混合型证券投资基金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000823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11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银华估值优势混合型证券投资基金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005250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12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银华行业轮动混合型证券投资基金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006302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13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银华和谐主题灵活配置混合型证券投资基金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180018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14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银华核心价值优选混合型证券投资基金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519001</w:t>
            </w:r>
          </w:p>
        </w:tc>
      </w:tr>
      <w:tr w:rsidR="00533387" w:rsidRPr="007103E7" w:rsidTr="00533387">
        <w:trPr>
          <w:trHeight w:val="339"/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15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银华恒生中国企业指数分级证券投资基金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161831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16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银华互联网主题灵活配置混合型证券投资基金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001808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17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银华沪港深增长股票型证券投资基金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001703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18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银华沪深</w:t>
            </w:r>
            <w:r w:rsidRPr="00F82133">
              <w:rPr>
                <w:rFonts w:hint="eastAsia"/>
              </w:rPr>
              <w:t>300</w:t>
            </w:r>
            <w:r w:rsidRPr="00F82133">
              <w:rPr>
                <w:rFonts w:hint="eastAsia"/>
              </w:rPr>
              <w:t>指数分级证券投资基金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161811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19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银华回报灵活配置定期开放混合型发起式证券投资基金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000904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20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银华汇利灵活配置混合型证券投资基金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001289</w:t>
            </w:r>
          </w:p>
        </w:tc>
      </w:tr>
      <w:tr w:rsidR="00533387" w:rsidRPr="007103E7" w:rsidTr="00533387">
        <w:trPr>
          <w:trHeight w:val="245"/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21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银华汇盈一年持有期混合型证券投资基金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008833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22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银华混改红利灵活配置混合型发起式证券投资基金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005519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23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银华积极成长混合型证券投资基金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005498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24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银华积极精选混合型证券投资基金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007056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25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银华抗通胀主题证券投资基金</w:t>
            </w:r>
            <w:r w:rsidRPr="00F82133">
              <w:rPr>
                <w:rFonts w:hint="eastAsia"/>
              </w:rPr>
              <w:t>(LOF)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161815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26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银华领先策略混合型证券投资基金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180013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27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银华明择多策略定期开放混合型证券投资基金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501038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28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银华内需精选混合型证券投资基金（</w:t>
            </w:r>
            <w:r w:rsidRPr="00F82133">
              <w:rPr>
                <w:rFonts w:hint="eastAsia"/>
              </w:rPr>
              <w:t>LOF</w:t>
            </w:r>
            <w:r w:rsidRPr="00F82133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161810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29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银华全球核心优选证券投资基金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183001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30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银华瑞泰灵活配置混合型证券投资基金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005481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31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银华深证</w:t>
            </w:r>
            <w:r w:rsidRPr="00F82133">
              <w:rPr>
                <w:rFonts w:hint="eastAsia"/>
              </w:rPr>
              <w:t>100</w:t>
            </w:r>
            <w:r w:rsidRPr="00F82133">
              <w:rPr>
                <w:rFonts w:hint="eastAsia"/>
              </w:rPr>
              <w:t>指数分级证券投资基金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161812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lastRenderedPageBreak/>
              <w:t>32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银华盛世精选灵活配置混合型发起式证券投资基金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003940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33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银华体育文化灵活配置混合型证券投资基金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003397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34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银华万物互联灵活配置混合型证券投资基金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002161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35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银华心诚灵活配置混合型证券投资基金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005543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36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银华鑫锐灵活配置混合型证券投资基金（</w:t>
            </w:r>
            <w:r w:rsidRPr="00F82133">
              <w:rPr>
                <w:rFonts w:hint="eastAsia"/>
              </w:rPr>
              <w:t>LOF</w:t>
            </w:r>
            <w:r w:rsidRPr="00F82133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161834</w:t>
            </w:r>
          </w:p>
        </w:tc>
      </w:tr>
      <w:tr w:rsidR="00533387" w:rsidRPr="007103E7" w:rsidTr="00533387">
        <w:trPr>
          <w:trHeight w:val="367"/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37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银华鑫盛灵活配置混合型证券投资基金（</w:t>
            </w:r>
            <w:r w:rsidRPr="00F82133">
              <w:rPr>
                <w:rFonts w:hint="eastAsia"/>
              </w:rPr>
              <w:t>LOF</w:t>
            </w:r>
            <w:r w:rsidRPr="00F82133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501022</w:t>
            </w:r>
          </w:p>
        </w:tc>
      </w:tr>
      <w:tr w:rsidR="00533387" w:rsidRPr="007103E7" w:rsidTr="00533387">
        <w:trPr>
          <w:jc w:val="center"/>
        </w:trPr>
        <w:tc>
          <w:tcPr>
            <w:tcW w:w="768" w:type="dxa"/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38</w:t>
            </w:r>
          </w:p>
        </w:tc>
        <w:tc>
          <w:tcPr>
            <w:tcW w:w="6237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银华信用季季红债券型证券投资基金</w:t>
            </w:r>
          </w:p>
        </w:tc>
        <w:tc>
          <w:tcPr>
            <w:tcW w:w="1703" w:type="dxa"/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000286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银华信用双利债券型证券投资基金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7103E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180025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银华信用四季红债券型证券投资基金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125D5C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000194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银华永祥灵活配置混合型证券投资基金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5773F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180028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银华永兴纯债债券型发起式证券投资基金（</w:t>
            </w:r>
            <w:r w:rsidRPr="00F82133">
              <w:rPr>
                <w:rFonts w:hint="eastAsia"/>
              </w:rPr>
              <w:t>LOF</w:t>
            </w:r>
            <w:r w:rsidRPr="00F82133">
              <w:rPr>
                <w:rFonts w:hint="eastAsia"/>
              </w:rPr>
              <w:t>）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161823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银华优势企业证券投资基金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180001</w:t>
            </w:r>
            <w:r w:rsidRPr="00F82133">
              <w:rPr>
                <w:rFonts w:hint="eastAsia"/>
              </w:rPr>
              <w:t>（前端）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银华优质增长混合型证券投资基金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180010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银华增强收益债券型证券投资基金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180015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C759B2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银华战略新兴灵活配置定期开放混合型发起式证券投资基金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473B53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001728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银华中国梦</w:t>
            </w:r>
            <w:r w:rsidRPr="00F82133">
              <w:rPr>
                <w:rFonts w:hint="eastAsia"/>
              </w:rPr>
              <w:t>30</w:t>
            </w:r>
            <w:r w:rsidRPr="00F82133">
              <w:rPr>
                <w:rFonts w:hint="eastAsia"/>
              </w:rPr>
              <w:t>股票型证券投资基金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001163</w:t>
            </w:r>
          </w:p>
        </w:tc>
      </w:tr>
      <w:tr w:rsidR="00533387" w:rsidRPr="007103E7" w:rsidTr="00533387">
        <w:trPr>
          <w:trHeight w:val="1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银华中小盘精选混合型证券投资基金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180031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银华中小市值量化优选股票型发起式证券投资基金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A</w:t>
            </w:r>
            <w:r w:rsidRPr="00F82133">
              <w:rPr>
                <w:rFonts w:hint="eastAsia"/>
              </w:rPr>
              <w:t>类：</w:t>
            </w:r>
            <w:r w:rsidRPr="00F82133">
              <w:rPr>
                <w:rFonts w:hint="eastAsia"/>
              </w:rPr>
              <w:t>005515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E47BB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银华中证等权重</w:t>
            </w:r>
            <w:r w:rsidRPr="00F82133">
              <w:rPr>
                <w:rFonts w:hint="eastAsia"/>
              </w:rPr>
              <w:t>90</w:t>
            </w:r>
            <w:r w:rsidRPr="00F82133">
              <w:rPr>
                <w:rFonts w:hint="eastAsia"/>
              </w:rPr>
              <w:t>指数分级证券投资基金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161816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E47BB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银华中证内地资源主题指数分级证券投资基金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161819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013DD" w:rsidRDefault="00533387" w:rsidP="00533387">
            <w:pPr>
              <w:jc w:val="center"/>
            </w:pPr>
            <w:r w:rsidRPr="006013DD"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E47BB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银华中证全指医药卫生指数增强型发起式证券投资基金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005112</w:t>
            </w:r>
          </w:p>
        </w:tc>
      </w:tr>
      <w:tr w:rsidR="00533387" w:rsidRPr="007103E7" w:rsidTr="00533387">
        <w:trPr>
          <w:trHeight w:val="283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</w:pPr>
            <w:r w:rsidRPr="006013DD"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Pr="006E47BB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银华中证央企结构调整交易型开放式指数证券投资基金联接基金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87" w:rsidRDefault="00533387" w:rsidP="00533387">
            <w:pPr>
              <w:jc w:val="center"/>
              <w:rPr>
                <w:rFonts w:ascii="宋体" w:hAnsi="宋体" w:hint="eastAsia"/>
                <w:sz w:val="24"/>
              </w:rPr>
            </w:pPr>
            <w:r w:rsidRPr="00F82133">
              <w:rPr>
                <w:rFonts w:hint="eastAsia"/>
              </w:rPr>
              <w:t>006119</w:t>
            </w:r>
          </w:p>
        </w:tc>
      </w:tr>
    </w:tbl>
    <w:p w:rsidR="00B41195" w:rsidRDefault="00B41195" w:rsidP="00D559A7">
      <w:pPr>
        <w:snapToGrid w:val="0"/>
        <w:spacing w:line="360" w:lineRule="auto"/>
        <w:ind w:right="26"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2D1EA1" w:rsidRPr="002D1EA1" w:rsidRDefault="002D1EA1" w:rsidP="00D559A7">
      <w:pPr>
        <w:snapToGrid w:val="0"/>
        <w:spacing w:line="360" w:lineRule="auto"/>
        <w:ind w:right="26"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2D1EA1">
        <w:rPr>
          <w:rFonts w:ascii="宋体" w:hAnsi="宋体" w:cs="宋体" w:hint="eastAsia"/>
          <w:color w:val="000000"/>
          <w:kern w:val="0"/>
          <w:sz w:val="24"/>
        </w:rPr>
        <w:t>注:上表中</w:t>
      </w:r>
      <w:r w:rsidR="00B3544D" w:rsidRPr="00B3544D">
        <w:rPr>
          <w:rFonts w:ascii="宋体" w:hAnsi="宋体" w:cs="宋体" w:hint="eastAsia"/>
          <w:color w:val="000000"/>
          <w:kern w:val="0"/>
          <w:sz w:val="24"/>
        </w:rPr>
        <w:t>银华多元收益定期开放混合型证券投资基金</w:t>
      </w:r>
      <w:r w:rsidR="00B3544D">
        <w:rPr>
          <w:rFonts w:ascii="宋体" w:hAnsi="宋体" w:cs="宋体" w:hint="eastAsia"/>
          <w:color w:val="000000"/>
          <w:kern w:val="0"/>
          <w:sz w:val="24"/>
        </w:rPr>
        <w:t>、</w:t>
      </w:r>
      <w:r w:rsidR="00B3544D" w:rsidRPr="00B3544D">
        <w:rPr>
          <w:rFonts w:ascii="宋体" w:hAnsi="宋体" w:cs="宋体" w:hint="eastAsia"/>
          <w:color w:val="000000"/>
          <w:kern w:val="0"/>
          <w:sz w:val="24"/>
        </w:rPr>
        <w:t>银华明择多策略定期开放混合型证券投资基金</w:t>
      </w:r>
      <w:r w:rsidR="00B3544D">
        <w:rPr>
          <w:rFonts w:ascii="宋体" w:hAnsi="宋体" w:cs="宋体" w:hint="eastAsia"/>
          <w:color w:val="000000"/>
          <w:kern w:val="0"/>
          <w:sz w:val="24"/>
        </w:rPr>
        <w:t>、</w:t>
      </w:r>
      <w:r w:rsidRPr="002D1EA1">
        <w:rPr>
          <w:rFonts w:ascii="宋体" w:hAnsi="宋体" w:cs="宋体" w:hint="eastAsia"/>
          <w:color w:val="000000"/>
          <w:kern w:val="0"/>
          <w:sz w:val="24"/>
        </w:rPr>
        <w:t>银华回报灵活配置定期开放混合型发起式证券投资基金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 w:rsidRPr="002D1EA1">
        <w:rPr>
          <w:rFonts w:ascii="宋体" w:hAnsi="宋体" w:cs="宋体" w:hint="eastAsia"/>
          <w:color w:val="000000"/>
          <w:kern w:val="0"/>
          <w:sz w:val="24"/>
        </w:rPr>
        <w:t>银华战略新兴灵活配置定期开放混合型发起式证券投资基金</w:t>
      </w:r>
      <w:r w:rsidR="007C6C23">
        <w:rPr>
          <w:rFonts w:ascii="宋体" w:hAnsi="宋体" w:cs="宋体" w:hint="eastAsia"/>
          <w:color w:val="000000"/>
          <w:kern w:val="0"/>
          <w:sz w:val="24"/>
        </w:rPr>
        <w:t>、</w:t>
      </w:r>
      <w:r w:rsidRPr="002D1EA1">
        <w:rPr>
          <w:rFonts w:ascii="宋体" w:hAnsi="宋体" w:cs="宋体" w:hint="eastAsia"/>
          <w:color w:val="000000"/>
          <w:kern w:val="0"/>
          <w:sz w:val="24"/>
        </w:rPr>
        <w:t>银华大数据灵活配置定期开放混合型发起式证券投资基金</w:t>
      </w:r>
      <w:r>
        <w:rPr>
          <w:rFonts w:ascii="宋体" w:hAnsi="宋体" w:cs="宋体" w:hint="eastAsia"/>
          <w:color w:val="000000"/>
          <w:kern w:val="0"/>
          <w:sz w:val="24"/>
        </w:rPr>
        <w:t>未开通定期定额投资业务。</w:t>
      </w:r>
    </w:p>
    <w:p w:rsidR="00B03C02" w:rsidRPr="008E6179" w:rsidRDefault="00FA4001" w:rsidP="00C832F9">
      <w:pPr>
        <w:autoSpaceDE w:val="0"/>
        <w:autoSpaceDN w:val="0"/>
        <w:adjustRightInd w:val="0"/>
        <w:spacing w:line="48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 w:rsidRPr="008E6179">
        <w:rPr>
          <w:rFonts w:ascii="宋体" w:hAnsi="宋体" w:cs="宋体" w:hint="eastAsia"/>
          <w:b/>
          <w:color w:val="000000"/>
          <w:kern w:val="0"/>
          <w:sz w:val="24"/>
        </w:rPr>
        <w:t>二</w:t>
      </w:r>
      <w:r w:rsidR="00B03C02" w:rsidRPr="008E6179">
        <w:rPr>
          <w:rFonts w:ascii="宋体" w:hAnsi="宋体" w:cs="宋体" w:hint="eastAsia"/>
          <w:b/>
          <w:color w:val="000000"/>
          <w:kern w:val="0"/>
          <w:sz w:val="24"/>
        </w:rPr>
        <w:t>、适用投资者范围</w:t>
      </w:r>
    </w:p>
    <w:p w:rsidR="00F91B84" w:rsidRPr="00C00A3A" w:rsidRDefault="00292919" w:rsidP="008E6179">
      <w:pPr>
        <w:snapToGrid w:val="0"/>
        <w:spacing w:line="360" w:lineRule="auto"/>
        <w:ind w:right="26"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通过交通银行</w:t>
      </w:r>
      <w:r w:rsidR="00C11394">
        <w:rPr>
          <w:rFonts w:ascii="宋体" w:hAnsi="宋体" w:cs="宋体" w:hint="eastAsia"/>
          <w:color w:val="000000"/>
          <w:kern w:val="0"/>
          <w:sz w:val="24"/>
        </w:rPr>
        <w:t>指定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渠道申购</w:t>
      </w:r>
      <w:r w:rsidR="00F374B5">
        <w:rPr>
          <w:rFonts w:ascii="宋体" w:hAnsi="宋体" w:cs="宋体" w:hint="eastAsia"/>
          <w:color w:val="000000"/>
          <w:kern w:val="0"/>
          <w:sz w:val="24"/>
        </w:rPr>
        <w:t>（含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定期定额投资</w:t>
      </w:r>
      <w:r w:rsidR="00F374B5">
        <w:rPr>
          <w:rFonts w:ascii="宋体" w:hAnsi="宋体" w:cs="宋体" w:hint="eastAsia"/>
          <w:color w:val="000000"/>
          <w:kern w:val="0"/>
          <w:sz w:val="24"/>
        </w:rPr>
        <w:t>）</w:t>
      </w:r>
      <w:r w:rsidR="00A65E9F">
        <w:rPr>
          <w:rFonts w:ascii="宋体" w:hAnsi="宋体" w:cs="宋体" w:hint="eastAsia"/>
          <w:color w:val="000000"/>
          <w:kern w:val="0"/>
          <w:sz w:val="24"/>
        </w:rPr>
        <w:t>上述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开放式基金的投资者。</w:t>
      </w:r>
    </w:p>
    <w:p w:rsidR="00C4540F" w:rsidRPr="00292919" w:rsidRDefault="00FA4001" w:rsidP="00C832F9">
      <w:pPr>
        <w:autoSpaceDE w:val="0"/>
        <w:autoSpaceDN w:val="0"/>
        <w:adjustRightInd w:val="0"/>
        <w:spacing w:line="48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 w:rsidRPr="00292919">
        <w:rPr>
          <w:rFonts w:ascii="宋体" w:hAnsi="宋体" w:cs="宋体" w:hint="eastAsia"/>
          <w:b/>
          <w:color w:val="000000"/>
          <w:kern w:val="0"/>
          <w:sz w:val="24"/>
        </w:rPr>
        <w:t>三</w:t>
      </w:r>
      <w:r w:rsidR="00C4540F" w:rsidRPr="00292919">
        <w:rPr>
          <w:rFonts w:ascii="宋体" w:hAnsi="宋体" w:cs="宋体" w:hint="eastAsia"/>
          <w:b/>
          <w:color w:val="000000"/>
          <w:kern w:val="0"/>
          <w:sz w:val="24"/>
        </w:rPr>
        <w:t>、活动时间</w:t>
      </w:r>
    </w:p>
    <w:p w:rsidR="00C4540F" w:rsidRPr="00C00A3A" w:rsidRDefault="003F3E54" w:rsidP="008E6179">
      <w:pPr>
        <w:snapToGrid w:val="0"/>
        <w:spacing w:line="360" w:lineRule="auto"/>
        <w:ind w:right="26"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自</w:t>
      </w:r>
      <w:r w:rsidR="00F867E8" w:rsidRPr="00C00A3A">
        <w:rPr>
          <w:rFonts w:ascii="宋体" w:hAnsi="宋体" w:cs="宋体" w:hint="eastAsia"/>
          <w:color w:val="000000"/>
          <w:kern w:val="0"/>
          <w:sz w:val="24"/>
        </w:rPr>
        <w:t>20</w:t>
      </w:r>
      <w:r w:rsidR="007C6C23">
        <w:rPr>
          <w:rFonts w:ascii="宋体" w:hAnsi="宋体" w:cs="宋体"/>
          <w:color w:val="000000"/>
          <w:kern w:val="0"/>
          <w:sz w:val="24"/>
        </w:rPr>
        <w:t>20</w:t>
      </w:r>
      <w:r w:rsidR="006036C4" w:rsidRPr="00C00A3A">
        <w:rPr>
          <w:rFonts w:ascii="宋体" w:hAnsi="宋体" w:cs="宋体" w:hint="eastAsia"/>
          <w:color w:val="000000"/>
          <w:kern w:val="0"/>
          <w:sz w:val="24"/>
        </w:rPr>
        <w:t>年</w:t>
      </w:r>
      <w:r w:rsidR="007C6C23">
        <w:rPr>
          <w:rFonts w:ascii="宋体" w:hAnsi="宋体" w:cs="宋体"/>
          <w:color w:val="000000"/>
          <w:kern w:val="0"/>
          <w:sz w:val="24"/>
        </w:rPr>
        <w:t>7</w:t>
      </w:r>
      <w:r w:rsidR="006036C4" w:rsidRPr="00C00A3A">
        <w:rPr>
          <w:rFonts w:ascii="宋体" w:hAnsi="宋体" w:cs="宋体" w:hint="eastAsia"/>
          <w:color w:val="000000"/>
          <w:kern w:val="0"/>
          <w:sz w:val="24"/>
        </w:rPr>
        <w:t>月</w:t>
      </w:r>
      <w:r w:rsidR="00F3527B">
        <w:rPr>
          <w:rFonts w:ascii="宋体" w:hAnsi="宋体" w:cs="宋体" w:hint="eastAsia"/>
          <w:color w:val="000000"/>
          <w:kern w:val="0"/>
          <w:sz w:val="24"/>
        </w:rPr>
        <w:t>1</w:t>
      </w:r>
      <w:r w:rsidR="00C4540F" w:rsidRPr="00C00A3A">
        <w:rPr>
          <w:rFonts w:ascii="宋体" w:hAnsi="宋体" w:cs="宋体" w:hint="eastAsia"/>
          <w:color w:val="000000"/>
          <w:kern w:val="0"/>
          <w:sz w:val="24"/>
        </w:rPr>
        <w:t>日</w:t>
      </w:r>
      <w:r w:rsidR="008568CB" w:rsidRPr="008568CB">
        <w:rPr>
          <w:rFonts w:ascii="宋体" w:hAnsi="宋体" w:cs="宋体"/>
          <w:color w:val="000000"/>
          <w:kern w:val="0"/>
          <w:sz w:val="24"/>
        </w:rPr>
        <w:t>00:00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至20</w:t>
      </w:r>
      <w:r w:rsidR="007C6C23">
        <w:rPr>
          <w:rFonts w:ascii="宋体" w:hAnsi="宋体" w:cs="宋体"/>
          <w:color w:val="000000"/>
          <w:kern w:val="0"/>
          <w:sz w:val="24"/>
        </w:rPr>
        <w:t>20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年</w:t>
      </w:r>
      <w:r w:rsidR="00706DAB">
        <w:rPr>
          <w:rFonts w:ascii="宋体" w:hAnsi="宋体" w:cs="宋体"/>
          <w:color w:val="000000"/>
          <w:kern w:val="0"/>
          <w:sz w:val="24"/>
        </w:rPr>
        <w:t>12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月</w:t>
      </w:r>
      <w:r w:rsidR="00F3527B">
        <w:rPr>
          <w:rFonts w:ascii="宋体" w:hAnsi="宋体" w:cs="宋体"/>
          <w:color w:val="000000"/>
          <w:kern w:val="0"/>
          <w:sz w:val="24"/>
        </w:rPr>
        <w:t>3</w:t>
      </w:r>
      <w:r w:rsidR="00BD1BAD">
        <w:rPr>
          <w:rFonts w:ascii="宋体" w:hAnsi="宋体" w:cs="宋体"/>
          <w:color w:val="000000"/>
          <w:kern w:val="0"/>
          <w:sz w:val="24"/>
        </w:rPr>
        <w:t>1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日</w:t>
      </w:r>
      <w:r w:rsidR="008568CB" w:rsidRPr="008568CB">
        <w:rPr>
          <w:rFonts w:ascii="宋体" w:hAnsi="宋体" w:cs="宋体"/>
          <w:color w:val="000000"/>
          <w:kern w:val="0"/>
          <w:sz w:val="24"/>
        </w:rPr>
        <w:t>24:00</w:t>
      </w:r>
      <w:r w:rsidR="008568CB">
        <w:rPr>
          <w:rFonts w:ascii="宋体" w:hAnsi="宋体" w:cs="宋体" w:hint="eastAsia"/>
          <w:color w:val="000000"/>
          <w:kern w:val="0"/>
          <w:sz w:val="24"/>
        </w:rPr>
        <w:t>期间</w:t>
      </w:r>
      <w:r w:rsidR="00C4540F" w:rsidRPr="00C00A3A">
        <w:rPr>
          <w:rFonts w:ascii="宋体" w:hAnsi="宋体" w:cs="宋体" w:hint="eastAsia"/>
          <w:color w:val="000000"/>
          <w:kern w:val="0"/>
          <w:sz w:val="24"/>
        </w:rPr>
        <w:t>。优惠活动或业务规则如有变动,请以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交通</w:t>
      </w:r>
      <w:r w:rsidR="00AD7337" w:rsidRPr="00C00A3A">
        <w:rPr>
          <w:rFonts w:ascii="宋体" w:hAnsi="宋体" w:cs="宋体" w:hint="eastAsia"/>
          <w:color w:val="000000"/>
          <w:kern w:val="0"/>
          <w:sz w:val="24"/>
        </w:rPr>
        <w:t>银行</w:t>
      </w:r>
      <w:r w:rsidR="00360482" w:rsidRPr="00C00A3A">
        <w:rPr>
          <w:rFonts w:ascii="宋体" w:hAnsi="宋体" w:cs="宋体" w:hint="eastAsia"/>
          <w:color w:val="000000"/>
          <w:kern w:val="0"/>
          <w:sz w:val="24"/>
        </w:rPr>
        <w:t>及本公司最新公告信息</w:t>
      </w:r>
      <w:r w:rsidR="00C4540F" w:rsidRPr="00C00A3A">
        <w:rPr>
          <w:rFonts w:ascii="宋体" w:hAnsi="宋体" w:cs="宋体" w:hint="eastAsia"/>
          <w:color w:val="000000"/>
          <w:kern w:val="0"/>
          <w:sz w:val="24"/>
        </w:rPr>
        <w:t>为准。</w:t>
      </w:r>
    </w:p>
    <w:p w:rsidR="00F41E4C" w:rsidRPr="00292919" w:rsidRDefault="00FA4001" w:rsidP="00C832F9">
      <w:pPr>
        <w:autoSpaceDE w:val="0"/>
        <w:autoSpaceDN w:val="0"/>
        <w:adjustRightInd w:val="0"/>
        <w:spacing w:line="48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 w:rsidRPr="00292919">
        <w:rPr>
          <w:rFonts w:ascii="宋体" w:hAnsi="宋体" w:cs="宋体" w:hint="eastAsia"/>
          <w:b/>
          <w:color w:val="000000"/>
          <w:kern w:val="0"/>
          <w:sz w:val="24"/>
        </w:rPr>
        <w:t>四</w:t>
      </w:r>
      <w:r w:rsidR="00C4540F" w:rsidRPr="00292919">
        <w:rPr>
          <w:rFonts w:ascii="宋体" w:hAnsi="宋体" w:cs="宋体" w:hint="eastAsia"/>
          <w:b/>
          <w:color w:val="000000"/>
          <w:kern w:val="0"/>
          <w:sz w:val="24"/>
        </w:rPr>
        <w:t>、活动内容</w:t>
      </w:r>
    </w:p>
    <w:p w:rsidR="00292919" w:rsidRPr="00C00A3A" w:rsidRDefault="003F3E54" w:rsidP="00A65E9F">
      <w:pPr>
        <w:snapToGrid w:val="0"/>
        <w:spacing w:line="360" w:lineRule="auto"/>
        <w:ind w:right="26"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活动期间，通过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交通银行</w:t>
      </w:r>
      <w:r w:rsidR="00C11394">
        <w:rPr>
          <w:rFonts w:ascii="宋体" w:hAnsi="宋体" w:cs="宋体" w:hint="eastAsia"/>
          <w:color w:val="000000"/>
          <w:kern w:val="0"/>
          <w:sz w:val="24"/>
        </w:rPr>
        <w:t>指定</w:t>
      </w:r>
      <w:r w:rsidR="00C11394">
        <w:rPr>
          <w:rFonts w:ascii="宋体" w:hAnsi="宋体" w:cs="宋体"/>
          <w:color w:val="000000"/>
          <w:kern w:val="0"/>
          <w:sz w:val="24"/>
        </w:rPr>
        <w:t>渠道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办理上述开放式基金申购</w:t>
      </w:r>
      <w:r w:rsidR="00A65E9F">
        <w:rPr>
          <w:rFonts w:ascii="宋体" w:hAnsi="宋体" w:cs="宋体" w:hint="eastAsia"/>
          <w:color w:val="000000"/>
          <w:kern w:val="0"/>
          <w:sz w:val="24"/>
        </w:rPr>
        <w:t>（含定期定额投资）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业务的，其办理申购费率</w:t>
      </w:r>
      <w:r w:rsidR="00C11394">
        <w:rPr>
          <w:rFonts w:ascii="宋体" w:hAnsi="宋体" w:cs="宋体" w:hint="eastAsia"/>
          <w:color w:val="000000"/>
          <w:kern w:val="0"/>
          <w:sz w:val="24"/>
        </w:rPr>
        <w:t>最低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享有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1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折优惠。标准申购费率为单笔固定金额收费的，按照标准费率执行。</w:t>
      </w:r>
    </w:p>
    <w:p w:rsidR="00C4540F" w:rsidRPr="0035145F" w:rsidRDefault="003F3E54" w:rsidP="00F374B5">
      <w:pPr>
        <w:snapToGrid w:val="0"/>
        <w:spacing w:line="360" w:lineRule="auto"/>
        <w:ind w:right="26"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lastRenderedPageBreak/>
        <w:t>本费率优惠活动内容的解释权归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交通</w:t>
      </w:r>
      <w:r w:rsidR="0035145F" w:rsidRPr="00C00A3A">
        <w:rPr>
          <w:rFonts w:ascii="宋体" w:hAnsi="宋体" w:cs="宋体" w:hint="eastAsia"/>
          <w:color w:val="000000"/>
          <w:kern w:val="0"/>
          <w:sz w:val="24"/>
        </w:rPr>
        <w:t>银行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，费率优惠活动内容执行</w:t>
      </w:r>
      <w:r w:rsidRPr="00C00A3A">
        <w:rPr>
          <w:rFonts w:ascii="宋体" w:hAnsi="宋体" w:cs="宋体"/>
          <w:color w:val="000000"/>
          <w:kern w:val="0"/>
          <w:sz w:val="24"/>
        </w:rPr>
        <w:t>期间，业务办理的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相关规则及</w:t>
      </w:r>
      <w:r w:rsidRPr="00C00A3A">
        <w:rPr>
          <w:rFonts w:ascii="宋体" w:hAnsi="宋体" w:cs="宋体"/>
          <w:color w:val="000000"/>
          <w:kern w:val="0"/>
          <w:sz w:val="24"/>
        </w:rPr>
        <w:t>流程以</w:t>
      </w:r>
      <w:r w:rsidR="00292919" w:rsidRPr="00C00A3A">
        <w:rPr>
          <w:rFonts w:ascii="宋体" w:hAnsi="宋体" w:cs="宋体" w:hint="eastAsia"/>
          <w:color w:val="000000"/>
          <w:kern w:val="0"/>
          <w:sz w:val="24"/>
        </w:rPr>
        <w:t>交通</w:t>
      </w:r>
      <w:r w:rsidR="0035145F" w:rsidRPr="00C00A3A">
        <w:rPr>
          <w:rFonts w:ascii="宋体" w:hAnsi="宋体" w:cs="宋体" w:hint="eastAsia"/>
          <w:color w:val="000000"/>
          <w:kern w:val="0"/>
          <w:sz w:val="24"/>
        </w:rPr>
        <w:t>银行</w:t>
      </w:r>
      <w:r w:rsidRPr="00C00A3A">
        <w:rPr>
          <w:rFonts w:ascii="宋体" w:hAnsi="宋体" w:cs="宋体"/>
          <w:color w:val="000000"/>
          <w:kern w:val="0"/>
          <w:sz w:val="24"/>
        </w:rPr>
        <w:t>的安排和规定为准。</w:t>
      </w:r>
    </w:p>
    <w:p w:rsidR="00C4540F" w:rsidRPr="00613FAD" w:rsidRDefault="00FA4001" w:rsidP="00C832F9">
      <w:pPr>
        <w:autoSpaceDE w:val="0"/>
        <w:autoSpaceDN w:val="0"/>
        <w:adjustRightInd w:val="0"/>
        <w:spacing w:line="480" w:lineRule="exact"/>
        <w:ind w:firstLineChars="200" w:firstLine="482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五</w:t>
      </w:r>
      <w:r w:rsidR="00C4540F" w:rsidRPr="00613FAD">
        <w:rPr>
          <w:rFonts w:ascii="宋体" w:hAnsi="宋体" w:cs="宋体" w:hint="eastAsia"/>
          <w:b/>
          <w:color w:val="000000"/>
          <w:kern w:val="0"/>
          <w:sz w:val="24"/>
        </w:rPr>
        <w:t>、投资者可通过以下途径了解或咨询相关情况</w:t>
      </w:r>
      <w:r w:rsidR="00C4540F" w:rsidRPr="00613FAD"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B438D0" w:rsidRPr="00D56A63" w:rsidRDefault="00F76045" w:rsidP="00B438D0">
      <w:pPr>
        <w:autoSpaceDE w:val="0"/>
        <w:autoSpaceDN w:val="0"/>
        <w:adjustRightInd w:val="0"/>
        <w:spacing w:line="480" w:lineRule="exact"/>
        <w:ind w:firstLineChars="250" w:firstLine="60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="00B438D0" w:rsidRPr="00D56A63">
        <w:rPr>
          <w:rFonts w:ascii="宋体" w:hAnsi="宋体" w:cs="宋体" w:hint="eastAsia"/>
          <w:color w:val="000000"/>
          <w:kern w:val="0"/>
          <w:sz w:val="24"/>
        </w:rPr>
        <w:t>交通银行股份有限公司</w:t>
      </w:r>
    </w:p>
    <w:tbl>
      <w:tblPr>
        <w:tblW w:w="482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30"/>
        <w:gridCol w:w="1133"/>
        <w:gridCol w:w="3516"/>
      </w:tblGrid>
      <w:tr w:rsidR="00B438D0" w:rsidRPr="00D56A63" w:rsidTr="00B438D0">
        <w:trPr>
          <w:trHeight w:hRule="exact" w:val="340"/>
        </w:trPr>
        <w:tc>
          <w:tcPr>
            <w:tcW w:w="1121" w:type="pct"/>
            <w:vAlign w:val="center"/>
          </w:tcPr>
          <w:p w:rsidR="00B438D0" w:rsidRPr="00D56A63" w:rsidRDefault="00B438D0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r w:rsidRPr="00D56A63">
              <w:rPr>
                <w:rFonts w:hAnsi="宋体" w:hint="eastAsia"/>
                <w:color w:val="000000"/>
                <w:kern w:val="0"/>
                <w:sz w:val="24"/>
                <w:szCs w:val="24"/>
                <w:lang w:val="en-US"/>
              </w:rPr>
              <w:t>注册地址</w:t>
            </w:r>
          </w:p>
        </w:tc>
        <w:tc>
          <w:tcPr>
            <w:tcW w:w="3879" w:type="pct"/>
            <w:gridSpan w:val="3"/>
            <w:vAlign w:val="center"/>
          </w:tcPr>
          <w:p w:rsidR="00B438D0" w:rsidRPr="00D56A63" w:rsidRDefault="007C6C23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r w:rsidRPr="007C6C23">
              <w:rPr>
                <w:rFonts w:hAnsi="宋体" w:hint="eastAsia"/>
                <w:color w:val="000000"/>
                <w:kern w:val="0"/>
                <w:sz w:val="24"/>
                <w:szCs w:val="24"/>
                <w:lang w:val="en-US"/>
              </w:rPr>
              <w:t>上海市浦东新区银城中路188号</w:t>
            </w:r>
          </w:p>
        </w:tc>
      </w:tr>
      <w:tr w:rsidR="00B438D0" w:rsidRPr="00D56A63" w:rsidTr="00B438D0">
        <w:trPr>
          <w:trHeight w:hRule="exact" w:val="340"/>
        </w:trPr>
        <w:tc>
          <w:tcPr>
            <w:tcW w:w="1121" w:type="pct"/>
            <w:vAlign w:val="center"/>
          </w:tcPr>
          <w:p w:rsidR="00B438D0" w:rsidRPr="00D56A63" w:rsidRDefault="00B438D0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r w:rsidRPr="00D56A63">
              <w:rPr>
                <w:rFonts w:hAnsi="宋体" w:hint="eastAsia"/>
                <w:color w:val="000000"/>
                <w:kern w:val="0"/>
                <w:sz w:val="24"/>
                <w:szCs w:val="24"/>
                <w:lang w:val="en-US"/>
              </w:rPr>
              <w:t>法定代表人</w:t>
            </w:r>
          </w:p>
        </w:tc>
        <w:tc>
          <w:tcPr>
            <w:tcW w:w="3879" w:type="pct"/>
            <w:gridSpan w:val="3"/>
            <w:vAlign w:val="center"/>
          </w:tcPr>
          <w:p w:rsidR="00B438D0" w:rsidRPr="00D56A63" w:rsidRDefault="007C6C23" w:rsidP="009C0E04">
            <w:pPr>
              <w:widowControl/>
              <w:ind w:right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6C23">
              <w:rPr>
                <w:rFonts w:ascii="宋体" w:hAnsi="宋体" w:cs="宋体" w:hint="eastAsia"/>
                <w:color w:val="000000"/>
                <w:kern w:val="0"/>
                <w:sz w:val="24"/>
              </w:rPr>
              <w:t>任德奇</w:t>
            </w:r>
          </w:p>
        </w:tc>
      </w:tr>
      <w:tr w:rsidR="00B438D0" w:rsidRPr="00D56A63" w:rsidTr="00B438D0">
        <w:trPr>
          <w:trHeight w:hRule="exact" w:val="340"/>
        </w:trPr>
        <w:tc>
          <w:tcPr>
            <w:tcW w:w="1121" w:type="pct"/>
            <w:vAlign w:val="center"/>
          </w:tcPr>
          <w:p w:rsidR="00B438D0" w:rsidRPr="00D56A63" w:rsidRDefault="00B438D0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r w:rsidRPr="00D56A63">
              <w:rPr>
                <w:rFonts w:hAnsi="宋体" w:hint="eastAsia"/>
                <w:color w:val="000000"/>
                <w:kern w:val="0"/>
                <w:sz w:val="24"/>
                <w:szCs w:val="24"/>
                <w:lang w:val="en-US"/>
              </w:rPr>
              <w:t>客服电话</w:t>
            </w:r>
          </w:p>
        </w:tc>
        <w:tc>
          <w:tcPr>
            <w:tcW w:w="1052" w:type="pct"/>
            <w:vAlign w:val="center"/>
          </w:tcPr>
          <w:p w:rsidR="00B438D0" w:rsidRPr="00D56A63" w:rsidRDefault="00B438D0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r w:rsidRPr="00D56A63"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  <w:t>95559</w:t>
            </w:r>
          </w:p>
        </w:tc>
        <w:tc>
          <w:tcPr>
            <w:tcW w:w="689" w:type="pct"/>
            <w:vAlign w:val="center"/>
          </w:tcPr>
          <w:p w:rsidR="00B438D0" w:rsidRPr="00D56A63" w:rsidRDefault="00B438D0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r w:rsidRPr="00D56A63">
              <w:rPr>
                <w:rFonts w:hAnsi="宋体" w:hint="eastAsia"/>
                <w:color w:val="000000"/>
                <w:kern w:val="0"/>
                <w:sz w:val="24"/>
                <w:szCs w:val="24"/>
                <w:lang w:val="en-US"/>
              </w:rPr>
              <w:t>网址</w:t>
            </w:r>
          </w:p>
        </w:tc>
        <w:tc>
          <w:tcPr>
            <w:tcW w:w="2138" w:type="pct"/>
            <w:vAlign w:val="center"/>
          </w:tcPr>
          <w:p w:rsidR="00B438D0" w:rsidRPr="00D56A63" w:rsidRDefault="00B438D0" w:rsidP="009C0E04">
            <w:pPr>
              <w:pStyle w:val="080318"/>
              <w:spacing w:line="240" w:lineRule="auto"/>
              <w:ind w:firstLineChars="0" w:firstLine="0"/>
              <w:rPr>
                <w:rFonts w:hAnsi="宋体"/>
                <w:color w:val="000000"/>
                <w:kern w:val="0"/>
                <w:sz w:val="24"/>
                <w:szCs w:val="24"/>
                <w:lang w:val="en-US"/>
              </w:rPr>
            </w:pPr>
            <w:hyperlink r:id="rId8" w:history="1">
              <w:r w:rsidRPr="00D56A63">
                <w:rPr>
                  <w:color w:val="000000"/>
                  <w:sz w:val="24"/>
                  <w:szCs w:val="24"/>
                  <w:lang w:val="en-US"/>
                </w:rPr>
                <w:t>www.bankcomm.com</w:t>
              </w:r>
            </w:hyperlink>
          </w:p>
        </w:tc>
      </w:tr>
    </w:tbl>
    <w:p w:rsidR="00F76045" w:rsidRPr="00D56A63" w:rsidRDefault="00F76045" w:rsidP="00B438D0">
      <w:pPr>
        <w:autoSpaceDE w:val="0"/>
        <w:autoSpaceDN w:val="0"/>
        <w:adjustRightInd w:val="0"/>
        <w:spacing w:before="50" w:line="360" w:lineRule="auto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D56A63">
        <w:rPr>
          <w:rFonts w:ascii="宋体" w:hAnsi="宋体" w:cs="宋体" w:hint="eastAsia"/>
          <w:color w:val="000000"/>
          <w:kern w:val="0"/>
          <w:sz w:val="24"/>
        </w:rPr>
        <w:t>银华基金管理</w:t>
      </w:r>
      <w:r w:rsidR="00B438D0" w:rsidRPr="00D56A63">
        <w:rPr>
          <w:rFonts w:ascii="宋体" w:hAnsi="宋体" w:cs="宋体" w:hint="eastAsia"/>
          <w:color w:val="000000"/>
          <w:kern w:val="0"/>
          <w:sz w:val="24"/>
        </w:rPr>
        <w:t>股份</w:t>
      </w:r>
      <w:r w:rsidRPr="00D56A63">
        <w:rPr>
          <w:rFonts w:ascii="宋体" w:hAnsi="宋体" w:cs="宋体" w:hint="eastAsia"/>
          <w:color w:val="000000"/>
          <w:kern w:val="0"/>
          <w:sz w:val="24"/>
        </w:rPr>
        <w:t>有限公司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379"/>
      </w:tblGrid>
      <w:tr w:rsidR="00F76045" w:rsidRPr="00D56A63" w:rsidTr="004C5511">
        <w:tc>
          <w:tcPr>
            <w:tcW w:w="1842" w:type="dxa"/>
            <w:vAlign w:val="center"/>
          </w:tcPr>
          <w:p w:rsidR="00F76045" w:rsidRPr="00D56A63" w:rsidRDefault="00F76045" w:rsidP="004C551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6A63">
              <w:rPr>
                <w:rFonts w:ascii="宋体" w:hAnsi="宋体" w:cs="宋体" w:hint="eastAsia"/>
                <w:color w:val="000000"/>
                <w:kern w:val="0"/>
                <w:sz w:val="24"/>
              </w:rPr>
              <w:t>客服电话</w:t>
            </w:r>
          </w:p>
        </w:tc>
        <w:tc>
          <w:tcPr>
            <w:tcW w:w="6379" w:type="dxa"/>
            <w:vAlign w:val="center"/>
          </w:tcPr>
          <w:p w:rsidR="00F76045" w:rsidRPr="00D56A63" w:rsidRDefault="00F76045" w:rsidP="004C551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6A63">
              <w:rPr>
                <w:rFonts w:ascii="宋体" w:hAnsi="宋体" w:cs="宋体" w:hint="eastAsia"/>
                <w:color w:val="000000"/>
                <w:kern w:val="0"/>
                <w:sz w:val="24"/>
              </w:rPr>
              <w:t>400-678-3333、010-85186558</w:t>
            </w:r>
          </w:p>
        </w:tc>
      </w:tr>
      <w:tr w:rsidR="00F76045" w:rsidRPr="00D56A63" w:rsidTr="004C5511">
        <w:tc>
          <w:tcPr>
            <w:tcW w:w="1842" w:type="dxa"/>
            <w:vAlign w:val="center"/>
          </w:tcPr>
          <w:p w:rsidR="00F76045" w:rsidRPr="00D56A63" w:rsidRDefault="00F76045" w:rsidP="004C551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56A63">
              <w:rPr>
                <w:rFonts w:ascii="宋体" w:hAnsi="宋体" w:cs="宋体" w:hint="eastAsia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6379" w:type="dxa"/>
            <w:vAlign w:val="center"/>
          </w:tcPr>
          <w:p w:rsidR="00F76045" w:rsidRPr="00D56A63" w:rsidRDefault="00B438D0" w:rsidP="004C5511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hyperlink r:id="rId9" w:history="1">
              <w:r w:rsidRPr="005C720A">
                <w:rPr>
                  <w:rFonts w:ascii="宋体" w:cs="宋体" w:hint="eastAsia"/>
                  <w:color w:val="000000"/>
                  <w:sz w:val="24"/>
                </w:rPr>
                <w:t>www.yhfund.com.cn</w:t>
              </w:r>
            </w:hyperlink>
          </w:p>
        </w:tc>
      </w:tr>
    </w:tbl>
    <w:p w:rsidR="00E3752F" w:rsidRPr="00F374B5" w:rsidRDefault="00F76045" w:rsidP="00F374B5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613FAD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C4540F" w:rsidRPr="00C00A3A" w:rsidRDefault="00C4540F" w:rsidP="008E6179">
      <w:pPr>
        <w:spacing w:line="48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风险提示：</w:t>
      </w:r>
    </w:p>
    <w:p w:rsidR="00C4540F" w:rsidRPr="00C00A3A" w:rsidRDefault="00C4540F" w:rsidP="00F374B5">
      <w:pPr>
        <w:spacing w:line="48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基金管理人承诺以诚实信用、勤勉尽责的原则管理和运用基金资产，但不保证基金一定盈利，也不保证最低收益。敬请投资者留意投资风险。</w:t>
      </w:r>
    </w:p>
    <w:p w:rsidR="005226F2" w:rsidRPr="00613FAD" w:rsidRDefault="00C4540F" w:rsidP="00F374B5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特此公告。</w:t>
      </w:r>
    </w:p>
    <w:p w:rsidR="00C4540F" w:rsidRPr="00C00A3A" w:rsidRDefault="00C4540F" w:rsidP="008E6179">
      <w:pPr>
        <w:spacing w:line="480" w:lineRule="exact"/>
        <w:ind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C00A3A">
        <w:rPr>
          <w:rFonts w:ascii="宋体" w:hAnsi="宋体" w:cs="宋体" w:hint="eastAsia"/>
          <w:color w:val="000000"/>
          <w:kern w:val="0"/>
          <w:sz w:val="24"/>
        </w:rPr>
        <w:t>银华基金管理</w:t>
      </w:r>
      <w:r w:rsidR="00B438D0" w:rsidRPr="00C00A3A">
        <w:rPr>
          <w:rFonts w:ascii="宋体" w:hAnsi="宋体" w:cs="宋体" w:hint="eastAsia"/>
          <w:color w:val="000000"/>
          <w:kern w:val="0"/>
          <w:sz w:val="24"/>
        </w:rPr>
        <w:t>股份</w:t>
      </w:r>
      <w:r w:rsidRPr="00C00A3A">
        <w:rPr>
          <w:rFonts w:ascii="宋体" w:hAnsi="宋体" w:cs="宋体" w:hint="eastAsia"/>
          <w:color w:val="000000"/>
          <w:kern w:val="0"/>
          <w:sz w:val="24"/>
        </w:rPr>
        <w:t>有限公司</w:t>
      </w:r>
    </w:p>
    <w:p w:rsidR="00C4540F" w:rsidRPr="00C00A3A" w:rsidRDefault="00F867E8" w:rsidP="008E6179">
      <w:pPr>
        <w:spacing w:line="480" w:lineRule="exact"/>
        <w:ind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640CD1">
        <w:rPr>
          <w:rFonts w:ascii="宋体" w:hAnsi="宋体" w:cs="宋体"/>
          <w:color w:val="000000"/>
          <w:kern w:val="0"/>
          <w:sz w:val="24"/>
        </w:rPr>
        <w:t>20</w:t>
      </w:r>
      <w:r w:rsidR="007C6C23">
        <w:rPr>
          <w:rFonts w:ascii="宋体" w:hAnsi="宋体" w:cs="宋体"/>
          <w:color w:val="000000"/>
          <w:kern w:val="0"/>
          <w:sz w:val="24"/>
        </w:rPr>
        <w:t>20</w:t>
      </w:r>
      <w:r w:rsidR="006036C4" w:rsidRPr="00640CD1">
        <w:rPr>
          <w:rFonts w:ascii="宋体" w:hAnsi="宋体" w:cs="宋体" w:hint="eastAsia"/>
          <w:color w:val="000000"/>
          <w:kern w:val="0"/>
          <w:sz w:val="24"/>
        </w:rPr>
        <w:t>年</w:t>
      </w:r>
      <w:r w:rsidR="007C6C23">
        <w:rPr>
          <w:rFonts w:ascii="宋体" w:hAnsi="宋体" w:cs="宋体"/>
          <w:color w:val="000000"/>
          <w:kern w:val="0"/>
          <w:sz w:val="24"/>
        </w:rPr>
        <w:t>6</w:t>
      </w:r>
      <w:r w:rsidR="006036C4" w:rsidRPr="00640CD1">
        <w:rPr>
          <w:rFonts w:ascii="宋体" w:hAnsi="宋体" w:cs="宋体" w:hint="eastAsia"/>
          <w:color w:val="000000"/>
          <w:kern w:val="0"/>
          <w:sz w:val="24"/>
        </w:rPr>
        <w:t>月</w:t>
      </w:r>
      <w:r w:rsidR="007C6C23">
        <w:rPr>
          <w:rFonts w:ascii="宋体" w:hAnsi="宋体" w:cs="宋体"/>
          <w:color w:val="000000"/>
          <w:kern w:val="0"/>
          <w:sz w:val="24"/>
        </w:rPr>
        <w:t>30</w:t>
      </w:r>
      <w:r w:rsidR="00C4540F" w:rsidRPr="00640CD1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C4540F" w:rsidRPr="00C00A3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75" w:rsidRDefault="00F47275">
      <w:r>
        <w:separator/>
      </w:r>
    </w:p>
  </w:endnote>
  <w:endnote w:type="continuationSeparator" w:id="0">
    <w:p w:rsidR="00F47275" w:rsidRDefault="00F4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A0" w:rsidRDefault="00C342A0" w:rsidP="004F08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2A0" w:rsidRDefault="00C342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A0" w:rsidRDefault="00C342A0" w:rsidP="004F08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D96">
      <w:rPr>
        <w:rStyle w:val="a5"/>
        <w:noProof/>
      </w:rPr>
      <w:t>1</w:t>
    </w:r>
    <w:r>
      <w:rPr>
        <w:rStyle w:val="a5"/>
      </w:rPr>
      <w:fldChar w:fldCharType="end"/>
    </w:r>
  </w:p>
  <w:p w:rsidR="00C342A0" w:rsidRDefault="00C342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75" w:rsidRDefault="00F47275">
      <w:r>
        <w:separator/>
      </w:r>
    </w:p>
  </w:footnote>
  <w:footnote w:type="continuationSeparator" w:id="0">
    <w:p w:rsidR="00F47275" w:rsidRDefault="00F4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A0" w:rsidRDefault="00C342A0" w:rsidP="004F08B1">
    <w:pPr>
      <w:pStyle w:val="a3"/>
      <w:jc w:val="both"/>
    </w:pPr>
    <w:r w:rsidRPr="00EF7A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银华中英文全称logo" style="width:148.85pt;height:32.35pt;visibility:visible">
          <v:imagedata r:id="rId1" o:title="银华中英文全称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469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23B22"/>
    <w:multiLevelType w:val="hybridMultilevel"/>
    <w:tmpl w:val="0958D1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114359"/>
    <w:multiLevelType w:val="hybridMultilevel"/>
    <w:tmpl w:val="F9A49450"/>
    <w:lvl w:ilvl="0" w:tplc="0409000F">
      <w:start w:val="1"/>
      <w:numFmt w:val="decimal"/>
      <w:lvlText w:val="%1."/>
      <w:lvlJc w:val="left"/>
      <w:pPr>
        <w:ind w:left="893" w:hanging="420"/>
      </w:p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554A2FD9"/>
    <w:multiLevelType w:val="hybridMultilevel"/>
    <w:tmpl w:val="7B6C4994"/>
    <w:lvl w:ilvl="0" w:tplc="7782311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6507796">
      <w:start w:val="1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7B5D6B0B"/>
    <w:multiLevelType w:val="hybridMultilevel"/>
    <w:tmpl w:val="776844EE"/>
    <w:lvl w:ilvl="0" w:tplc="91E6983A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40F"/>
    <w:rsid w:val="00007409"/>
    <w:rsid w:val="00011292"/>
    <w:rsid w:val="000143E0"/>
    <w:rsid w:val="00030266"/>
    <w:rsid w:val="00034E1C"/>
    <w:rsid w:val="0005160E"/>
    <w:rsid w:val="00070EA2"/>
    <w:rsid w:val="00081611"/>
    <w:rsid w:val="00082915"/>
    <w:rsid w:val="0008556F"/>
    <w:rsid w:val="000920FF"/>
    <w:rsid w:val="000930FE"/>
    <w:rsid w:val="00095FD5"/>
    <w:rsid w:val="00096713"/>
    <w:rsid w:val="000A1AF9"/>
    <w:rsid w:val="000A20F0"/>
    <w:rsid w:val="000A4B28"/>
    <w:rsid w:val="000C0212"/>
    <w:rsid w:val="000D4D96"/>
    <w:rsid w:val="000E0B7D"/>
    <w:rsid w:val="000F45E5"/>
    <w:rsid w:val="000F5424"/>
    <w:rsid w:val="000F640E"/>
    <w:rsid w:val="00115FEB"/>
    <w:rsid w:val="00125D5C"/>
    <w:rsid w:val="001605C2"/>
    <w:rsid w:val="001652B0"/>
    <w:rsid w:val="0017078E"/>
    <w:rsid w:val="00174DD8"/>
    <w:rsid w:val="001826D1"/>
    <w:rsid w:val="00190E71"/>
    <w:rsid w:val="001B15E1"/>
    <w:rsid w:val="001B39EB"/>
    <w:rsid w:val="001B725C"/>
    <w:rsid w:val="001C1E29"/>
    <w:rsid w:val="001E5D44"/>
    <w:rsid w:val="001E78AE"/>
    <w:rsid w:val="001F3A72"/>
    <w:rsid w:val="00210876"/>
    <w:rsid w:val="00213927"/>
    <w:rsid w:val="00227182"/>
    <w:rsid w:val="002331F3"/>
    <w:rsid w:val="00241172"/>
    <w:rsid w:val="002461FD"/>
    <w:rsid w:val="00252C28"/>
    <w:rsid w:val="002675C4"/>
    <w:rsid w:val="0029228B"/>
    <w:rsid w:val="00292919"/>
    <w:rsid w:val="0029782A"/>
    <w:rsid w:val="002A26D6"/>
    <w:rsid w:val="002A6C75"/>
    <w:rsid w:val="002B4A74"/>
    <w:rsid w:val="002D1EA1"/>
    <w:rsid w:val="002E27A1"/>
    <w:rsid w:val="002E36CA"/>
    <w:rsid w:val="00306824"/>
    <w:rsid w:val="003069B0"/>
    <w:rsid w:val="003254B2"/>
    <w:rsid w:val="0032746E"/>
    <w:rsid w:val="003321CC"/>
    <w:rsid w:val="003460F9"/>
    <w:rsid w:val="00350356"/>
    <w:rsid w:val="0035145F"/>
    <w:rsid w:val="0035347C"/>
    <w:rsid w:val="00360482"/>
    <w:rsid w:val="00362BAB"/>
    <w:rsid w:val="00371B64"/>
    <w:rsid w:val="003759A2"/>
    <w:rsid w:val="00377E80"/>
    <w:rsid w:val="00381489"/>
    <w:rsid w:val="003838CC"/>
    <w:rsid w:val="0038678E"/>
    <w:rsid w:val="003969EB"/>
    <w:rsid w:val="003A7853"/>
    <w:rsid w:val="003A7A02"/>
    <w:rsid w:val="003A7AB6"/>
    <w:rsid w:val="003B128A"/>
    <w:rsid w:val="003B3D82"/>
    <w:rsid w:val="003C00F3"/>
    <w:rsid w:val="003D292E"/>
    <w:rsid w:val="003D6988"/>
    <w:rsid w:val="003F3E54"/>
    <w:rsid w:val="003F433B"/>
    <w:rsid w:val="0040002F"/>
    <w:rsid w:val="0040369D"/>
    <w:rsid w:val="0040600B"/>
    <w:rsid w:val="0043747F"/>
    <w:rsid w:val="00473B53"/>
    <w:rsid w:val="00473E19"/>
    <w:rsid w:val="00481587"/>
    <w:rsid w:val="00481AE7"/>
    <w:rsid w:val="004B1B73"/>
    <w:rsid w:val="004B67CA"/>
    <w:rsid w:val="004C0E72"/>
    <w:rsid w:val="004C5511"/>
    <w:rsid w:val="004C639E"/>
    <w:rsid w:val="004F08B1"/>
    <w:rsid w:val="004F7EF6"/>
    <w:rsid w:val="005043E2"/>
    <w:rsid w:val="005045E2"/>
    <w:rsid w:val="00506E38"/>
    <w:rsid w:val="0051739C"/>
    <w:rsid w:val="005226F2"/>
    <w:rsid w:val="00522DDE"/>
    <w:rsid w:val="0052615B"/>
    <w:rsid w:val="00533257"/>
    <w:rsid w:val="00533387"/>
    <w:rsid w:val="00555D0F"/>
    <w:rsid w:val="0056243B"/>
    <w:rsid w:val="00564CAC"/>
    <w:rsid w:val="00572E06"/>
    <w:rsid w:val="005773F7"/>
    <w:rsid w:val="005A1A1E"/>
    <w:rsid w:val="005A7CF9"/>
    <w:rsid w:val="005A7D8E"/>
    <w:rsid w:val="005B3532"/>
    <w:rsid w:val="005C49D9"/>
    <w:rsid w:val="005C5EA8"/>
    <w:rsid w:val="005C720A"/>
    <w:rsid w:val="006036C4"/>
    <w:rsid w:val="006045DC"/>
    <w:rsid w:val="00613FAD"/>
    <w:rsid w:val="00615B4D"/>
    <w:rsid w:val="006165F6"/>
    <w:rsid w:val="00617BC6"/>
    <w:rsid w:val="00640CD1"/>
    <w:rsid w:val="00662948"/>
    <w:rsid w:val="006645FC"/>
    <w:rsid w:val="00677D80"/>
    <w:rsid w:val="00682C84"/>
    <w:rsid w:val="00691BDC"/>
    <w:rsid w:val="00695977"/>
    <w:rsid w:val="006B4DF1"/>
    <w:rsid w:val="006B4F77"/>
    <w:rsid w:val="006B653A"/>
    <w:rsid w:val="006C64D0"/>
    <w:rsid w:val="006E47BB"/>
    <w:rsid w:val="006E720E"/>
    <w:rsid w:val="0070257E"/>
    <w:rsid w:val="00706DAB"/>
    <w:rsid w:val="007103E7"/>
    <w:rsid w:val="0071438C"/>
    <w:rsid w:val="007175D4"/>
    <w:rsid w:val="00735006"/>
    <w:rsid w:val="007475B0"/>
    <w:rsid w:val="00762E63"/>
    <w:rsid w:val="00785ECC"/>
    <w:rsid w:val="00797BA3"/>
    <w:rsid w:val="007A19E7"/>
    <w:rsid w:val="007A654D"/>
    <w:rsid w:val="007C570E"/>
    <w:rsid w:val="007C6C23"/>
    <w:rsid w:val="007D0238"/>
    <w:rsid w:val="007F32C3"/>
    <w:rsid w:val="007F5545"/>
    <w:rsid w:val="00803B58"/>
    <w:rsid w:val="008042A4"/>
    <w:rsid w:val="00807AD5"/>
    <w:rsid w:val="00810E32"/>
    <w:rsid w:val="00830930"/>
    <w:rsid w:val="00835040"/>
    <w:rsid w:val="00841F17"/>
    <w:rsid w:val="00843529"/>
    <w:rsid w:val="008444CA"/>
    <w:rsid w:val="008475D4"/>
    <w:rsid w:val="00853B24"/>
    <w:rsid w:val="008568CB"/>
    <w:rsid w:val="00866125"/>
    <w:rsid w:val="00880F34"/>
    <w:rsid w:val="00883D19"/>
    <w:rsid w:val="008C306C"/>
    <w:rsid w:val="008C482D"/>
    <w:rsid w:val="008E33A8"/>
    <w:rsid w:val="008E6179"/>
    <w:rsid w:val="008F1C82"/>
    <w:rsid w:val="00921E96"/>
    <w:rsid w:val="00925C4D"/>
    <w:rsid w:val="00927CDE"/>
    <w:rsid w:val="009363F1"/>
    <w:rsid w:val="009666F1"/>
    <w:rsid w:val="009679B5"/>
    <w:rsid w:val="009753A4"/>
    <w:rsid w:val="00983246"/>
    <w:rsid w:val="00983258"/>
    <w:rsid w:val="009865BB"/>
    <w:rsid w:val="009B3D8E"/>
    <w:rsid w:val="009C0E04"/>
    <w:rsid w:val="00A25097"/>
    <w:rsid w:val="00A3634D"/>
    <w:rsid w:val="00A65E9F"/>
    <w:rsid w:val="00A72392"/>
    <w:rsid w:val="00A953EE"/>
    <w:rsid w:val="00A96FEE"/>
    <w:rsid w:val="00AA545E"/>
    <w:rsid w:val="00AD7337"/>
    <w:rsid w:val="00AE4FAC"/>
    <w:rsid w:val="00AE5CED"/>
    <w:rsid w:val="00AE688C"/>
    <w:rsid w:val="00B03C02"/>
    <w:rsid w:val="00B1611C"/>
    <w:rsid w:val="00B3544D"/>
    <w:rsid w:val="00B41195"/>
    <w:rsid w:val="00B438D0"/>
    <w:rsid w:val="00B50425"/>
    <w:rsid w:val="00B75C40"/>
    <w:rsid w:val="00BA6A1E"/>
    <w:rsid w:val="00BA7EC9"/>
    <w:rsid w:val="00BB17C4"/>
    <w:rsid w:val="00BB4107"/>
    <w:rsid w:val="00BD1BAD"/>
    <w:rsid w:val="00BD484B"/>
    <w:rsid w:val="00BD66A3"/>
    <w:rsid w:val="00BE347F"/>
    <w:rsid w:val="00BF26E0"/>
    <w:rsid w:val="00C00296"/>
    <w:rsid w:val="00C00A3A"/>
    <w:rsid w:val="00C11394"/>
    <w:rsid w:val="00C246E1"/>
    <w:rsid w:val="00C25013"/>
    <w:rsid w:val="00C32002"/>
    <w:rsid w:val="00C33709"/>
    <w:rsid w:val="00C342A0"/>
    <w:rsid w:val="00C4540F"/>
    <w:rsid w:val="00C4595D"/>
    <w:rsid w:val="00C648D8"/>
    <w:rsid w:val="00C75483"/>
    <w:rsid w:val="00C759B2"/>
    <w:rsid w:val="00C75CEC"/>
    <w:rsid w:val="00C76F16"/>
    <w:rsid w:val="00C832F9"/>
    <w:rsid w:val="00C928EB"/>
    <w:rsid w:val="00CA1196"/>
    <w:rsid w:val="00CB695B"/>
    <w:rsid w:val="00CD5A13"/>
    <w:rsid w:val="00CE20D4"/>
    <w:rsid w:val="00CE6CCB"/>
    <w:rsid w:val="00D1066C"/>
    <w:rsid w:val="00D30610"/>
    <w:rsid w:val="00D40723"/>
    <w:rsid w:val="00D559A7"/>
    <w:rsid w:val="00D56A63"/>
    <w:rsid w:val="00D57E4A"/>
    <w:rsid w:val="00D82D49"/>
    <w:rsid w:val="00DB7217"/>
    <w:rsid w:val="00DC3A45"/>
    <w:rsid w:val="00DD1434"/>
    <w:rsid w:val="00DE33AA"/>
    <w:rsid w:val="00DE497F"/>
    <w:rsid w:val="00DF149A"/>
    <w:rsid w:val="00DF1A34"/>
    <w:rsid w:val="00DF1A5D"/>
    <w:rsid w:val="00E04846"/>
    <w:rsid w:val="00E14F19"/>
    <w:rsid w:val="00E2060B"/>
    <w:rsid w:val="00E27E37"/>
    <w:rsid w:val="00E3308C"/>
    <w:rsid w:val="00E3752F"/>
    <w:rsid w:val="00E7162C"/>
    <w:rsid w:val="00E863A9"/>
    <w:rsid w:val="00E93B10"/>
    <w:rsid w:val="00EB2457"/>
    <w:rsid w:val="00EB3C90"/>
    <w:rsid w:val="00EB5B54"/>
    <w:rsid w:val="00EB7AC0"/>
    <w:rsid w:val="00ED0B02"/>
    <w:rsid w:val="00ED3C59"/>
    <w:rsid w:val="00ED4A0E"/>
    <w:rsid w:val="00F03F24"/>
    <w:rsid w:val="00F04FF4"/>
    <w:rsid w:val="00F126FC"/>
    <w:rsid w:val="00F2673E"/>
    <w:rsid w:val="00F3527B"/>
    <w:rsid w:val="00F374B5"/>
    <w:rsid w:val="00F41E4C"/>
    <w:rsid w:val="00F42B65"/>
    <w:rsid w:val="00F47275"/>
    <w:rsid w:val="00F7147C"/>
    <w:rsid w:val="00F73C46"/>
    <w:rsid w:val="00F76045"/>
    <w:rsid w:val="00F8253C"/>
    <w:rsid w:val="00F867E8"/>
    <w:rsid w:val="00F91B84"/>
    <w:rsid w:val="00F9697E"/>
    <w:rsid w:val="00FA4001"/>
    <w:rsid w:val="00FA4054"/>
    <w:rsid w:val="00FA627F"/>
    <w:rsid w:val="00FB1827"/>
    <w:rsid w:val="00FC0C10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45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4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4540F"/>
  </w:style>
  <w:style w:type="paragraph" w:styleId="a6">
    <w:name w:val="Balloon Text"/>
    <w:basedOn w:val="a"/>
    <w:semiHidden/>
    <w:rsid w:val="00C4540F"/>
    <w:rPr>
      <w:sz w:val="18"/>
      <w:szCs w:val="18"/>
    </w:rPr>
  </w:style>
  <w:style w:type="character" w:styleId="a7">
    <w:name w:val="Hyperlink"/>
    <w:rsid w:val="00F41E4C"/>
    <w:rPr>
      <w:color w:val="0000FF"/>
      <w:u w:val="single"/>
    </w:rPr>
  </w:style>
  <w:style w:type="paragraph" w:customStyle="1" w:styleId="CharCharCharChar">
    <w:name w:val=" Char Char Char Char"/>
    <w:basedOn w:val="a"/>
    <w:autoRedefine/>
    <w:rsid w:val="00F41E4C"/>
    <w:pPr>
      <w:tabs>
        <w:tab w:val="num" w:pos="360"/>
      </w:tabs>
    </w:pPr>
    <w:rPr>
      <w:sz w:val="24"/>
    </w:rPr>
  </w:style>
  <w:style w:type="table" w:styleId="a8">
    <w:name w:val="Table Grid"/>
    <w:basedOn w:val="a1"/>
    <w:rsid w:val="005C5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-2">
    <w:name w:val="Medium Grid 1 Accent 2"/>
    <w:basedOn w:val="a"/>
    <w:uiPriority w:val="34"/>
    <w:qFormat/>
    <w:rsid w:val="00F76045"/>
    <w:pPr>
      <w:ind w:firstLineChars="200" w:firstLine="420"/>
    </w:pPr>
    <w:rPr>
      <w:szCs w:val="20"/>
    </w:rPr>
  </w:style>
  <w:style w:type="paragraph" w:customStyle="1" w:styleId="080318">
    <w:name w:val="产品方案正文080318"/>
    <w:basedOn w:val="a"/>
    <w:rsid w:val="003F3E54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20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17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CDCDCD"/>
                                <w:left w:val="single" w:sz="6" w:space="14" w:color="CDCDCD"/>
                                <w:bottom w:val="single" w:sz="6" w:space="14" w:color="CDCDCD"/>
                                <w:right w:val="single" w:sz="6" w:space="14" w:color="CDCDCD"/>
                              </w:divBdr>
                              <w:divsChild>
                                <w:div w:id="20758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60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2468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CDCDCD"/>
                                <w:left w:val="single" w:sz="6" w:space="14" w:color="CDCDCD"/>
                                <w:bottom w:val="single" w:sz="6" w:space="14" w:color="CDCDCD"/>
                                <w:right w:val="single" w:sz="6" w:space="14" w:color="CDCDCD"/>
                              </w:divBdr>
                              <w:divsChild>
                                <w:div w:id="1503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hfund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5B2D-D6B4-428F-9924-14CDF72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4</DocSecurity>
  <Lines>18</Lines>
  <Paragraphs>5</Paragraphs>
  <ScaleCrop>false</ScaleCrop>
  <Company>Microsoft</Company>
  <LinksUpToDate>false</LinksUpToDate>
  <CharactersWithSpaces>2564</CharactersWithSpaces>
  <SharedDoc>false</SharedDoc>
  <HLinks>
    <vt:vector size="12" baseType="variant"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http://www.yhfund.com.cn/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http://www.bankcomm.com/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lism</dc:creator>
  <cp:keywords/>
  <cp:lastModifiedBy>ZHONGM</cp:lastModifiedBy>
  <cp:revision>2</cp:revision>
  <cp:lastPrinted>2014-01-02T06:17:00Z</cp:lastPrinted>
  <dcterms:created xsi:type="dcterms:W3CDTF">2020-06-29T16:02:00Z</dcterms:created>
  <dcterms:modified xsi:type="dcterms:W3CDTF">2020-06-29T16:02:00Z</dcterms:modified>
</cp:coreProperties>
</file>