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B4" w:rsidRDefault="003304FE" w:rsidP="00FF7A33">
      <w:pPr>
        <w:widowControl/>
        <w:spacing w:line="360" w:lineRule="auto"/>
        <w:jc w:val="center"/>
        <w:rPr>
          <w:rFonts w:ascii="仿宋" w:eastAsia="仿宋" w:hAnsi="仿宋" w:cs="宋体"/>
          <w:b/>
          <w:color w:val="000000"/>
          <w:kern w:val="0"/>
          <w:sz w:val="28"/>
          <w:szCs w:val="28"/>
        </w:rPr>
      </w:pPr>
      <w:r w:rsidRPr="00A426A3">
        <w:rPr>
          <w:rFonts w:ascii="仿宋" w:eastAsia="仿宋" w:hAnsi="仿宋" w:cs="宋体" w:hint="eastAsia"/>
          <w:b/>
          <w:color w:val="000000"/>
          <w:kern w:val="0"/>
          <w:sz w:val="28"/>
          <w:szCs w:val="28"/>
        </w:rPr>
        <w:t>泰信基金管理有限公司</w:t>
      </w:r>
    </w:p>
    <w:p w:rsidR="00452DBE" w:rsidRPr="00A426A3" w:rsidRDefault="003304FE" w:rsidP="00FF7A33">
      <w:pPr>
        <w:widowControl/>
        <w:spacing w:line="360" w:lineRule="auto"/>
        <w:jc w:val="center"/>
        <w:rPr>
          <w:rFonts w:ascii="仿宋" w:eastAsia="仿宋" w:hAnsi="仿宋" w:cs="宋体"/>
          <w:b/>
          <w:color w:val="000000"/>
          <w:kern w:val="0"/>
          <w:sz w:val="28"/>
          <w:szCs w:val="28"/>
        </w:rPr>
      </w:pPr>
      <w:r w:rsidRPr="00A426A3">
        <w:rPr>
          <w:rFonts w:ascii="仿宋" w:eastAsia="仿宋" w:hAnsi="仿宋" w:cs="宋体" w:hint="eastAsia"/>
          <w:b/>
          <w:color w:val="000000"/>
          <w:kern w:val="0"/>
          <w:sz w:val="28"/>
          <w:szCs w:val="28"/>
        </w:rPr>
        <w:t>关于旗下部分</w:t>
      </w:r>
      <w:r w:rsidR="00452DBE" w:rsidRPr="00A426A3">
        <w:rPr>
          <w:rFonts w:ascii="仿宋" w:eastAsia="仿宋" w:hAnsi="仿宋" w:cs="宋体" w:hint="eastAsia"/>
          <w:b/>
          <w:color w:val="000000"/>
          <w:kern w:val="0"/>
          <w:sz w:val="28"/>
          <w:szCs w:val="28"/>
        </w:rPr>
        <w:t>开放式</w:t>
      </w:r>
      <w:r w:rsidRPr="00A426A3">
        <w:rPr>
          <w:rFonts w:ascii="仿宋" w:eastAsia="仿宋" w:hAnsi="仿宋" w:cs="宋体" w:hint="eastAsia"/>
          <w:b/>
          <w:color w:val="000000"/>
          <w:kern w:val="0"/>
          <w:sz w:val="28"/>
          <w:szCs w:val="28"/>
        </w:rPr>
        <w:t>基金参加</w:t>
      </w:r>
      <w:r w:rsidR="00297312" w:rsidRPr="00A426A3">
        <w:rPr>
          <w:rFonts w:ascii="仿宋" w:eastAsia="仿宋" w:hAnsi="仿宋" w:cs="宋体" w:hint="eastAsia"/>
          <w:b/>
          <w:color w:val="000000"/>
          <w:kern w:val="0"/>
          <w:sz w:val="28"/>
          <w:szCs w:val="28"/>
        </w:rPr>
        <w:t>交通</w:t>
      </w:r>
      <w:r w:rsidRPr="00A426A3">
        <w:rPr>
          <w:rFonts w:ascii="仿宋" w:eastAsia="仿宋" w:hAnsi="仿宋" w:cs="宋体" w:hint="eastAsia"/>
          <w:b/>
          <w:color w:val="000000"/>
          <w:kern w:val="0"/>
          <w:sz w:val="28"/>
          <w:szCs w:val="28"/>
        </w:rPr>
        <w:t>银行</w:t>
      </w:r>
      <w:r w:rsidR="00452DBE" w:rsidRPr="00A426A3">
        <w:rPr>
          <w:rFonts w:ascii="仿宋" w:eastAsia="仿宋" w:hAnsi="仿宋" w:cs="宋体" w:hint="eastAsia"/>
          <w:b/>
          <w:color w:val="000000"/>
          <w:kern w:val="0"/>
          <w:sz w:val="28"/>
          <w:szCs w:val="28"/>
        </w:rPr>
        <w:t>股份有限公司</w:t>
      </w:r>
    </w:p>
    <w:p w:rsidR="00F77B28" w:rsidRPr="00A426A3" w:rsidRDefault="003304FE" w:rsidP="00FF7A33">
      <w:pPr>
        <w:widowControl/>
        <w:spacing w:line="360" w:lineRule="auto"/>
        <w:jc w:val="center"/>
        <w:rPr>
          <w:rFonts w:ascii="仿宋" w:eastAsia="仿宋" w:hAnsi="仿宋" w:cs="宋体"/>
          <w:b/>
          <w:color w:val="000000"/>
          <w:kern w:val="0"/>
          <w:sz w:val="28"/>
          <w:szCs w:val="28"/>
        </w:rPr>
      </w:pPr>
      <w:r w:rsidRPr="00A426A3">
        <w:rPr>
          <w:rFonts w:ascii="仿宋" w:eastAsia="仿宋" w:hAnsi="仿宋" w:cs="宋体" w:hint="eastAsia"/>
          <w:b/>
          <w:color w:val="000000"/>
          <w:kern w:val="0"/>
          <w:sz w:val="28"/>
          <w:szCs w:val="28"/>
        </w:rPr>
        <w:t>手机银行申购</w:t>
      </w:r>
      <w:r w:rsidR="00BF5537">
        <w:rPr>
          <w:rFonts w:ascii="仿宋" w:eastAsia="仿宋" w:hAnsi="仿宋" w:cs="宋体" w:hint="eastAsia"/>
          <w:b/>
          <w:color w:val="000000"/>
          <w:kern w:val="0"/>
          <w:sz w:val="28"/>
          <w:szCs w:val="28"/>
        </w:rPr>
        <w:t>及</w:t>
      </w:r>
      <w:r w:rsidR="0088092D" w:rsidRPr="00A426A3">
        <w:rPr>
          <w:rFonts w:ascii="仿宋" w:eastAsia="仿宋" w:hAnsi="仿宋" w:cs="宋体" w:hint="eastAsia"/>
          <w:b/>
          <w:color w:val="000000"/>
          <w:kern w:val="0"/>
          <w:sz w:val="28"/>
          <w:szCs w:val="28"/>
        </w:rPr>
        <w:t>定投</w:t>
      </w:r>
      <w:r w:rsidR="00C47556" w:rsidRPr="00A426A3">
        <w:rPr>
          <w:rFonts w:ascii="仿宋" w:eastAsia="仿宋" w:hAnsi="仿宋" w:cs="宋体" w:hint="eastAsia"/>
          <w:b/>
          <w:bCs/>
          <w:kern w:val="0"/>
          <w:sz w:val="28"/>
          <w:szCs w:val="28"/>
        </w:rPr>
        <w:t>费</w:t>
      </w:r>
      <w:r w:rsidRPr="00A426A3">
        <w:rPr>
          <w:rFonts w:ascii="仿宋" w:eastAsia="仿宋" w:hAnsi="仿宋" w:cs="宋体" w:hint="eastAsia"/>
          <w:b/>
          <w:bCs/>
          <w:kern w:val="0"/>
          <w:sz w:val="28"/>
          <w:szCs w:val="28"/>
        </w:rPr>
        <w:t>率优惠</w:t>
      </w:r>
      <w:r w:rsidR="00DF1EB4">
        <w:rPr>
          <w:rFonts w:ascii="仿宋" w:eastAsia="仿宋" w:hAnsi="仿宋" w:cs="宋体" w:hint="eastAsia"/>
          <w:b/>
          <w:bCs/>
          <w:kern w:val="0"/>
          <w:sz w:val="28"/>
          <w:szCs w:val="28"/>
        </w:rPr>
        <w:t>活动</w:t>
      </w:r>
      <w:r w:rsidR="00DF1EB4">
        <w:rPr>
          <w:rFonts w:ascii="仿宋" w:eastAsia="仿宋" w:hAnsi="仿宋" w:cs="宋体" w:hint="eastAsia"/>
          <w:b/>
          <w:color w:val="000000"/>
          <w:kern w:val="0"/>
          <w:sz w:val="28"/>
          <w:szCs w:val="28"/>
        </w:rPr>
        <w:t>的公告</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经泰信基金管理有限公司（以下简称“本公司”）与</w:t>
      </w:r>
      <w:r w:rsidR="00297312" w:rsidRPr="00A426A3">
        <w:rPr>
          <w:rFonts w:ascii="仿宋" w:eastAsia="仿宋" w:hAnsi="仿宋" w:cs="仿宋_GB2312" w:hint="eastAsia"/>
          <w:kern w:val="0"/>
          <w:sz w:val="28"/>
          <w:szCs w:val="28"/>
        </w:rPr>
        <w:t>交通</w:t>
      </w:r>
      <w:r w:rsidRPr="00A426A3">
        <w:rPr>
          <w:rFonts w:ascii="仿宋" w:eastAsia="仿宋" w:hAnsi="仿宋" w:cs="仿宋_GB2312" w:hint="eastAsia"/>
          <w:kern w:val="0"/>
          <w:sz w:val="28"/>
          <w:szCs w:val="28"/>
        </w:rPr>
        <w:t>银行股份有限公司（以下简称“</w:t>
      </w:r>
      <w:r w:rsidR="00297312" w:rsidRPr="00A426A3">
        <w:rPr>
          <w:rFonts w:ascii="仿宋" w:eastAsia="仿宋" w:hAnsi="仿宋" w:cs="仿宋_GB2312" w:hint="eastAsia"/>
          <w:kern w:val="0"/>
          <w:sz w:val="28"/>
          <w:szCs w:val="28"/>
        </w:rPr>
        <w:t>交通银行</w:t>
      </w:r>
      <w:r w:rsidRPr="00A426A3">
        <w:rPr>
          <w:rFonts w:ascii="仿宋" w:eastAsia="仿宋" w:hAnsi="仿宋" w:cs="仿宋_GB2312" w:hint="eastAsia"/>
          <w:kern w:val="0"/>
          <w:sz w:val="28"/>
          <w:szCs w:val="28"/>
        </w:rPr>
        <w:t>”）协商，</w:t>
      </w:r>
      <w:bookmarkStart w:id="0" w:name="_GoBack"/>
      <w:r w:rsidR="00CB62B8">
        <w:rPr>
          <w:rFonts w:ascii="仿宋" w:eastAsia="仿宋" w:hAnsi="仿宋" w:cs="仿宋_GB2312" w:hint="eastAsia"/>
          <w:kern w:val="0"/>
          <w:sz w:val="28"/>
          <w:szCs w:val="28"/>
        </w:rPr>
        <w:t>2020</w:t>
      </w:r>
      <w:r w:rsidR="00DF1EB4" w:rsidRPr="00DF1EB4">
        <w:rPr>
          <w:rFonts w:ascii="仿宋" w:eastAsia="仿宋" w:hAnsi="仿宋" w:cs="仿宋_GB2312" w:hint="eastAsia"/>
          <w:kern w:val="0"/>
          <w:sz w:val="28"/>
          <w:szCs w:val="28"/>
        </w:rPr>
        <w:t>年</w:t>
      </w:r>
      <w:r w:rsidR="00CB62B8">
        <w:rPr>
          <w:rFonts w:ascii="仿宋" w:eastAsia="仿宋" w:hAnsi="仿宋" w:cs="仿宋_GB2312" w:hint="eastAsia"/>
          <w:kern w:val="0"/>
          <w:sz w:val="28"/>
          <w:szCs w:val="28"/>
        </w:rPr>
        <w:t>7</w:t>
      </w:r>
      <w:r w:rsidR="00DF1EB4" w:rsidRPr="00DF1EB4">
        <w:rPr>
          <w:rFonts w:ascii="仿宋" w:eastAsia="仿宋" w:hAnsi="仿宋" w:cs="仿宋_GB2312" w:hint="eastAsia"/>
          <w:kern w:val="0"/>
          <w:sz w:val="28"/>
          <w:szCs w:val="28"/>
        </w:rPr>
        <w:t>月1日00:00至</w:t>
      </w:r>
      <w:r w:rsidR="00CB62B8">
        <w:rPr>
          <w:rFonts w:ascii="仿宋" w:eastAsia="仿宋" w:hAnsi="仿宋" w:cs="仿宋_GB2312" w:hint="eastAsia"/>
          <w:kern w:val="0"/>
          <w:sz w:val="28"/>
          <w:szCs w:val="28"/>
        </w:rPr>
        <w:t>2020</w:t>
      </w:r>
      <w:r w:rsidR="00DF1EB4" w:rsidRPr="00DF1EB4">
        <w:rPr>
          <w:rFonts w:ascii="仿宋" w:eastAsia="仿宋" w:hAnsi="仿宋" w:cs="仿宋_GB2312" w:hint="eastAsia"/>
          <w:kern w:val="0"/>
          <w:sz w:val="28"/>
          <w:szCs w:val="28"/>
        </w:rPr>
        <w:t>年</w:t>
      </w:r>
      <w:r w:rsidR="00B06B49">
        <w:rPr>
          <w:rFonts w:ascii="仿宋" w:eastAsia="仿宋" w:hAnsi="仿宋" w:cs="仿宋_GB2312" w:hint="eastAsia"/>
          <w:kern w:val="0"/>
          <w:sz w:val="28"/>
          <w:szCs w:val="28"/>
        </w:rPr>
        <w:t>12</w:t>
      </w:r>
      <w:r w:rsidR="00DF1EB4" w:rsidRPr="00DF1EB4">
        <w:rPr>
          <w:rFonts w:ascii="仿宋" w:eastAsia="仿宋" w:hAnsi="仿宋" w:cs="仿宋_GB2312" w:hint="eastAsia"/>
          <w:kern w:val="0"/>
          <w:sz w:val="28"/>
          <w:szCs w:val="28"/>
        </w:rPr>
        <w:t>月</w:t>
      </w:r>
      <w:r w:rsidR="009948FD">
        <w:rPr>
          <w:rFonts w:ascii="仿宋" w:eastAsia="仿宋" w:hAnsi="仿宋" w:cs="仿宋_GB2312" w:hint="eastAsia"/>
          <w:kern w:val="0"/>
          <w:sz w:val="28"/>
          <w:szCs w:val="28"/>
        </w:rPr>
        <w:t>31</w:t>
      </w:r>
      <w:r w:rsidR="00DF1EB4" w:rsidRPr="00DF1EB4">
        <w:rPr>
          <w:rFonts w:ascii="仿宋" w:eastAsia="仿宋" w:hAnsi="仿宋" w:cs="仿宋_GB2312" w:hint="eastAsia"/>
          <w:kern w:val="0"/>
          <w:sz w:val="28"/>
          <w:szCs w:val="28"/>
        </w:rPr>
        <w:t>日24:00</w:t>
      </w:r>
      <w:r w:rsidR="0088092D" w:rsidRPr="00A426A3">
        <w:rPr>
          <w:rFonts w:ascii="仿宋" w:eastAsia="仿宋" w:hAnsi="仿宋" w:cs="仿宋_GB2312" w:hint="eastAsia"/>
          <w:kern w:val="0"/>
          <w:sz w:val="28"/>
          <w:szCs w:val="28"/>
        </w:rPr>
        <w:t>期间</w:t>
      </w:r>
      <w:r w:rsidR="00297312" w:rsidRPr="00A426A3">
        <w:rPr>
          <w:rFonts w:ascii="仿宋" w:eastAsia="仿宋" w:hAnsi="仿宋" w:cs="仿宋_GB2312" w:hint="eastAsia"/>
          <w:kern w:val="0"/>
          <w:sz w:val="28"/>
          <w:szCs w:val="28"/>
        </w:rPr>
        <w:t>，</w:t>
      </w:r>
      <w:r w:rsidRPr="00A426A3">
        <w:rPr>
          <w:rFonts w:ascii="仿宋" w:eastAsia="仿宋" w:hAnsi="仿宋" w:cs="仿宋_GB2312" w:hint="eastAsia"/>
          <w:kern w:val="0"/>
          <w:sz w:val="28"/>
          <w:szCs w:val="28"/>
        </w:rPr>
        <w:t>本公司旗下部分</w:t>
      </w:r>
      <w:r w:rsidR="00452DBE" w:rsidRPr="00A426A3">
        <w:rPr>
          <w:rFonts w:ascii="仿宋" w:eastAsia="仿宋" w:hAnsi="仿宋" w:cs="仿宋_GB2312" w:hint="eastAsia"/>
          <w:kern w:val="0"/>
          <w:sz w:val="28"/>
          <w:szCs w:val="28"/>
        </w:rPr>
        <w:t>开放式</w:t>
      </w:r>
      <w:r w:rsidRPr="00A426A3">
        <w:rPr>
          <w:rFonts w:ascii="仿宋" w:eastAsia="仿宋" w:hAnsi="仿宋" w:cs="仿宋_GB2312" w:hint="eastAsia"/>
          <w:kern w:val="0"/>
          <w:sz w:val="28"/>
          <w:szCs w:val="28"/>
        </w:rPr>
        <w:t>基金参加</w:t>
      </w:r>
      <w:r w:rsidR="00297312" w:rsidRPr="00A426A3">
        <w:rPr>
          <w:rFonts w:ascii="仿宋" w:eastAsia="仿宋" w:hAnsi="仿宋" w:cs="仿宋_GB2312" w:hint="eastAsia"/>
          <w:kern w:val="0"/>
          <w:sz w:val="28"/>
          <w:szCs w:val="28"/>
        </w:rPr>
        <w:t>交通银行</w:t>
      </w:r>
      <w:r w:rsidRPr="00A426A3">
        <w:rPr>
          <w:rFonts w:ascii="仿宋" w:eastAsia="仿宋" w:hAnsi="仿宋" w:cs="仿宋_GB2312" w:hint="eastAsia"/>
          <w:kern w:val="0"/>
          <w:sz w:val="28"/>
          <w:szCs w:val="28"/>
        </w:rPr>
        <w:t>手机银行申购</w:t>
      </w:r>
      <w:r w:rsidR="0088092D" w:rsidRPr="00A426A3">
        <w:rPr>
          <w:rFonts w:ascii="仿宋" w:eastAsia="仿宋" w:hAnsi="仿宋" w:cs="仿宋_GB2312" w:hint="eastAsia"/>
          <w:kern w:val="0"/>
          <w:sz w:val="28"/>
          <w:szCs w:val="28"/>
        </w:rPr>
        <w:t>及定投</w:t>
      </w:r>
      <w:r w:rsidR="00CF1E2C" w:rsidRPr="00A426A3">
        <w:rPr>
          <w:rFonts w:ascii="仿宋" w:eastAsia="仿宋" w:hAnsi="仿宋" w:cs="仿宋_GB2312" w:hint="eastAsia"/>
          <w:kern w:val="0"/>
          <w:sz w:val="28"/>
          <w:szCs w:val="28"/>
        </w:rPr>
        <w:t>费</w:t>
      </w:r>
      <w:r w:rsidRPr="00A426A3">
        <w:rPr>
          <w:rFonts w:ascii="仿宋" w:eastAsia="仿宋" w:hAnsi="仿宋" w:cs="仿宋_GB2312" w:hint="eastAsia"/>
          <w:kern w:val="0"/>
          <w:sz w:val="28"/>
          <w:szCs w:val="28"/>
        </w:rPr>
        <w:t>率优惠活动</w:t>
      </w:r>
      <w:bookmarkEnd w:id="0"/>
      <w:r w:rsidR="00DF1EB4" w:rsidRPr="00DF1EB4">
        <w:rPr>
          <w:rFonts w:ascii="仿宋" w:eastAsia="仿宋" w:hAnsi="仿宋" w:cs="仿宋_GB2312" w:hint="eastAsia"/>
          <w:kern w:val="0"/>
          <w:sz w:val="28"/>
          <w:szCs w:val="28"/>
        </w:rPr>
        <w:t>，</w:t>
      </w:r>
      <w:r w:rsidRPr="00A426A3">
        <w:rPr>
          <w:rFonts w:ascii="仿宋" w:eastAsia="仿宋" w:hAnsi="仿宋" w:cs="仿宋_GB2312" w:hint="eastAsia"/>
          <w:kern w:val="0"/>
          <w:sz w:val="28"/>
          <w:szCs w:val="28"/>
        </w:rPr>
        <w:t>现将具体事项公告如下：</w:t>
      </w:r>
    </w:p>
    <w:p w:rsidR="003304FE" w:rsidRPr="00A426A3" w:rsidRDefault="003304FE" w:rsidP="00D96A9C">
      <w:pPr>
        <w:autoSpaceDE w:val="0"/>
        <w:autoSpaceDN w:val="0"/>
        <w:adjustRightInd w:val="0"/>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一、适用基金</w:t>
      </w:r>
    </w:p>
    <w:tbl>
      <w:tblPr>
        <w:tblW w:w="7103" w:type="dxa"/>
        <w:jc w:val="center"/>
        <w:tblLook w:val="04A0"/>
      </w:tblPr>
      <w:tblGrid>
        <w:gridCol w:w="2641"/>
        <w:gridCol w:w="2434"/>
        <w:gridCol w:w="2028"/>
      </w:tblGrid>
      <w:tr w:rsidR="00BF5537" w:rsidRPr="00A426A3" w:rsidTr="00BF5537">
        <w:trPr>
          <w:trHeight w:val="419"/>
          <w:jc w:val="center"/>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基金名称</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基金代码</w:t>
            </w:r>
          </w:p>
        </w:tc>
        <w:tc>
          <w:tcPr>
            <w:tcW w:w="2028" w:type="dxa"/>
            <w:tcBorders>
              <w:top w:val="single" w:sz="4" w:space="0" w:color="auto"/>
              <w:left w:val="nil"/>
              <w:bottom w:val="single" w:sz="4" w:space="0" w:color="auto"/>
              <w:right w:val="single" w:sz="4" w:space="0" w:color="auto"/>
            </w:tcBorders>
            <w:vAlign w:val="center"/>
          </w:tcPr>
          <w:p w:rsidR="00BF5537" w:rsidRPr="00A426A3" w:rsidRDefault="00BF5537" w:rsidP="00BF553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定投开通情况</w:t>
            </w:r>
          </w:p>
        </w:tc>
      </w:tr>
      <w:tr w:rsidR="00BF5537" w:rsidRPr="00A426A3" w:rsidTr="00BF5537">
        <w:trPr>
          <w:trHeight w:val="285"/>
          <w:jc w:val="center"/>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泰信先行策略</w:t>
            </w:r>
          </w:p>
        </w:tc>
        <w:tc>
          <w:tcPr>
            <w:tcW w:w="2434" w:type="dxa"/>
            <w:tcBorders>
              <w:top w:val="nil"/>
              <w:left w:val="nil"/>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290002</w:t>
            </w:r>
          </w:p>
        </w:tc>
        <w:tc>
          <w:tcPr>
            <w:tcW w:w="2028" w:type="dxa"/>
            <w:vMerge w:val="restart"/>
            <w:tcBorders>
              <w:top w:val="nil"/>
              <w:left w:val="nil"/>
              <w:right w:val="single" w:sz="4" w:space="0" w:color="auto"/>
            </w:tcBorders>
            <w:vAlign w:val="center"/>
          </w:tcPr>
          <w:p w:rsidR="00BF5537" w:rsidRPr="00A426A3" w:rsidRDefault="00BF5537" w:rsidP="00BF553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开通</w:t>
            </w:r>
          </w:p>
        </w:tc>
      </w:tr>
      <w:tr w:rsidR="00BF5537" w:rsidRPr="00A426A3" w:rsidTr="00BF5537">
        <w:trPr>
          <w:trHeight w:val="285"/>
          <w:jc w:val="center"/>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泰信优质生活</w:t>
            </w:r>
          </w:p>
        </w:tc>
        <w:tc>
          <w:tcPr>
            <w:tcW w:w="2434" w:type="dxa"/>
            <w:tcBorders>
              <w:top w:val="nil"/>
              <w:left w:val="nil"/>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290004</w:t>
            </w:r>
          </w:p>
        </w:tc>
        <w:tc>
          <w:tcPr>
            <w:tcW w:w="2028" w:type="dxa"/>
            <w:vMerge/>
            <w:tcBorders>
              <w:left w:val="nil"/>
              <w:right w:val="single" w:sz="4" w:space="0" w:color="auto"/>
            </w:tcBorders>
            <w:vAlign w:val="center"/>
          </w:tcPr>
          <w:p w:rsidR="00BF5537" w:rsidRPr="00A426A3" w:rsidRDefault="00BF5537" w:rsidP="00BF5537">
            <w:pPr>
              <w:widowControl/>
              <w:jc w:val="center"/>
              <w:rPr>
                <w:rFonts w:ascii="仿宋" w:eastAsia="仿宋" w:hAnsi="仿宋" w:cs="宋体"/>
                <w:color w:val="000000"/>
                <w:kern w:val="0"/>
                <w:sz w:val="24"/>
                <w:szCs w:val="24"/>
              </w:rPr>
            </w:pPr>
          </w:p>
        </w:tc>
      </w:tr>
      <w:tr w:rsidR="00BF5537" w:rsidRPr="00A426A3" w:rsidTr="00BF5537">
        <w:trPr>
          <w:trHeight w:val="285"/>
          <w:jc w:val="center"/>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泰信优势增长</w:t>
            </w:r>
          </w:p>
        </w:tc>
        <w:tc>
          <w:tcPr>
            <w:tcW w:w="2434" w:type="dxa"/>
            <w:tcBorders>
              <w:top w:val="nil"/>
              <w:left w:val="nil"/>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290005</w:t>
            </w:r>
          </w:p>
        </w:tc>
        <w:tc>
          <w:tcPr>
            <w:tcW w:w="2028" w:type="dxa"/>
            <w:vMerge/>
            <w:tcBorders>
              <w:left w:val="nil"/>
              <w:right w:val="single" w:sz="4" w:space="0" w:color="auto"/>
            </w:tcBorders>
            <w:vAlign w:val="center"/>
          </w:tcPr>
          <w:p w:rsidR="00BF5537" w:rsidRPr="00A426A3" w:rsidRDefault="00BF5537" w:rsidP="00BF5537">
            <w:pPr>
              <w:widowControl/>
              <w:jc w:val="center"/>
              <w:rPr>
                <w:rFonts w:ascii="仿宋" w:eastAsia="仿宋" w:hAnsi="仿宋" w:cs="宋体"/>
                <w:color w:val="000000"/>
                <w:kern w:val="0"/>
                <w:sz w:val="24"/>
                <w:szCs w:val="24"/>
              </w:rPr>
            </w:pPr>
          </w:p>
        </w:tc>
      </w:tr>
      <w:tr w:rsidR="00BF5537" w:rsidRPr="00A426A3" w:rsidTr="00BF5537">
        <w:trPr>
          <w:trHeight w:val="285"/>
          <w:jc w:val="center"/>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泰信蓝筹精选</w:t>
            </w:r>
          </w:p>
        </w:tc>
        <w:tc>
          <w:tcPr>
            <w:tcW w:w="2434" w:type="dxa"/>
            <w:tcBorders>
              <w:top w:val="nil"/>
              <w:left w:val="nil"/>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290006</w:t>
            </w:r>
          </w:p>
        </w:tc>
        <w:tc>
          <w:tcPr>
            <w:tcW w:w="2028" w:type="dxa"/>
            <w:vMerge/>
            <w:tcBorders>
              <w:left w:val="nil"/>
              <w:right w:val="single" w:sz="4" w:space="0" w:color="auto"/>
            </w:tcBorders>
            <w:vAlign w:val="center"/>
          </w:tcPr>
          <w:p w:rsidR="00BF5537" w:rsidRPr="00A426A3" w:rsidRDefault="00BF5537" w:rsidP="00BF5537">
            <w:pPr>
              <w:widowControl/>
              <w:jc w:val="center"/>
              <w:rPr>
                <w:rFonts w:ascii="仿宋" w:eastAsia="仿宋" w:hAnsi="仿宋" w:cs="宋体"/>
                <w:color w:val="000000"/>
                <w:kern w:val="0"/>
                <w:sz w:val="24"/>
                <w:szCs w:val="24"/>
              </w:rPr>
            </w:pPr>
          </w:p>
        </w:tc>
      </w:tr>
      <w:tr w:rsidR="00BF5537" w:rsidRPr="00A426A3" w:rsidTr="00BF5537">
        <w:trPr>
          <w:trHeight w:val="183"/>
          <w:jc w:val="center"/>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泰信增强收益</w:t>
            </w:r>
          </w:p>
        </w:tc>
        <w:tc>
          <w:tcPr>
            <w:tcW w:w="2434" w:type="dxa"/>
            <w:tcBorders>
              <w:top w:val="nil"/>
              <w:left w:val="nil"/>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A类：290007</w:t>
            </w:r>
          </w:p>
        </w:tc>
        <w:tc>
          <w:tcPr>
            <w:tcW w:w="2028" w:type="dxa"/>
            <w:vMerge/>
            <w:tcBorders>
              <w:left w:val="nil"/>
              <w:right w:val="single" w:sz="4" w:space="0" w:color="auto"/>
            </w:tcBorders>
            <w:vAlign w:val="center"/>
          </w:tcPr>
          <w:p w:rsidR="00BF5537" w:rsidRPr="00A426A3" w:rsidRDefault="00BF5537" w:rsidP="00BF5537">
            <w:pPr>
              <w:widowControl/>
              <w:jc w:val="center"/>
              <w:rPr>
                <w:rFonts w:ascii="仿宋" w:eastAsia="仿宋" w:hAnsi="仿宋" w:cs="宋体"/>
                <w:color w:val="000000"/>
                <w:kern w:val="0"/>
                <w:sz w:val="24"/>
                <w:szCs w:val="24"/>
              </w:rPr>
            </w:pPr>
          </w:p>
        </w:tc>
      </w:tr>
      <w:tr w:rsidR="00BF5537" w:rsidRPr="00A426A3" w:rsidTr="00BF5537">
        <w:trPr>
          <w:trHeight w:val="285"/>
          <w:jc w:val="center"/>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泰信发展主题</w:t>
            </w:r>
          </w:p>
        </w:tc>
        <w:tc>
          <w:tcPr>
            <w:tcW w:w="2434" w:type="dxa"/>
            <w:tcBorders>
              <w:top w:val="nil"/>
              <w:left w:val="nil"/>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290008</w:t>
            </w:r>
          </w:p>
        </w:tc>
        <w:tc>
          <w:tcPr>
            <w:tcW w:w="2028" w:type="dxa"/>
            <w:vMerge/>
            <w:tcBorders>
              <w:left w:val="nil"/>
              <w:right w:val="single" w:sz="4" w:space="0" w:color="auto"/>
            </w:tcBorders>
            <w:vAlign w:val="center"/>
          </w:tcPr>
          <w:p w:rsidR="00BF5537" w:rsidRPr="00A426A3" w:rsidRDefault="00BF5537" w:rsidP="00BF5537">
            <w:pPr>
              <w:widowControl/>
              <w:jc w:val="center"/>
              <w:rPr>
                <w:rFonts w:ascii="仿宋" w:eastAsia="仿宋" w:hAnsi="仿宋" w:cs="宋体"/>
                <w:color w:val="000000"/>
                <w:kern w:val="0"/>
                <w:sz w:val="24"/>
                <w:szCs w:val="24"/>
              </w:rPr>
            </w:pPr>
          </w:p>
        </w:tc>
      </w:tr>
      <w:tr w:rsidR="00BF5537" w:rsidRPr="00A426A3" w:rsidTr="00BF5537">
        <w:trPr>
          <w:trHeight w:val="285"/>
          <w:jc w:val="center"/>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泰信周期回报</w:t>
            </w:r>
          </w:p>
        </w:tc>
        <w:tc>
          <w:tcPr>
            <w:tcW w:w="2434" w:type="dxa"/>
            <w:tcBorders>
              <w:top w:val="nil"/>
              <w:left w:val="nil"/>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290009</w:t>
            </w:r>
          </w:p>
        </w:tc>
        <w:tc>
          <w:tcPr>
            <w:tcW w:w="2028" w:type="dxa"/>
            <w:vMerge/>
            <w:tcBorders>
              <w:left w:val="nil"/>
              <w:right w:val="single" w:sz="4" w:space="0" w:color="auto"/>
            </w:tcBorders>
            <w:vAlign w:val="center"/>
          </w:tcPr>
          <w:p w:rsidR="00BF5537" w:rsidRPr="00A426A3" w:rsidRDefault="00BF5537" w:rsidP="00BF5537">
            <w:pPr>
              <w:widowControl/>
              <w:jc w:val="center"/>
              <w:rPr>
                <w:rFonts w:ascii="仿宋" w:eastAsia="仿宋" w:hAnsi="仿宋" w:cs="宋体"/>
                <w:color w:val="000000"/>
                <w:kern w:val="0"/>
                <w:sz w:val="24"/>
                <w:szCs w:val="24"/>
              </w:rPr>
            </w:pPr>
          </w:p>
        </w:tc>
      </w:tr>
      <w:tr w:rsidR="00BF5537" w:rsidRPr="00A426A3" w:rsidTr="00BF5537">
        <w:trPr>
          <w:trHeight w:val="285"/>
          <w:jc w:val="center"/>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泰信中证200</w:t>
            </w:r>
          </w:p>
        </w:tc>
        <w:tc>
          <w:tcPr>
            <w:tcW w:w="2434" w:type="dxa"/>
            <w:tcBorders>
              <w:top w:val="nil"/>
              <w:left w:val="nil"/>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290010</w:t>
            </w:r>
          </w:p>
        </w:tc>
        <w:tc>
          <w:tcPr>
            <w:tcW w:w="2028" w:type="dxa"/>
            <w:vMerge/>
            <w:tcBorders>
              <w:left w:val="nil"/>
              <w:right w:val="single" w:sz="4" w:space="0" w:color="auto"/>
            </w:tcBorders>
            <w:vAlign w:val="center"/>
          </w:tcPr>
          <w:p w:rsidR="00BF5537" w:rsidRPr="00A426A3" w:rsidRDefault="00BF5537" w:rsidP="00BF5537">
            <w:pPr>
              <w:widowControl/>
              <w:jc w:val="center"/>
              <w:rPr>
                <w:rFonts w:ascii="仿宋" w:eastAsia="仿宋" w:hAnsi="仿宋" w:cs="宋体"/>
                <w:color w:val="000000"/>
                <w:kern w:val="0"/>
                <w:sz w:val="24"/>
                <w:szCs w:val="24"/>
              </w:rPr>
            </w:pPr>
          </w:p>
        </w:tc>
      </w:tr>
      <w:tr w:rsidR="00BF5537" w:rsidRPr="00A426A3" w:rsidTr="00BF5537">
        <w:trPr>
          <w:trHeight w:val="285"/>
          <w:jc w:val="center"/>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泰信中小盘精选</w:t>
            </w:r>
          </w:p>
        </w:tc>
        <w:tc>
          <w:tcPr>
            <w:tcW w:w="2434" w:type="dxa"/>
            <w:tcBorders>
              <w:top w:val="nil"/>
              <w:left w:val="nil"/>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290011</w:t>
            </w:r>
          </w:p>
        </w:tc>
        <w:tc>
          <w:tcPr>
            <w:tcW w:w="2028" w:type="dxa"/>
            <w:vMerge/>
            <w:tcBorders>
              <w:left w:val="nil"/>
              <w:right w:val="single" w:sz="4" w:space="0" w:color="auto"/>
            </w:tcBorders>
            <w:vAlign w:val="center"/>
          </w:tcPr>
          <w:p w:rsidR="00BF5537" w:rsidRPr="00A426A3" w:rsidRDefault="00BF5537" w:rsidP="00BF5537">
            <w:pPr>
              <w:widowControl/>
              <w:jc w:val="center"/>
              <w:rPr>
                <w:rFonts w:ascii="仿宋" w:eastAsia="仿宋" w:hAnsi="仿宋" w:cs="宋体"/>
                <w:color w:val="000000"/>
                <w:kern w:val="0"/>
                <w:sz w:val="24"/>
                <w:szCs w:val="24"/>
              </w:rPr>
            </w:pPr>
          </w:p>
        </w:tc>
      </w:tr>
      <w:tr w:rsidR="00BF5537" w:rsidRPr="00A426A3" w:rsidTr="00BF5537">
        <w:trPr>
          <w:trHeight w:val="285"/>
          <w:jc w:val="center"/>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泰信行业精选</w:t>
            </w:r>
          </w:p>
        </w:tc>
        <w:tc>
          <w:tcPr>
            <w:tcW w:w="2434" w:type="dxa"/>
            <w:tcBorders>
              <w:top w:val="nil"/>
              <w:left w:val="nil"/>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A类：290012</w:t>
            </w:r>
          </w:p>
        </w:tc>
        <w:tc>
          <w:tcPr>
            <w:tcW w:w="2028" w:type="dxa"/>
            <w:vMerge/>
            <w:tcBorders>
              <w:left w:val="nil"/>
              <w:right w:val="single" w:sz="4" w:space="0" w:color="auto"/>
            </w:tcBorders>
            <w:vAlign w:val="center"/>
          </w:tcPr>
          <w:p w:rsidR="00BF5537" w:rsidRPr="00A426A3" w:rsidRDefault="00BF5537" w:rsidP="00BF5537">
            <w:pPr>
              <w:widowControl/>
              <w:jc w:val="center"/>
              <w:rPr>
                <w:rFonts w:ascii="仿宋" w:eastAsia="仿宋" w:hAnsi="仿宋" w:cs="宋体"/>
                <w:color w:val="000000"/>
                <w:kern w:val="0"/>
                <w:sz w:val="24"/>
                <w:szCs w:val="24"/>
              </w:rPr>
            </w:pPr>
          </w:p>
        </w:tc>
      </w:tr>
      <w:tr w:rsidR="00BF5537" w:rsidRPr="00A426A3" w:rsidTr="00BF5537">
        <w:trPr>
          <w:trHeight w:val="285"/>
          <w:jc w:val="center"/>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泰信现代服务业</w:t>
            </w:r>
          </w:p>
        </w:tc>
        <w:tc>
          <w:tcPr>
            <w:tcW w:w="2434" w:type="dxa"/>
            <w:tcBorders>
              <w:top w:val="nil"/>
              <w:left w:val="nil"/>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290014</w:t>
            </w:r>
          </w:p>
        </w:tc>
        <w:tc>
          <w:tcPr>
            <w:tcW w:w="2028" w:type="dxa"/>
            <w:vMerge/>
            <w:tcBorders>
              <w:left w:val="nil"/>
              <w:bottom w:val="single" w:sz="4" w:space="0" w:color="auto"/>
              <w:right w:val="single" w:sz="4" w:space="0" w:color="auto"/>
            </w:tcBorders>
            <w:vAlign w:val="center"/>
          </w:tcPr>
          <w:p w:rsidR="00BF5537" w:rsidRPr="00A426A3" w:rsidRDefault="00BF5537" w:rsidP="00BF5537">
            <w:pPr>
              <w:widowControl/>
              <w:jc w:val="center"/>
              <w:rPr>
                <w:rFonts w:ascii="仿宋" w:eastAsia="仿宋" w:hAnsi="仿宋" w:cs="宋体"/>
                <w:color w:val="000000"/>
                <w:kern w:val="0"/>
                <w:sz w:val="24"/>
                <w:szCs w:val="24"/>
              </w:rPr>
            </w:pPr>
          </w:p>
        </w:tc>
      </w:tr>
      <w:tr w:rsidR="00BF5537" w:rsidRPr="00A426A3" w:rsidTr="00BF5537">
        <w:trPr>
          <w:trHeight w:val="201"/>
          <w:jc w:val="center"/>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泰信鑫益定期</w:t>
            </w:r>
            <w:r>
              <w:rPr>
                <w:rFonts w:ascii="仿宋" w:eastAsia="仿宋" w:hAnsi="仿宋" w:cs="宋体" w:hint="eastAsia"/>
                <w:color w:val="000000"/>
                <w:kern w:val="0"/>
                <w:sz w:val="24"/>
                <w:szCs w:val="24"/>
              </w:rPr>
              <w:t>开放</w:t>
            </w:r>
          </w:p>
        </w:tc>
        <w:tc>
          <w:tcPr>
            <w:tcW w:w="2434" w:type="dxa"/>
            <w:tcBorders>
              <w:top w:val="nil"/>
              <w:left w:val="nil"/>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A类：000212</w:t>
            </w:r>
          </w:p>
        </w:tc>
        <w:tc>
          <w:tcPr>
            <w:tcW w:w="2028" w:type="dxa"/>
            <w:tcBorders>
              <w:top w:val="nil"/>
              <w:left w:val="nil"/>
              <w:bottom w:val="single" w:sz="4" w:space="0" w:color="auto"/>
              <w:right w:val="single" w:sz="4" w:space="0" w:color="auto"/>
            </w:tcBorders>
            <w:vAlign w:val="center"/>
          </w:tcPr>
          <w:p w:rsidR="00BF5537" w:rsidRPr="00A426A3" w:rsidRDefault="00CC222A" w:rsidP="00CC222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未开通</w:t>
            </w:r>
          </w:p>
        </w:tc>
      </w:tr>
      <w:tr w:rsidR="00BF5537" w:rsidRPr="00A426A3" w:rsidTr="00BF5537">
        <w:trPr>
          <w:trHeight w:val="201"/>
          <w:jc w:val="center"/>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sidRPr="00A426A3">
              <w:rPr>
                <w:rFonts w:ascii="仿宋" w:eastAsia="仿宋" w:hAnsi="仿宋" w:cs="宋体" w:hint="eastAsia"/>
                <w:color w:val="000000"/>
                <w:kern w:val="0"/>
                <w:sz w:val="24"/>
                <w:szCs w:val="24"/>
              </w:rPr>
              <w:t>泰信</w:t>
            </w:r>
            <w:r>
              <w:rPr>
                <w:rFonts w:ascii="仿宋" w:eastAsia="仿宋" w:hAnsi="仿宋" w:cs="宋体" w:hint="eastAsia"/>
                <w:color w:val="000000"/>
                <w:kern w:val="0"/>
                <w:sz w:val="24"/>
                <w:szCs w:val="24"/>
              </w:rPr>
              <w:t>竞争优选</w:t>
            </w:r>
          </w:p>
        </w:tc>
        <w:tc>
          <w:tcPr>
            <w:tcW w:w="2434" w:type="dxa"/>
            <w:tcBorders>
              <w:top w:val="nil"/>
              <w:left w:val="nil"/>
              <w:bottom w:val="single" w:sz="4" w:space="0" w:color="auto"/>
              <w:right w:val="single" w:sz="4" w:space="0" w:color="auto"/>
            </w:tcBorders>
            <w:shd w:val="clear" w:color="auto" w:fill="auto"/>
            <w:vAlign w:val="center"/>
            <w:hideMark/>
          </w:tcPr>
          <w:p w:rsidR="00BF5537" w:rsidRPr="00A426A3" w:rsidRDefault="00BF5537" w:rsidP="00BF553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005535</w:t>
            </w:r>
          </w:p>
        </w:tc>
        <w:tc>
          <w:tcPr>
            <w:tcW w:w="2028" w:type="dxa"/>
            <w:tcBorders>
              <w:top w:val="nil"/>
              <w:left w:val="nil"/>
              <w:bottom w:val="single" w:sz="4" w:space="0" w:color="auto"/>
              <w:right w:val="single" w:sz="4" w:space="0" w:color="auto"/>
            </w:tcBorders>
            <w:vAlign w:val="center"/>
          </w:tcPr>
          <w:p w:rsidR="00BF5537" w:rsidRDefault="00BF5537" w:rsidP="00BF553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开通</w:t>
            </w:r>
          </w:p>
        </w:tc>
      </w:tr>
    </w:tbl>
    <w:p w:rsidR="00C87E05" w:rsidRPr="00C87E05" w:rsidRDefault="00C87E05" w:rsidP="00C87E05">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C87E05">
        <w:rPr>
          <w:rFonts w:ascii="仿宋" w:eastAsia="仿宋" w:hAnsi="仿宋" w:cs="仿宋_GB2312" w:hint="eastAsia"/>
          <w:kern w:val="0"/>
          <w:sz w:val="24"/>
          <w:szCs w:val="24"/>
        </w:rPr>
        <w:lastRenderedPageBreak/>
        <w:t>注：泰信鑫益定期开放债券基金为定期开放式基金，本基金现处于封闭期，具体开放申购赎回时间以本公司发布相关业务公告为准。</w:t>
      </w:r>
    </w:p>
    <w:p w:rsidR="003304FE" w:rsidRPr="00A426A3" w:rsidRDefault="00C72F38"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二、</w:t>
      </w:r>
      <w:r w:rsidR="003304FE" w:rsidRPr="00A426A3">
        <w:rPr>
          <w:rFonts w:ascii="仿宋" w:eastAsia="仿宋" w:hAnsi="仿宋" w:cs="仿宋_GB2312" w:hint="eastAsia"/>
          <w:kern w:val="0"/>
          <w:sz w:val="28"/>
          <w:szCs w:val="28"/>
        </w:rPr>
        <w:t>费率优惠情况</w:t>
      </w:r>
    </w:p>
    <w:p w:rsidR="00C87E05" w:rsidRPr="00C87E05" w:rsidRDefault="00C87E05" w:rsidP="00C87E05">
      <w:pPr>
        <w:autoSpaceDE w:val="0"/>
        <w:autoSpaceDN w:val="0"/>
        <w:adjustRightInd w:val="0"/>
        <w:spacing w:line="360" w:lineRule="auto"/>
        <w:ind w:firstLineChars="200" w:firstLine="560"/>
        <w:jc w:val="left"/>
        <w:rPr>
          <w:rFonts w:ascii="仿宋" w:eastAsia="仿宋" w:hAnsi="仿宋" w:cs="宋体"/>
          <w:kern w:val="0"/>
          <w:sz w:val="28"/>
          <w:szCs w:val="28"/>
        </w:rPr>
      </w:pPr>
      <w:r w:rsidRPr="00C87E05">
        <w:rPr>
          <w:rFonts w:ascii="仿宋" w:eastAsia="仿宋" w:hAnsi="仿宋" w:cs="宋体" w:hint="eastAsia"/>
          <w:kern w:val="0"/>
          <w:sz w:val="28"/>
          <w:szCs w:val="28"/>
        </w:rPr>
        <w:t>1、费率优惠活动时间：2020年7月1日00:00至2020年12月31日24:00。</w:t>
      </w:r>
    </w:p>
    <w:p w:rsidR="00C87E05" w:rsidRPr="00C87E05" w:rsidRDefault="00C87E05" w:rsidP="00C87E05">
      <w:pPr>
        <w:autoSpaceDE w:val="0"/>
        <w:autoSpaceDN w:val="0"/>
        <w:adjustRightInd w:val="0"/>
        <w:spacing w:line="360" w:lineRule="auto"/>
        <w:ind w:firstLineChars="200" w:firstLine="560"/>
        <w:jc w:val="left"/>
        <w:rPr>
          <w:rFonts w:ascii="仿宋" w:eastAsia="仿宋" w:hAnsi="仿宋" w:cs="宋体"/>
          <w:kern w:val="0"/>
          <w:sz w:val="28"/>
          <w:szCs w:val="28"/>
        </w:rPr>
      </w:pPr>
      <w:r w:rsidRPr="00C87E05">
        <w:rPr>
          <w:rFonts w:ascii="仿宋" w:eastAsia="仿宋" w:hAnsi="仿宋" w:cs="宋体" w:hint="eastAsia"/>
          <w:kern w:val="0"/>
          <w:sz w:val="28"/>
          <w:szCs w:val="28"/>
        </w:rPr>
        <w:t>2、在费率优惠活动期间，凡已领取基金1折权益的个人投资者，通过交通银行手机银行渠道申购上述开放式基金，享受基金申购手续费率1折优惠。基金1折权益是指：在费率优惠活动期间，通过交通银行手机银行渠道领取的可享受基金申购、定投费率1折优惠的权益。</w:t>
      </w:r>
    </w:p>
    <w:p w:rsidR="003304FE" w:rsidRDefault="00C87E05" w:rsidP="00C87E05">
      <w:pPr>
        <w:autoSpaceDE w:val="0"/>
        <w:autoSpaceDN w:val="0"/>
        <w:adjustRightInd w:val="0"/>
        <w:spacing w:line="360" w:lineRule="auto"/>
        <w:ind w:firstLineChars="200" w:firstLine="560"/>
        <w:jc w:val="left"/>
        <w:rPr>
          <w:rFonts w:ascii="仿宋" w:eastAsia="仿宋" w:hAnsi="仿宋" w:cs="宋体"/>
          <w:kern w:val="0"/>
          <w:sz w:val="28"/>
          <w:szCs w:val="28"/>
        </w:rPr>
      </w:pPr>
      <w:r w:rsidRPr="00C87E05">
        <w:rPr>
          <w:rFonts w:ascii="仿宋" w:eastAsia="仿宋" w:hAnsi="仿宋" w:cs="宋体" w:hint="eastAsia"/>
          <w:kern w:val="0"/>
          <w:sz w:val="28"/>
          <w:szCs w:val="28"/>
        </w:rPr>
        <w:t>3、在费率优惠活动期间，凡已领取基金1折权益的个人投资者，通过交通银行手机银行渠道签约定投协议，并于费率优惠活动期间成功扣款的定投交易，享受定投1折费率优惠。</w:t>
      </w:r>
    </w:p>
    <w:p w:rsidR="00BF5537" w:rsidRDefault="00BF5537" w:rsidP="00BF5537">
      <w:pPr>
        <w:autoSpaceDE w:val="0"/>
        <w:autoSpaceDN w:val="0"/>
        <w:adjustRightInd w:val="0"/>
        <w:spacing w:line="360" w:lineRule="auto"/>
        <w:ind w:firstLineChars="200" w:firstLine="560"/>
        <w:jc w:val="left"/>
        <w:rPr>
          <w:rFonts w:ascii="仿宋" w:eastAsia="仿宋" w:hAnsi="仿宋" w:cs="宋体"/>
          <w:kern w:val="0"/>
          <w:sz w:val="28"/>
          <w:szCs w:val="28"/>
        </w:rPr>
      </w:pPr>
      <w:r w:rsidRPr="00BF5537">
        <w:rPr>
          <w:rFonts w:ascii="仿宋" w:eastAsia="仿宋" w:hAnsi="仿宋" w:cs="宋体" w:hint="eastAsia"/>
          <w:kern w:val="0"/>
          <w:sz w:val="28"/>
          <w:szCs w:val="28"/>
        </w:rPr>
        <w:t>若原申购费率是固定费用的，则按固定费用执行，不再享有费率折扣。</w:t>
      </w:r>
    </w:p>
    <w:p w:rsidR="00297312" w:rsidRPr="00A426A3" w:rsidRDefault="00297312"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三、重要提示</w:t>
      </w:r>
    </w:p>
    <w:p w:rsidR="00C87E05" w:rsidRPr="00C87E05" w:rsidRDefault="00C87E05" w:rsidP="00C87E05">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C87E05">
        <w:rPr>
          <w:rFonts w:ascii="仿宋" w:eastAsia="仿宋" w:hAnsi="仿宋" w:cs="仿宋_GB2312" w:hint="eastAsia"/>
          <w:kern w:val="0"/>
          <w:sz w:val="28"/>
          <w:szCs w:val="28"/>
        </w:rPr>
        <w:t>1、未领取基金1折权益的客户在手机银行不享受本次费率优惠。</w:t>
      </w:r>
    </w:p>
    <w:p w:rsidR="00C87E05" w:rsidRPr="00C87E05" w:rsidRDefault="00C87E05" w:rsidP="00C87E05">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C87E05">
        <w:rPr>
          <w:rFonts w:ascii="仿宋" w:eastAsia="仿宋" w:hAnsi="仿宋" w:cs="仿宋_GB2312" w:hint="eastAsia"/>
          <w:kern w:val="0"/>
          <w:sz w:val="28"/>
          <w:szCs w:val="28"/>
        </w:rPr>
        <w:t>2、交通银行手机银行基金申购及定投手续费率优惠仅针对处于正常申购期的指定开放式基金(前端模式)申购及定投手续费。不包括转换费率、后端收费模式基金的申购及定投、处于基金募集期的开放式基金认购手续费。“前端模式申购”是指申购基金时就需要支付申购费的购买方式。</w:t>
      </w:r>
    </w:p>
    <w:p w:rsidR="00C87E05" w:rsidRPr="00C87E05" w:rsidRDefault="00C87E05" w:rsidP="00C87E05">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C87E05">
        <w:rPr>
          <w:rFonts w:ascii="仿宋" w:eastAsia="仿宋" w:hAnsi="仿宋" w:cs="仿宋_GB2312" w:hint="eastAsia"/>
          <w:kern w:val="0"/>
          <w:sz w:val="28"/>
          <w:szCs w:val="28"/>
        </w:rPr>
        <w:t>3、客户通过柜面、网银等非手机银行渠道签约的定投协议在手</w:t>
      </w:r>
      <w:r w:rsidRPr="00C87E05">
        <w:rPr>
          <w:rFonts w:ascii="仿宋" w:eastAsia="仿宋" w:hAnsi="仿宋" w:cs="仿宋_GB2312" w:hint="eastAsia"/>
          <w:kern w:val="0"/>
          <w:sz w:val="28"/>
          <w:szCs w:val="28"/>
        </w:rPr>
        <w:lastRenderedPageBreak/>
        <w:t>机银行渠道费率优惠活动期间内的扣款不享受1折费率优惠。</w:t>
      </w:r>
    </w:p>
    <w:p w:rsidR="00C87E05" w:rsidRPr="00C87E05" w:rsidRDefault="00C87E05" w:rsidP="00C87E05">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C87E05">
        <w:rPr>
          <w:rFonts w:ascii="仿宋" w:eastAsia="仿宋" w:hAnsi="仿宋" w:cs="仿宋_GB2312" w:hint="eastAsia"/>
          <w:kern w:val="0"/>
          <w:sz w:val="28"/>
          <w:szCs w:val="28"/>
        </w:rPr>
        <w:t>4、费率优惠活动期间，客户在手机银行进行基金组合产品的申购与定投享受1折费率优惠（无前端申购费率或不支持费率优惠的开放式基金除外）。</w:t>
      </w:r>
    </w:p>
    <w:p w:rsidR="00C87E05" w:rsidRDefault="00C87E05" w:rsidP="00C87E05">
      <w:pPr>
        <w:autoSpaceDE w:val="0"/>
        <w:autoSpaceDN w:val="0"/>
        <w:adjustRightInd w:val="0"/>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5</w:t>
      </w:r>
      <w:r w:rsidRPr="00C87E05">
        <w:rPr>
          <w:rFonts w:ascii="仿宋" w:eastAsia="仿宋" w:hAnsi="仿宋" w:cs="仿宋_GB2312" w:hint="eastAsia"/>
          <w:kern w:val="0"/>
          <w:sz w:val="28"/>
          <w:szCs w:val="28"/>
        </w:rPr>
        <w:t>、上述费率优惠活动解释权归交通银行所有。优惠活动期间，业务规则和流程以交通银行的安排和规定为准，交通银行有权不时调整该活动相关规则（包括删减适用基金范围及变更费率优惠安排等）。相关活动的具体费率折扣及活动起止时间如有变化，敬请投资者留意交通银行的有关公告。</w:t>
      </w:r>
    </w:p>
    <w:p w:rsidR="003304FE" w:rsidRPr="00A426A3" w:rsidRDefault="00297312"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四</w:t>
      </w:r>
      <w:r w:rsidR="003304FE" w:rsidRPr="00A426A3">
        <w:rPr>
          <w:rFonts w:ascii="仿宋" w:eastAsia="仿宋" w:hAnsi="仿宋" w:cs="仿宋_GB2312" w:hint="eastAsia"/>
          <w:kern w:val="0"/>
          <w:sz w:val="28"/>
          <w:szCs w:val="28"/>
        </w:rPr>
        <w:t>、其他事项</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1、投资者欲了解各基金产品的详细情况，请仔细阅读各基金的基金合同、招募说明书等法律文件。</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2、风险提示：本公司承诺以诚实信用、勤勉尽责的原则管理和运用基金财产，但不保证基金一定盈利，也不保证最低收益。投资者投资于本公司管理的基金时应认真阅读基金合同、招募说明书等文件。</w:t>
      </w:r>
    </w:p>
    <w:p w:rsidR="003304FE" w:rsidRPr="00A426A3" w:rsidRDefault="00297312"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五</w:t>
      </w:r>
      <w:r w:rsidR="003304FE" w:rsidRPr="00A426A3">
        <w:rPr>
          <w:rFonts w:ascii="仿宋" w:eastAsia="仿宋" w:hAnsi="仿宋" w:cs="仿宋_GB2312" w:hint="eastAsia"/>
          <w:kern w:val="0"/>
          <w:sz w:val="28"/>
          <w:szCs w:val="28"/>
        </w:rPr>
        <w:t>、投资者可通过以下途径了解或咨询相关情况</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1、泰信基金管理有限公司</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 xml:space="preserve">客服电话：400-888-5988 </w:t>
      </w:r>
      <w:r w:rsidR="003901EC">
        <w:rPr>
          <w:rFonts w:ascii="仿宋" w:eastAsia="仿宋" w:hAnsi="仿宋" w:cs="仿宋_GB2312" w:hint="eastAsia"/>
          <w:kern w:val="0"/>
          <w:sz w:val="28"/>
          <w:szCs w:val="28"/>
        </w:rPr>
        <w:t xml:space="preserve"> </w:t>
      </w:r>
      <w:r w:rsidRPr="00A426A3">
        <w:rPr>
          <w:rFonts w:ascii="仿宋" w:eastAsia="仿宋" w:hAnsi="仿宋" w:cs="仿宋_GB2312" w:hint="eastAsia"/>
          <w:kern w:val="0"/>
          <w:sz w:val="28"/>
          <w:szCs w:val="28"/>
        </w:rPr>
        <w:t>021-38784566</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网址：www.ftfund.com</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2、</w:t>
      </w:r>
      <w:r w:rsidR="00297312" w:rsidRPr="00A426A3">
        <w:rPr>
          <w:rFonts w:ascii="仿宋" w:eastAsia="仿宋" w:hAnsi="仿宋" w:cs="宋体" w:hint="eastAsia"/>
          <w:kern w:val="0"/>
          <w:sz w:val="28"/>
          <w:szCs w:val="28"/>
        </w:rPr>
        <w:t>交通银行股份有限公司</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客户服务电话：</w:t>
      </w:r>
      <w:r w:rsidR="00297312" w:rsidRPr="00A426A3">
        <w:rPr>
          <w:rFonts w:ascii="仿宋" w:eastAsia="仿宋" w:hAnsi="仿宋" w:cs="仿宋_GB2312" w:hint="eastAsia"/>
          <w:kern w:val="0"/>
          <w:sz w:val="28"/>
          <w:szCs w:val="28"/>
        </w:rPr>
        <w:t>95559</w:t>
      </w:r>
    </w:p>
    <w:p w:rsidR="00F77B28"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网址：</w:t>
      </w:r>
      <w:r w:rsidR="00297312" w:rsidRPr="00A426A3">
        <w:rPr>
          <w:rFonts w:ascii="仿宋" w:eastAsia="仿宋" w:hAnsi="仿宋" w:cs="仿宋_GB2312" w:hint="eastAsia"/>
          <w:kern w:val="0"/>
          <w:sz w:val="28"/>
          <w:szCs w:val="28"/>
        </w:rPr>
        <w:t>www.bankcomm.com</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特此公告。</w:t>
      </w:r>
    </w:p>
    <w:p w:rsidR="003304FE" w:rsidRPr="00A426A3" w:rsidRDefault="003304FE" w:rsidP="00FF7A33">
      <w:pPr>
        <w:autoSpaceDE w:val="0"/>
        <w:autoSpaceDN w:val="0"/>
        <w:adjustRightInd w:val="0"/>
        <w:spacing w:line="360" w:lineRule="auto"/>
        <w:jc w:val="right"/>
        <w:rPr>
          <w:rFonts w:ascii="仿宋" w:eastAsia="仿宋" w:hAnsi="仿宋" w:cs="仿宋_GB2312"/>
          <w:kern w:val="0"/>
          <w:sz w:val="28"/>
          <w:szCs w:val="28"/>
        </w:rPr>
      </w:pPr>
      <w:r w:rsidRPr="00A426A3">
        <w:rPr>
          <w:rFonts w:ascii="仿宋" w:eastAsia="仿宋" w:hAnsi="仿宋" w:cs="仿宋_GB2312" w:hint="eastAsia"/>
          <w:kern w:val="0"/>
          <w:sz w:val="28"/>
          <w:szCs w:val="28"/>
        </w:rPr>
        <w:t xml:space="preserve">　 　 泰信基金管理有限公司</w:t>
      </w:r>
    </w:p>
    <w:p w:rsidR="00B4006A" w:rsidRPr="00A426A3" w:rsidRDefault="003304FE" w:rsidP="00FF7A33">
      <w:pPr>
        <w:spacing w:line="360" w:lineRule="auto"/>
        <w:jc w:val="right"/>
        <w:rPr>
          <w:rFonts w:ascii="仿宋" w:eastAsia="仿宋" w:hAnsi="仿宋"/>
          <w:sz w:val="28"/>
          <w:szCs w:val="28"/>
        </w:rPr>
      </w:pPr>
      <w:r w:rsidRPr="00A426A3">
        <w:rPr>
          <w:rFonts w:ascii="仿宋" w:eastAsia="仿宋" w:hAnsi="仿宋" w:cs="仿宋_GB2312" w:hint="eastAsia"/>
          <w:kern w:val="0"/>
          <w:sz w:val="28"/>
          <w:szCs w:val="28"/>
        </w:rPr>
        <w:t xml:space="preserve">　　 </w:t>
      </w:r>
      <w:r w:rsidR="00CB62B8">
        <w:rPr>
          <w:rFonts w:ascii="仿宋" w:eastAsia="仿宋" w:hAnsi="仿宋" w:cs="仿宋_GB2312" w:hint="eastAsia"/>
          <w:kern w:val="0"/>
          <w:sz w:val="28"/>
          <w:szCs w:val="28"/>
        </w:rPr>
        <w:t>2020</w:t>
      </w:r>
      <w:r w:rsidRPr="00A426A3">
        <w:rPr>
          <w:rFonts w:ascii="仿宋" w:eastAsia="仿宋" w:hAnsi="仿宋" w:cs="仿宋_GB2312" w:hint="eastAsia"/>
          <w:kern w:val="0"/>
          <w:sz w:val="28"/>
          <w:szCs w:val="28"/>
        </w:rPr>
        <w:t>年</w:t>
      </w:r>
      <w:r w:rsidR="00CB62B8">
        <w:rPr>
          <w:rFonts w:ascii="仿宋" w:eastAsia="仿宋" w:hAnsi="仿宋" w:cs="仿宋_GB2312" w:hint="eastAsia"/>
          <w:kern w:val="0"/>
          <w:sz w:val="28"/>
          <w:szCs w:val="28"/>
        </w:rPr>
        <w:t>6</w:t>
      </w:r>
      <w:r w:rsidRPr="00A426A3">
        <w:rPr>
          <w:rFonts w:ascii="仿宋" w:eastAsia="仿宋" w:hAnsi="仿宋" w:cs="仿宋_GB2312" w:hint="eastAsia"/>
          <w:kern w:val="0"/>
          <w:sz w:val="28"/>
          <w:szCs w:val="28"/>
        </w:rPr>
        <w:t>月</w:t>
      </w:r>
      <w:r w:rsidR="00090597">
        <w:rPr>
          <w:rFonts w:ascii="仿宋" w:eastAsia="仿宋" w:hAnsi="仿宋" w:cs="仿宋_GB2312" w:hint="eastAsia"/>
          <w:kern w:val="0"/>
          <w:sz w:val="28"/>
          <w:szCs w:val="28"/>
        </w:rPr>
        <w:t>30</w:t>
      </w:r>
      <w:r w:rsidRPr="00A426A3">
        <w:rPr>
          <w:rFonts w:ascii="仿宋" w:eastAsia="仿宋" w:hAnsi="仿宋" w:cs="仿宋_GB2312" w:hint="eastAsia"/>
          <w:kern w:val="0"/>
          <w:sz w:val="28"/>
          <w:szCs w:val="28"/>
        </w:rPr>
        <w:t>日</w:t>
      </w:r>
    </w:p>
    <w:sectPr w:rsidR="00B4006A" w:rsidRPr="00A426A3" w:rsidSect="00273B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E45" w:rsidRDefault="003E2E45" w:rsidP="00297312">
      <w:r>
        <w:separator/>
      </w:r>
    </w:p>
  </w:endnote>
  <w:endnote w:type="continuationSeparator" w:id="0">
    <w:p w:rsidR="003E2E45" w:rsidRDefault="003E2E45" w:rsidP="00297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938111"/>
      <w:docPartObj>
        <w:docPartGallery w:val="Page Numbers (Bottom of Page)"/>
        <w:docPartUnique/>
      </w:docPartObj>
    </w:sdtPr>
    <w:sdtContent>
      <w:p w:rsidR="00FF7A33" w:rsidRDefault="009B7319">
        <w:pPr>
          <w:pStyle w:val="a5"/>
          <w:jc w:val="center"/>
        </w:pPr>
        <w:r>
          <w:fldChar w:fldCharType="begin"/>
        </w:r>
        <w:r w:rsidR="00FF7A33">
          <w:instrText>PAGE   \* MERGEFORMAT</w:instrText>
        </w:r>
        <w:r>
          <w:fldChar w:fldCharType="separate"/>
        </w:r>
        <w:r w:rsidR="00B71215" w:rsidRPr="00B71215">
          <w:rPr>
            <w:noProof/>
            <w:lang w:val="zh-CN"/>
          </w:rPr>
          <w:t>1</w:t>
        </w:r>
        <w:r>
          <w:fldChar w:fldCharType="end"/>
        </w:r>
      </w:p>
    </w:sdtContent>
  </w:sdt>
  <w:p w:rsidR="00FF7A33" w:rsidRDefault="00FF7A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E45" w:rsidRDefault="003E2E45" w:rsidP="00297312">
      <w:r>
        <w:separator/>
      </w:r>
    </w:p>
  </w:footnote>
  <w:footnote w:type="continuationSeparator" w:id="0">
    <w:p w:rsidR="003E2E45" w:rsidRDefault="003E2E45" w:rsidP="00297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04FE"/>
    <w:rsid w:val="00017482"/>
    <w:rsid w:val="00021783"/>
    <w:rsid w:val="00082F8A"/>
    <w:rsid w:val="00090597"/>
    <w:rsid w:val="00093907"/>
    <w:rsid w:val="00097B10"/>
    <w:rsid w:val="000A3688"/>
    <w:rsid w:val="000D69FF"/>
    <w:rsid w:val="001071D8"/>
    <w:rsid w:val="00117C47"/>
    <w:rsid w:val="00150CDB"/>
    <w:rsid w:val="00160F0C"/>
    <w:rsid w:val="00184CD1"/>
    <w:rsid w:val="001A5D16"/>
    <w:rsid w:val="001E3960"/>
    <w:rsid w:val="00273B87"/>
    <w:rsid w:val="00283D81"/>
    <w:rsid w:val="00297312"/>
    <w:rsid w:val="002A36FC"/>
    <w:rsid w:val="002E2BAF"/>
    <w:rsid w:val="002E3514"/>
    <w:rsid w:val="002F04C0"/>
    <w:rsid w:val="003304FE"/>
    <w:rsid w:val="003901EC"/>
    <w:rsid w:val="003A7725"/>
    <w:rsid w:val="003B3121"/>
    <w:rsid w:val="003E2E45"/>
    <w:rsid w:val="0043742C"/>
    <w:rsid w:val="00452DBE"/>
    <w:rsid w:val="005137E0"/>
    <w:rsid w:val="005D5A18"/>
    <w:rsid w:val="005F3B09"/>
    <w:rsid w:val="005F6375"/>
    <w:rsid w:val="00625FAC"/>
    <w:rsid w:val="00655708"/>
    <w:rsid w:val="00663FD1"/>
    <w:rsid w:val="00691A8F"/>
    <w:rsid w:val="00696F8D"/>
    <w:rsid w:val="006C5FD2"/>
    <w:rsid w:val="006F5142"/>
    <w:rsid w:val="00706819"/>
    <w:rsid w:val="0073052F"/>
    <w:rsid w:val="00732685"/>
    <w:rsid w:val="007433FA"/>
    <w:rsid w:val="00770902"/>
    <w:rsid w:val="00771A6B"/>
    <w:rsid w:val="0080475F"/>
    <w:rsid w:val="0083010C"/>
    <w:rsid w:val="0088092D"/>
    <w:rsid w:val="008C39A9"/>
    <w:rsid w:val="008C64D2"/>
    <w:rsid w:val="008E278B"/>
    <w:rsid w:val="009000BF"/>
    <w:rsid w:val="009948FD"/>
    <w:rsid w:val="009B7319"/>
    <w:rsid w:val="009D180D"/>
    <w:rsid w:val="009D5F85"/>
    <w:rsid w:val="00A14DE4"/>
    <w:rsid w:val="00A2647B"/>
    <w:rsid w:val="00A3234F"/>
    <w:rsid w:val="00A40288"/>
    <w:rsid w:val="00A426A3"/>
    <w:rsid w:val="00B06B49"/>
    <w:rsid w:val="00B165BB"/>
    <w:rsid w:val="00B22F9F"/>
    <w:rsid w:val="00B4006A"/>
    <w:rsid w:val="00B71215"/>
    <w:rsid w:val="00B8558E"/>
    <w:rsid w:val="00BC1E01"/>
    <w:rsid w:val="00BD5351"/>
    <w:rsid w:val="00BD5422"/>
    <w:rsid w:val="00BE2A89"/>
    <w:rsid w:val="00BF5537"/>
    <w:rsid w:val="00C47556"/>
    <w:rsid w:val="00C72F38"/>
    <w:rsid w:val="00C87E05"/>
    <w:rsid w:val="00CB62B8"/>
    <w:rsid w:val="00CC222A"/>
    <w:rsid w:val="00CF1236"/>
    <w:rsid w:val="00CF1E2C"/>
    <w:rsid w:val="00D41CDD"/>
    <w:rsid w:val="00D576DF"/>
    <w:rsid w:val="00D6370A"/>
    <w:rsid w:val="00D96A9C"/>
    <w:rsid w:val="00DC0D51"/>
    <w:rsid w:val="00DF1EB4"/>
    <w:rsid w:val="00DF2DE7"/>
    <w:rsid w:val="00EE36EC"/>
    <w:rsid w:val="00EE5ADF"/>
    <w:rsid w:val="00F77B28"/>
    <w:rsid w:val="00F86F59"/>
    <w:rsid w:val="00FC1025"/>
    <w:rsid w:val="00FD53F0"/>
    <w:rsid w:val="00FD6287"/>
    <w:rsid w:val="00FF7A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04FE"/>
    <w:rPr>
      <w:strike w:val="0"/>
      <w:dstrike w:val="0"/>
      <w:color w:val="555555"/>
      <w:sz w:val="18"/>
      <w:szCs w:val="18"/>
      <w:u w:val="none"/>
      <w:effect w:val="none"/>
    </w:rPr>
  </w:style>
  <w:style w:type="paragraph" w:styleId="a4">
    <w:name w:val="header"/>
    <w:basedOn w:val="a"/>
    <w:link w:val="Char"/>
    <w:uiPriority w:val="99"/>
    <w:unhideWhenUsed/>
    <w:rsid w:val="00297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7312"/>
    <w:rPr>
      <w:sz w:val="18"/>
      <w:szCs w:val="18"/>
    </w:rPr>
  </w:style>
  <w:style w:type="paragraph" w:styleId="a5">
    <w:name w:val="footer"/>
    <w:basedOn w:val="a"/>
    <w:link w:val="Char0"/>
    <w:uiPriority w:val="99"/>
    <w:unhideWhenUsed/>
    <w:rsid w:val="00297312"/>
    <w:pPr>
      <w:tabs>
        <w:tab w:val="center" w:pos="4153"/>
        <w:tab w:val="right" w:pos="8306"/>
      </w:tabs>
      <w:snapToGrid w:val="0"/>
      <w:jc w:val="left"/>
    </w:pPr>
    <w:rPr>
      <w:sz w:val="18"/>
      <w:szCs w:val="18"/>
    </w:rPr>
  </w:style>
  <w:style w:type="character" w:customStyle="1" w:styleId="Char0">
    <w:name w:val="页脚 Char"/>
    <w:basedOn w:val="a0"/>
    <w:link w:val="a5"/>
    <w:uiPriority w:val="99"/>
    <w:rsid w:val="00297312"/>
    <w:rPr>
      <w:sz w:val="18"/>
      <w:szCs w:val="18"/>
    </w:rPr>
  </w:style>
  <w:style w:type="paragraph" w:styleId="a6">
    <w:name w:val="Balloon Text"/>
    <w:basedOn w:val="a"/>
    <w:link w:val="Char1"/>
    <w:uiPriority w:val="99"/>
    <w:semiHidden/>
    <w:unhideWhenUsed/>
    <w:rsid w:val="00771A6B"/>
    <w:rPr>
      <w:sz w:val="18"/>
      <w:szCs w:val="18"/>
    </w:rPr>
  </w:style>
  <w:style w:type="character" w:customStyle="1" w:styleId="Char1">
    <w:name w:val="批注框文本 Char"/>
    <w:basedOn w:val="a0"/>
    <w:link w:val="a6"/>
    <w:uiPriority w:val="99"/>
    <w:semiHidden/>
    <w:rsid w:val="00771A6B"/>
    <w:rPr>
      <w:sz w:val="18"/>
      <w:szCs w:val="18"/>
    </w:rPr>
  </w:style>
</w:styles>
</file>

<file path=word/webSettings.xml><?xml version="1.0" encoding="utf-8"?>
<w:webSettings xmlns:r="http://schemas.openxmlformats.org/officeDocument/2006/relationships" xmlns:w="http://schemas.openxmlformats.org/wordprocessingml/2006/main">
  <w:divs>
    <w:div w:id="21410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2214-5E30-4BCC-B413-7DE3A1BC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1283</Characters>
  <Application>Microsoft Office Word</Application>
  <DocSecurity>4</DocSecurity>
  <Lines>10</Lines>
  <Paragraphs>3</Paragraphs>
  <ScaleCrop>false</ScaleCrop>
  <Company>微软中国</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汤瑞海</dc:creator>
  <cp:lastModifiedBy>ZHONGM</cp:lastModifiedBy>
  <cp:revision>2</cp:revision>
  <cp:lastPrinted>2020-06-29T01:41:00Z</cp:lastPrinted>
  <dcterms:created xsi:type="dcterms:W3CDTF">2020-06-29T16:01:00Z</dcterms:created>
  <dcterms:modified xsi:type="dcterms:W3CDTF">2020-06-29T16:01:00Z</dcterms:modified>
</cp:coreProperties>
</file>