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01F9" w:rsidRDefault="005201F9">
      <w:pPr>
        <w:jc w:val="center"/>
        <w:rPr>
          <w:b/>
          <w:bCs/>
          <w:color w:val="333333"/>
          <w:sz w:val="30"/>
          <w:szCs w:val="30"/>
          <w:shd w:val="clear" w:color="auto" w:fill="FAFAFA"/>
        </w:rPr>
      </w:pPr>
      <w:r>
        <w:rPr>
          <w:rFonts w:hint="eastAsia"/>
          <w:b/>
          <w:bCs/>
          <w:color w:val="333333"/>
          <w:sz w:val="30"/>
          <w:szCs w:val="30"/>
          <w:shd w:val="clear" w:color="auto" w:fill="FAFAFA"/>
        </w:rPr>
        <w:t>华泰柏瑞基金管理有限公司关于参加交通银行手机银行渠道申购及定期定额投资手续费率优惠活动的公告</w:t>
      </w:r>
    </w:p>
    <w:p w:rsidR="005201F9" w:rsidRDefault="005201F9">
      <w:pPr>
        <w:widowControl/>
        <w:spacing w:before="100" w:beforeAutospacing="1" w:after="100" w:afterAutospacing="1"/>
        <w:ind w:firstLineChars="200" w:firstLine="420"/>
        <w:rPr>
          <w:rFonts w:ascii="宋体" w:hAnsi="宋体"/>
          <w:szCs w:val="21"/>
        </w:rPr>
      </w:pPr>
      <w:r>
        <w:rPr>
          <w:rFonts w:ascii="宋体" w:hAnsi="宋体"/>
          <w:szCs w:val="21"/>
        </w:rPr>
        <w:t>为答谢广大客户长期以来给予的信任与支持，</w:t>
      </w:r>
      <w:r>
        <w:rPr>
          <w:rFonts w:ascii="宋体" w:hAnsi="宋体" w:hint="eastAsia"/>
          <w:szCs w:val="21"/>
        </w:rPr>
        <w:t>华泰柏瑞基金管理有限公司</w:t>
      </w:r>
      <w:r>
        <w:rPr>
          <w:rFonts w:ascii="宋体" w:hAnsi="宋体"/>
          <w:szCs w:val="21"/>
        </w:rPr>
        <w:t>(</w:t>
      </w:r>
      <w:r>
        <w:rPr>
          <w:rFonts w:ascii="宋体" w:hAnsi="宋体" w:hint="eastAsia"/>
          <w:szCs w:val="21"/>
        </w:rPr>
        <w:t>以下简称</w:t>
      </w:r>
      <w:r>
        <w:rPr>
          <w:rFonts w:ascii="宋体" w:hAnsi="宋体"/>
          <w:szCs w:val="21"/>
        </w:rPr>
        <w:t>“</w:t>
      </w:r>
      <w:r>
        <w:rPr>
          <w:rFonts w:ascii="宋体" w:hAnsi="宋体" w:hint="eastAsia"/>
          <w:szCs w:val="21"/>
        </w:rPr>
        <w:t>本公司</w:t>
      </w:r>
      <w:r>
        <w:rPr>
          <w:rFonts w:ascii="宋体" w:hAnsi="宋体"/>
          <w:szCs w:val="21"/>
        </w:rPr>
        <w:t>”)</w:t>
      </w:r>
      <w:r>
        <w:rPr>
          <w:rFonts w:ascii="宋体" w:hAnsi="宋体" w:hint="eastAsia"/>
          <w:szCs w:val="21"/>
        </w:rPr>
        <w:t>将自2020年7月1日至2020年12月31日期间参加交通银行股份有限公司</w:t>
      </w:r>
      <w:r>
        <w:rPr>
          <w:rFonts w:ascii="宋体" w:hAnsi="宋体"/>
          <w:szCs w:val="21"/>
        </w:rPr>
        <w:t>(</w:t>
      </w:r>
      <w:r>
        <w:rPr>
          <w:rFonts w:ascii="宋体" w:hAnsi="宋体" w:hint="eastAsia"/>
          <w:szCs w:val="21"/>
        </w:rPr>
        <w:t>以下简称</w:t>
      </w:r>
      <w:r>
        <w:rPr>
          <w:rFonts w:ascii="宋体" w:hAnsi="宋体"/>
          <w:szCs w:val="21"/>
        </w:rPr>
        <w:t>“</w:t>
      </w:r>
      <w:r>
        <w:rPr>
          <w:rFonts w:ascii="宋体" w:hAnsi="宋体" w:hint="eastAsia"/>
          <w:szCs w:val="21"/>
        </w:rPr>
        <w:t>交通银行</w:t>
      </w:r>
      <w:r>
        <w:rPr>
          <w:rFonts w:ascii="宋体" w:hAnsi="宋体"/>
          <w:szCs w:val="21"/>
        </w:rPr>
        <w:t>”)</w:t>
      </w:r>
      <w:r>
        <w:rPr>
          <w:rFonts w:ascii="宋体" w:hAnsi="宋体" w:hint="eastAsia"/>
          <w:szCs w:val="21"/>
        </w:rPr>
        <w:t xml:space="preserve"> 手机银行渠道申购及定期定额投资手续费率优惠活动。具体事宜公告如下：</w:t>
      </w:r>
      <w:r>
        <w:rPr>
          <w:rFonts w:ascii="宋体" w:hAnsi="宋体"/>
          <w:szCs w:val="21"/>
        </w:rPr>
        <w:t xml:space="preserve"> </w:t>
      </w:r>
    </w:p>
    <w:p w:rsidR="005201F9" w:rsidRDefault="005201F9">
      <w:pPr>
        <w:widowControl/>
        <w:numPr>
          <w:ilvl w:val="0"/>
          <w:numId w:val="1"/>
        </w:numPr>
        <w:spacing w:before="100" w:beforeAutospacing="1" w:after="100" w:afterAutospacing="1"/>
        <w:ind w:hanging="1163"/>
        <w:rPr>
          <w:rFonts w:ascii="宋体" w:hAnsi="宋体" w:hint="eastAsia"/>
          <w:szCs w:val="21"/>
        </w:rPr>
      </w:pPr>
      <w:r>
        <w:rPr>
          <w:rFonts w:ascii="宋体" w:hAnsi="宋体" w:hint="eastAsia"/>
          <w:szCs w:val="21"/>
        </w:rPr>
        <w:t>适用基金</w:t>
      </w:r>
    </w:p>
    <w:tbl>
      <w:tblPr>
        <w:tblW w:w="8007" w:type="dxa"/>
        <w:jc w:val="center"/>
        <w:tblInd w:w="800" w:type="dxa"/>
        <w:tblCellMar>
          <w:left w:w="0" w:type="dxa"/>
          <w:right w:w="0" w:type="dxa"/>
        </w:tblCellMar>
        <w:tblLook w:val="04A0"/>
      </w:tblPr>
      <w:tblGrid>
        <w:gridCol w:w="702"/>
        <w:gridCol w:w="5436"/>
        <w:gridCol w:w="1869"/>
      </w:tblGrid>
      <w:tr w:rsidR="005201F9">
        <w:trPr>
          <w:trHeight w:val="285"/>
          <w:jc w:val="center"/>
        </w:trPr>
        <w:tc>
          <w:tcPr>
            <w:tcW w:w="702" w:type="dxa"/>
            <w:tcBorders>
              <w:top w:val="single" w:sz="4" w:space="0" w:color="auto"/>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color w:val="000000"/>
                <w:sz w:val="18"/>
                <w:szCs w:val="20"/>
              </w:rPr>
            </w:pPr>
            <w:r>
              <w:rPr>
                <w:rFonts w:ascii="宋体" w:hAnsi="宋体" w:hint="eastAsia"/>
                <w:color w:val="000000"/>
                <w:sz w:val="18"/>
                <w:szCs w:val="20"/>
              </w:rPr>
              <w:t>序号</w:t>
            </w:r>
          </w:p>
        </w:tc>
        <w:tc>
          <w:tcPr>
            <w:tcW w:w="5436" w:type="dxa"/>
            <w:tcBorders>
              <w:top w:val="single" w:sz="4" w:space="0" w:color="auto"/>
              <w:left w:val="single" w:sz="4" w:space="0" w:color="auto"/>
              <w:bottom w:val="single" w:sz="4" w:space="0" w:color="auto"/>
              <w:right w:val="single" w:sz="4" w:space="0" w:color="auto"/>
            </w:tcBorders>
          </w:tcPr>
          <w:p w:rsidR="005201F9" w:rsidRDefault="005201F9">
            <w:pPr>
              <w:jc w:val="center"/>
              <w:rPr>
                <w:rFonts w:ascii="宋体" w:hAnsi="宋体" w:hint="eastAsia"/>
                <w:color w:val="000000"/>
                <w:sz w:val="18"/>
                <w:szCs w:val="20"/>
              </w:rPr>
            </w:pPr>
            <w:r>
              <w:rPr>
                <w:rFonts w:ascii="宋体" w:hAnsi="宋体" w:hint="eastAsia"/>
                <w:color w:val="000000"/>
                <w:sz w:val="18"/>
                <w:szCs w:val="20"/>
              </w:rPr>
              <w:t>基金名称</w:t>
            </w:r>
          </w:p>
        </w:tc>
        <w:tc>
          <w:tcPr>
            <w:tcW w:w="1869"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hideMark/>
          </w:tcPr>
          <w:p w:rsidR="005201F9" w:rsidRDefault="005201F9">
            <w:pPr>
              <w:jc w:val="center"/>
              <w:rPr>
                <w:rFonts w:ascii="宋体" w:hAnsi="宋体"/>
                <w:color w:val="000000"/>
                <w:sz w:val="18"/>
                <w:szCs w:val="20"/>
              </w:rPr>
            </w:pPr>
            <w:r>
              <w:rPr>
                <w:rFonts w:ascii="宋体" w:hAnsi="宋体" w:hint="eastAsia"/>
                <w:color w:val="000000"/>
                <w:sz w:val="18"/>
                <w:szCs w:val="20"/>
              </w:rPr>
              <w:t>基金代码</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1</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华泰柏瑞量化增强混合型证券投资基金A类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000172</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2</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华泰柏瑞季季红债券型证券投资基金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000186</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3</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华泰柏瑞丰盛纯债债券型证券投资基金A类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000187</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4</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华泰柏瑞丰汇债券型证券投资基金A类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000421</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5</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华泰柏瑞创新升级混合型证券投资基金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000566</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6</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华泰柏瑞量化优选灵活配置混合型证券投资基金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000877</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7</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华泰柏瑞创新动力灵活配置混合型证券投资基金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000967</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8</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华泰柏瑞消费成长灵活配置混合型证券投资基金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001069</w:t>
            </w:r>
          </w:p>
        </w:tc>
      </w:tr>
      <w:tr w:rsidR="005201F9">
        <w:trPr>
          <w:trHeight w:val="285"/>
          <w:jc w:val="center"/>
        </w:trPr>
        <w:tc>
          <w:tcPr>
            <w:tcW w:w="7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9</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华泰柏瑞量化绝对收益策略定期开放混合型发起式证券投资基金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001073</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10</w:t>
            </w:r>
          </w:p>
        </w:tc>
        <w:tc>
          <w:tcPr>
            <w:tcW w:w="5436" w:type="dxa"/>
            <w:tcBorders>
              <w:top w:val="single" w:sz="4" w:space="0" w:color="auto"/>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华泰柏瑞量化驱动灵活配置混合型证券投资基金A类</w:t>
            </w:r>
          </w:p>
        </w:tc>
        <w:tc>
          <w:tcPr>
            <w:tcW w:w="1869"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001074</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11</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华泰柏瑞积极优选股票型证券投资基金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001097</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12</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华泰柏瑞量化智慧灵活配置混合型证券投资基金A类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001244</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13</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华泰柏瑞新利灵活配置混合型证券投资基金A类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001247</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14</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华泰柏瑞健康生活灵活配置混合型证券投资基金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001398</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15</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华泰柏瑞量化优选灵活配置混合型证券投资基金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000877</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16</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华泰柏瑞激励动力灵活配置混合型证券投资基金A类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001815</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17</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华泰柏瑞量化对冲稳健收益定期开放混合型发起式证券投资基金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002804</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18</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华泰柏瑞多策略灵活配置混合型证券投资基金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003175</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19</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华泰柏瑞新经济沪港深灵活配置混合型证券投资基金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003413</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20</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sz w:val="18"/>
                <w:szCs w:val="21"/>
              </w:rPr>
            </w:pPr>
            <w:r>
              <w:rPr>
                <w:rFonts w:ascii="宋体" w:hAnsi="宋体"/>
                <w:sz w:val="18"/>
                <w:szCs w:val="21"/>
              </w:rPr>
              <w:t>华泰柏瑞丰汇债券型证券投资基金A类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sz w:val="18"/>
                <w:szCs w:val="21"/>
              </w:rPr>
              <w:t>000421</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21</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华泰柏瑞量化阿尔法灵活配置混合型证券投资基金</w:t>
            </w:r>
            <w:r>
              <w:rPr>
                <w:rFonts w:ascii="宋体" w:hAnsi="宋体"/>
                <w:sz w:val="18"/>
                <w:szCs w:val="21"/>
              </w:rPr>
              <w:t>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005055</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22</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华泰柏瑞信用增利债券型证券投资基金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164606</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23</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华泰柏瑞盛世中国混合型证券投资基金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460001</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24</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华泰柏瑞积极成长混合型证券投资基金A类</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460002</w:t>
            </w:r>
          </w:p>
        </w:tc>
      </w:tr>
      <w:tr w:rsidR="005201F9">
        <w:trPr>
          <w:trHeight w:val="285"/>
          <w:jc w:val="center"/>
        </w:trPr>
        <w:tc>
          <w:tcPr>
            <w:tcW w:w="702"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25</w:t>
            </w:r>
          </w:p>
        </w:tc>
        <w:tc>
          <w:tcPr>
            <w:tcW w:w="5436" w:type="dxa"/>
            <w:tcBorders>
              <w:top w:val="nil"/>
              <w:left w:val="single" w:sz="4" w:space="0" w:color="auto"/>
              <w:bottom w:val="single" w:sz="8"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华泰柏瑞价值增长混合型证券投资基金</w:t>
            </w:r>
          </w:p>
        </w:tc>
        <w:tc>
          <w:tcPr>
            <w:tcW w:w="1869"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460005</w:t>
            </w:r>
          </w:p>
        </w:tc>
      </w:tr>
      <w:tr w:rsidR="005201F9">
        <w:trPr>
          <w:trHeight w:val="285"/>
          <w:jc w:val="center"/>
        </w:trPr>
        <w:tc>
          <w:tcPr>
            <w:tcW w:w="702" w:type="dxa"/>
            <w:tcBorders>
              <w:top w:val="nil"/>
              <w:left w:val="single" w:sz="8"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26</w:t>
            </w:r>
          </w:p>
        </w:tc>
        <w:tc>
          <w:tcPr>
            <w:tcW w:w="5436" w:type="dxa"/>
            <w:tcBorders>
              <w:top w:val="nil"/>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华泰柏瑞行业领先混合型证券投资基金</w:t>
            </w:r>
          </w:p>
        </w:tc>
        <w:tc>
          <w:tcPr>
            <w:tcW w:w="1869"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460007</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27</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华泰柏瑞稳健收益债券型证券投资基金A类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460008</w:t>
            </w:r>
          </w:p>
        </w:tc>
      </w:tr>
      <w:tr w:rsidR="005201F9">
        <w:trPr>
          <w:trHeight w:val="285"/>
          <w:jc w:val="center"/>
        </w:trPr>
        <w:tc>
          <w:tcPr>
            <w:tcW w:w="702"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28</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华泰柏瑞量化先行混合型证券投资基金</w:t>
            </w:r>
          </w:p>
        </w:tc>
        <w:tc>
          <w:tcPr>
            <w:tcW w:w="1869"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460009</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sz w:val="18"/>
                <w:szCs w:val="21"/>
              </w:rPr>
            </w:pPr>
            <w:r>
              <w:rPr>
                <w:rFonts w:ascii="宋体" w:hAnsi="宋体" w:hint="eastAsia"/>
                <w:sz w:val="18"/>
                <w:szCs w:val="21"/>
              </w:rPr>
              <w:t>29</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华泰柏瑞亚洲领导企业混合型证券投资基金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sz w:val="18"/>
                <w:szCs w:val="21"/>
              </w:rPr>
            </w:pPr>
            <w:r>
              <w:rPr>
                <w:rFonts w:ascii="宋体" w:hAnsi="宋体" w:hint="eastAsia"/>
                <w:sz w:val="18"/>
                <w:szCs w:val="21"/>
              </w:rPr>
              <w:t>460010</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30</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华泰柏瑞上证中小盘交易型开放式指数证券投资基金联接基金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460220</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lastRenderedPageBreak/>
              <w:t>31</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华泰柏瑞沪深300交易型开放式指数证券投资基金联接基金A类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460300</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32</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华泰柏瑞金字塔稳本增利债券型证券投资基金A类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519519</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33</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 xml:space="preserve">华泰柏瑞港股通量化灵活配置混合型证券投资基金      </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005269</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34</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华泰柏瑞生物医药灵活配置混合型证券投资基金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004905</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35</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华泰柏瑞景气回报一年持有期混合型证券投资基金A类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008373</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36</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华泰柏瑞质量成长混合型证券投资基金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008528</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37</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华泰柏瑞行业精选混合型证券投资基金A类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008526</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38</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华泰柏瑞景气优选混合型证券投资基金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009636</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39</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sz w:val="18"/>
                <w:szCs w:val="21"/>
              </w:rPr>
              <w:t>华泰柏瑞鸿利中短债债券型证券投资基金A类</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009093</w:t>
            </w:r>
          </w:p>
        </w:tc>
      </w:tr>
      <w:tr w:rsidR="005201F9">
        <w:trPr>
          <w:trHeight w:val="285"/>
          <w:jc w:val="center"/>
        </w:trPr>
        <w:tc>
          <w:tcPr>
            <w:tcW w:w="7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01F9" w:rsidRDefault="005201F9">
            <w:pPr>
              <w:jc w:val="center"/>
              <w:rPr>
                <w:rFonts w:ascii="宋体" w:hAnsi="宋体" w:hint="eastAsia"/>
                <w:sz w:val="18"/>
                <w:szCs w:val="21"/>
              </w:rPr>
            </w:pPr>
            <w:r>
              <w:rPr>
                <w:rFonts w:ascii="宋体" w:hAnsi="宋体" w:hint="eastAsia"/>
                <w:sz w:val="18"/>
                <w:szCs w:val="21"/>
              </w:rPr>
              <w:t>40</w:t>
            </w:r>
          </w:p>
        </w:tc>
        <w:tc>
          <w:tcPr>
            <w:tcW w:w="5436" w:type="dxa"/>
            <w:tcBorders>
              <w:top w:val="single" w:sz="4" w:space="0" w:color="auto"/>
              <w:left w:val="single" w:sz="4" w:space="0" w:color="auto"/>
              <w:bottom w:val="single" w:sz="4" w:space="0" w:color="auto"/>
              <w:right w:val="single" w:sz="4" w:space="0" w:color="auto"/>
            </w:tcBorders>
            <w:vAlign w:val="center"/>
          </w:tcPr>
          <w:p w:rsidR="005201F9" w:rsidRDefault="005201F9">
            <w:pPr>
              <w:jc w:val="center"/>
              <w:rPr>
                <w:rFonts w:ascii="宋体" w:hAnsi="宋体" w:hint="eastAsia"/>
                <w:sz w:val="18"/>
                <w:szCs w:val="21"/>
              </w:rPr>
            </w:pPr>
            <w:r>
              <w:rPr>
                <w:rFonts w:ascii="宋体" w:hAnsi="宋体" w:hint="eastAsia"/>
                <w:sz w:val="18"/>
                <w:szCs w:val="21"/>
              </w:rPr>
              <w:t>华泰柏瑞战略新兴产业混合型证券投资基金</w:t>
            </w:r>
          </w:p>
        </w:tc>
        <w:tc>
          <w:tcPr>
            <w:tcW w:w="18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201F9" w:rsidRDefault="005201F9">
            <w:pPr>
              <w:jc w:val="center"/>
              <w:rPr>
                <w:rFonts w:ascii="宋体" w:hAnsi="宋体" w:hint="eastAsia"/>
                <w:sz w:val="18"/>
                <w:szCs w:val="21"/>
              </w:rPr>
            </w:pPr>
            <w:r>
              <w:rPr>
                <w:rFonts w:ascii="宋体" w:hAnsi="宋体" w:hint="eastAsia"/>
                <w:sz w:val="18"/>
                <w:szCs w:val="21"/>
              </w:rPr>
              <w:t>005409</w:t>
            </w:r>
          </w:p>
        </w:tc>
      </w:tr>
    </w:tbl>
    <w:p w:rsidR="005201F9" w:rsidRDefault="005201F9">
      <w:pPr>
        <w:widowControl/>
        <w:spacing w:before="100" w:beforeAutospacing="1" w:after="100" w:afterAutospacing="1"/>
        <w:rPr>
          <w:rFonts w:ascii="宋体" w:hAnsi="宋体" w:hint="eastAsia"/>
          <w:szCs w:val="21"/>
        </w:rPr>
      </w:pPr>
      <w:r>
        <w:rPr>
          <w:rFonts w:ascii="宋体" w:hAnsi="宋体" w:hint="eastAsia"/>
          <w:szCs w:val="21"/>
        </w:rPr>
        <w:t>注：</w:t>
      </w:r>
      <w:r>
        <w:rPr>
          <w:rFonts w:ascii="宋体" w:hAnsi="宋体" w:hint="eastAsia"/>
          <w:sz w:val="18"/>
          <w:szCs w:val="21"/>
        </w:rPr>
        <w:t>华泰柏瑞量化绝对收益策略定期开放混合型发起式证券投资基金、华泰柏瑞量化对冲稳健收益定期开放混合型发起式证券投资基金为定期开放基金，不开通定投功能。</w:t>
      </w:r>
    </w:p>
    <w:p w:rsidR="005201F9" w:rsidRDefault="005201F9">
      <w:pPr>
        <w:widowControl/>
        <w:numPr>
          <w:ilvl w:val="0"/>
          <w:numId w:val="1"/>
        </w:numPr>
        <w:spacing w:before="100" w:beforeAutospacing="1" w:after="100" w:afterAutospacing="1"/>
        <w:ind w:hanging="1163"/>
        <w:rPr>
          <w:rFonts w:ascii="宋体" w:hAnsi="宋体" w:hint="eastAsia"/>
          <w:szCs w:val="21"/>
        </w:rPr>
      </w:pPr>
      <w:r>
        <w:rPr>
          <w:rFonts w:ascii="宋体" w:hAnsi="宋体" w:hint="eastAsia"/>
          <w:szCs w:val="21"/>
        </w:rPr>
        <w:t>适用投资者范围</w:t>
      </w:r>
    </w:p>
    <w:p w:rsidR="005201F9" w:rsidRDefault="005201F9">
      <w:pPr>
        <w:widowControl/>
        <w:spacing w:before="100" w:beforeAutospacing="1" w:after="100" w:afterAutospacing="1"/>
        <w:ind w:left="142"/>
        <w:rPr>
          <w:rFonts w:ascii="宋体" w:hAnsi="宋体" w:hint="eastAsia"/>
          <w:szCs w:val="21"/>
        </w:rPr>
      </w:pPr>
      <w:r>
        <w:rPr>
          <w:rFonts w:ascii="宋体" w:hAnsi="宋体" w:hint="eastAsia"/>
          <w:szCs w:val="21"/>
        </w:rPr>
        <w:t xml:space="preserve">  通过交通银行手机银行渠道申购及定期定额投资上述基金的投资者。</w:t>
      </w:r>
    </w:p>
    <w:p w:rsidR="005201F9" w:rsidRDefault="005201F9">
      <w:pPr>
        <w:widowControl/>
        <w:numPr>
          <w:ilvl w:val="0"/>
          <w:numId w:val="1"/>
        </w:numPr>
        <w:spacing w:before="100" w:beforeAutospacing="1" w:after="100" w:afterAutospacing="1"/>
        <w:ind w:hanging="1163"/>
        <w:rPr>
          <w:rFonts w:ascii="宋体" w:hAnsi="宋体" w:hint="eastAsia"/>
          <w:szCs w:val="21"/>
        </w:rPr>
      </w:pPr>
      <w:r>
        <w:rPr>
          <w:rFonts w:ascii="宋体" w:hAnsi="宋体"/>
          <w:szCs w:val="21"/>
        </w:rPr>
        <w:t>适用期限</w:t>
      </w:r>
    </w:p>
    <w:p w:rsidR="005201F9" w:rsidRDefault="005201F9">
      <w:pPr>
        <w:adjustRightInd w:val="0"/>
        <w:snapToGrid w:val="0"/>
        <w:spacing w:line="360" w:lineRule="auto"/>
        <w:ind w:left="142"/>
        <w:rPr>
          <w:rFonts w:ascii="宋体" w:hAnsi="宋体"/>
          <w:szCs w:val="21"/>
        </w:rPr>
      </w:pPr>
      <w:r>
        <w:rPr>
          <w:rFonts w:ascii="宋体" w:hAnsi="宋体" w:hint="eastAsia"/>
          <w:szCs w:val="21"/>
        </w:rPr>
        <w:t xml:space="preserve">  自2020年7月1日至2020年12月31日，具体优惠活动时间以交通银行官方网站所示公告为准。</w:t>
      </w:r>
    </w:p>
    <w:p w:rsidR="005201F9" w:rsidRDefault="005201F9">
      <w:pPr>
        <w:widowControl/>
        <w:numPr>
          <w:ilvl w:val="0"/>
          <w:numId w:val="1"/>
        </w:numPr>
        <w:spacing w:before="100" w:beforeAutospacing="1" w:after="100" w:afterAutospacing="1"/>
        <w:ind w:hanging="1163"/>
        <w:rPr>
          <w:rFonts w:ascii="宋体" w:hAnsi="宋体" w:hint="eastAsia"/>
          <w:szCs w:val="21"/>
        </w:rPr>
      </w:pPr>
      <w:r>
        <w:rPr>
          <w:rFonts w:ascii="宋体" w:hAnsi="宋体" w:hint="eastAsia"/>
          <w:szCs w:val="21"/>
        </w:rPr>
        <w:t>活动内容</w:t>
      </w:r>
    </w:p>
    <w:p w:rsidR="005201F9" w:rsidRDefault="005201F9" w:rsidP="00E27C59">
      <w:pPr>
        <w:snapToGrid w:val="0"/>
        <w:spacing w:line="360" w:lineRule="auto"/>
        <w:ind w:leftChars="-8" w:left="-17" w:right="28" w:firstLineChars="150" w:firstLine="315"/>
        <w:rPr>
          <w:rFonts w:ascii="宋体" w:hAnsi="宋体" w:hint="eastAsia"/>
          <w:szCs w:val="21"/>
        </w:rPr>
      </w:pPr>
      <w:r>
        <w:rPr>
          <w:rFonts w:ascii="宋体" w:hAnsi="宋体" w:hint="eastAsia"/>
          <w:szCs w:val="21"/>
        </w:rPr>
        <w:t>1、</w:t>
      </w:r>
      <w:r>
        <w:rPr>
          <w:rFonts w:ascii="宋体" w:hAnsi="宋体"/>
          <w:szCs w:val="21"/>
        </w:rPr>
        <w:t>自</w:t>
      </w:r>
      <w:r>
        <w:rPr>
          <w:rFonts w:ascii="宋体" w:hAnsi="宋体" w:hint="eastAsia"/>
          <w:szCs w:val="21"/>
        </w:rPr>
        <w:t>2020年7月1日至2020年12月31日费率</w:t>
      </w:r>
      <w:r>
        <w:rPr>
          <w:rFonts w:ascii="宋体" w:hAnsi="宋体"/>
          <w:szCs w:val="21"/>
        </w:rPr>
        <w:t>优惠活动期间，</w:t>
      </w:r>
      <w:r>
        <w:rPr>
          <w:rFonts w:ascii="宋体" w:hAnsi="宋体" w:hint="eastAsia"/>
          <w:szCs w:val="21"/>
        </w:rPr>
        <w:t>凡已领取基金1折权益的个人投资者，通过交通银行手机银行渠道申购上述开放式基金，享受基金申购手续费率1折优惠。</w:t>
      </w:r>
    </w:p>
    <w:p w:rsidR="005201F9" w:rsidRDefault="005201F9">
      <w:pPr>
        <w:snapToGrid w:val="0"/>
        <w:spacing w:line="360" w:lineRule="auto"/>
        <w:ind w:leftChars="-8" w:left="-17" w:right="28" w:firstLineChars="143" w:firstLine="300"/>
        <w:rPr>
          <w:rFonts w:ascii="宋体" w:hAnsi="宋体" w:hint="eastAsia"/>
          <w:szCs w:val="21"/>
        </w:rPr>
      </w:pPr>
      <w:r>
        <w:rPr>
          <w:rFonts w:ascii="宋体" w:hAnsi="宋体" w:hint="eastAsia"/>
          <w:szCs w:val="21"/>
        </w:rPr>
        <w:t>2、在费率优惠活动期间，凡已领取基金1折权益的个人投资者，通过交通银行手机银行渠道签约定投协议，并于费率优惠活动期间成功扣款的定投交易，享受定投1折费率优惠。基金1折权益是指：在费率优惠活动期间，通过交通银行手机银行渠道领取的可享受基金申购、定投费率1折优惠的权益。</w:t>
      </w:r>
    </w:p>
    <w:p w:rsidR="005201F9" w:rsidRDefault="005201F9">
      <w:pPr>
        <w:snapToGrid w:val="0"/>
        <w:spacing w:line="360" w:lineRule="auto"/>
        <w:ind w:leftChars="-8" w:left="-17" w:right="28" w:firstLineChars="143" w:firstLine="300"/>
        <w:rPr>
          <w:rFonts w:ascii="宋体" w:hAnsi="宋体"/>
          <w:szCs w:val="21"/>
        </w:rPr>
      </w:pPr>
      <w:r>
        <w:rPr>
          <w:rFonts w:ascii="宋体" w:hAnsi="宋体" w:hint="eastAsia"/>
          <w:szCs w:val="21"/>
        </w:rPr>
        <w:t>具体业务办理规定以交通银行的相关规定和公告为准，各基金原费率请详见基金合同、招募说明书等法律文件以及相关公告。</w:t>
      </w:r>
    </w:p>
    <w:p w:rsidR="005201F9" w:rsidRDefault="005201F9">
      <w:pPr>
        <w:adjustRightInd w:val="0"/>
        <w:snapToGrid w:val="0"/>
        <w:spacing w:line="360" w:lineRule="auto"/>
        <w:ind w:left="142" w:firstLine="420"/>
        <w:rPr>
          <w:rFonts w:ascii="宋体" w:hAnsi="宋体" w:hint="eastAsia"/>
          <w:szCs w:val="21"/>
        </w:rPr>
      </w:pPr>
    </w:p>
    <w:p w:rsidR="005201F9" w:rsidRDefault="005201F9">
      <w:pPr>
        <w:spacing w:line="360" w:lineRule="auto"/>
        <w:outlineLvl w:val="0"/>
        <w:rPr>
          <w:rFonts w:ascii="宋体" w:hAnsi="宋体" w:hint="eastAsia"/>
          <w:szCs w:val="21"/>
        </w:rPr>
      </w:pPr>
      <w:r>
        <w:rPr>
          <w:rFonts w:ascii="宋体" w:hAnsi="宋体" w:hint="eastAsia"/>
          <w:szCs w:val="21"/>
        </w:rPr>
        <w:t>五、重要提示</w:t>
      </w:r>
    </w:p>
    <w:p w:rsidR="005201F9" w:rsidRDefault="005201F9">
      <w:pPr>
        <w:autoSpaceDE w:val="0"/>
        <w:autoSpaceDN w:val="0"/>
        <w:adjustRightInd w:val="0"/>
        <w:spacing w:line="360" w:lineRule="auto"/>
        <w:ind w:firstLineChars="135" w:firstLine="283"/>
        <w:jc w:val="left"/>
        <w:rPr>
          <w:rFonts w:ascii="宋体" w:hAnsi="宋体" w:hint="eastAsia"/>
          <w:szCs w:val="21"/>
        </w:rPr>
      </w:pPr>
      <w:r>
        <w:rPr>
          <w:rFonts w:ascii="宋体" w:hAnsi="宋体"/>
          <w:szCs w:val="21"/>
        </w:rPr>
        <w:t>1</w:t>
      </w:r>
      <w:r>
        <w:rPr>
          <w:rFonts w:ascii="宋体" w:hAnsi="宋体" w:hint="eastAsia"/>
          <w:szCs w:val="21"/>
        </w:rPr>
        <w:t>、</w:t>
      </w:r>
      <w:r>
        <w:rPr>
          <w:rFonts w:hint="eastAsia"/>
        </w:rPr>
        <w:t>未领取基金</w:t>
      </w:r>
      <w:r>
        <w:rPr>
          <w:rFonts w:hint="eastAsia"/>
        </w:rPr>
        <w:t>1</w:t>
      </w:r>
      <w:r>
        <w:rPr>
          <w:rFonts w:hint="eastAsia"/>
        </w:rPr>
        <w:t>折权益的客户在手机银行不享受本次费率优惠。</w:t>
      </w:r>
    </w:p>
    <w:p w:rsidR="005201F9" w:rsidRDefault="005201F9">
      <w:pPr>
        <w:autoSpaceDE w:val="0"/>
        <w:autoSpaceDN w:val="0"/>
        <w:adjustRightInd w:val="0"/>
        <w:spacing w:line="360" w:lineRule="auto"/>
        <w:ind w:firstLineChars="135" w:firstLine="283"/>
        <w:jc w:val="left"/>
        <w:rPr>
          <w:rFonts w:ascii="宋体" w:hAnsi="宋体"/>
          <w:szCs w:val="21"/>
        </w:rPr>
      </w:pPr>
      <w:r>
        <w:rPr>
          <w:rFonts w:ascii="宋体" w:hAnsi="宋体" w:hint="eastAsia"/>
          <w:szCs w:val="21"/>
        </w:rPr>
        <w:t>2、交通银行手机银行基金申购及定期定额投资手续费率优惠仅针对处于正常申购期的指定开放式基金</w:t>
      </w:r>
      <w:r>
        <w:rPr>
          <w:rFonts w:ascii="宋体" w:hAnsi="宋体"/>
          <w:szCs w:val="21"/>
        </w:rPr>
        <w:t>(</w:t>
      </w:r>
      <w:r>
        <w:rPr>
          <w:rFonts w:ascii="宋体" w:hAnsi="宋体" w:hint="eastAsia"/>
          <w:szCs w:val="21"/>
        </w:rPr>
        <w:t>前端模式</w:t>
      </w:r>
      <w:r>
        <w:rPr>
          <w:rFonts w:ascii="宋体" w:hAnsi="宋体"/>
          <w:szCs w:val="21"/>
        </w:rPr>
        <w:t>)</w:t>
      </w:r>
      <w:r>
        <w:rPr>
          <w:rFonts w:ascii="宋体" w:hAnsi="宋体" w:hint="eastAsia"/>
          <w:szCs w:val="21"/>
        </w:rPr>
        <w:t>申购及定期定额投资手续费，不包括后端收费模式基金的申购及定</w:t>
      </w:r>
      <w:r>
        <w:rPr>
          <w:rFonts w:ascii="宋体" w:hAnsi="宋体" w:hint="eastAsia"/>
          <w:szCs w:val="21"/>
        </w:rPr>
        <w:lastRenderedPageBreak/>
        <w:t>期定额投资、处于基金募集期的开放式基金认购手续费，也不包括基金转换业务等其他业务的基金手续费。</w:t>
      </w:r>
      <w:r>
        <w:rPr>
          <w:rFonts w:ascii="宋体" w:hAnsi="宋体"/>
          <w:szCs w:val="21"/>
        </w:rPr>
        <w:t>“</w:t>
      </w:r>
      <w:r>
        <w:rPr>
          <w:rFonts w:ascii="宋体" w:hAnsi="宋体" w:hint="eastAsia"/>
          <w:szCs w:val="21"/>
        </w:rPr>
        <w:t>前端模式申购</w:t>
      </w:r>
      <w:r>
        <w:rPr>
          <w:rFonts w:ascii="宋体" w:hAnsi="宋体"/>
          <w:szCs w:val="21"/>
        </w:rPr>
        <w:t>”</w:t>
      </w:r>
      <w:r>
        <w:rPr>
          <w:rFonts w:ascii="宋体" w:hAnsi="宋体" w:hint="eastAsia"/>
          <w:szCs w:val="21"/>
        </w:rPr>
        <w:t>是指申购基金时就需要支付申购费的购买方式。</w:t>
      </w:r>
    </w:p>
    <w:p w:rsidR="005201F9" w:rsidRDefault="005201F9">
      <w:pPr>
        <w:autoSpaceDE w:val="0"/>
        <w:autoSpaceDN w:val="0"/>
        <w:adjustRightInd w:val="0"/>
        <w:spacing w:line="360" w:lineRule="auto"/>
        <w:ind w:firstLineChars="135" w:firstLine="283"/>
        <w:jc w:val="left"/>
        <w:rPr>
          <w:rFonts w:ascii="宋体" w:hAnsi="宋体" w:hint="eastAsia"/>
          <w:szCs w:val="21"/>
        </w:rPr>
      </w:pPr>
      <w:r>
        <w:rPr>
          <w:rFonts w:ascii="宋体" w:hAnsi="宋体" w:hint="eastAsia"/>
          <w:szCs w:val="21"/>
        </w:rPr>
        <w:t>3、客户通过交通银行柜面、网银等非手机银行渠道签约的定期定额投资在手机银行渠道费率优惠活动期间内的扣款不享受</w:t>
      </w:r>
      <w:r>
        <w:rPr>
          <w:rFonts w:ascii="宋体" w:hAnsi="宋体"/>
          <w:szCs w:val="21"/>
        </w:rPr>
        <w:t>1</w:t>
      </w:r>
      <w:r>
        <w:rPr>
          <w:rFonts w:ascii="宋体" w:hAnsi="宋体" w:hint="eastAsia"/>
          <w:szCs w:val="21"/>
        </w:rPr>
        <w:t>折费率优惠。</w:t>
      </w:r>
    </w:p>
    <w:p w:rsidR="005201F9" w:rsidRDefault="005201F9">
      <w:pPr>
        <w:autoSpaceDE w:val="0"/>
        <w:autoSpaceDN w:val="0"/>
        <w:adjustRightInd w:val="0"/>
        <w:spacing w:line="360" w:lineRule="auto"/>
        <w:ind w:firstLineChars="135" w:firstLine="283"/>
        <w:jc w:val="left"/>
        <w:rPr>
          <w:rFonts w:ascii="宋体" w:hAnsi="宋体" w:hint="eastAsia"/>
          <w:szCs w:val="21"/>
        </w:rPr>
      </w:pPr>
      <w:r>
        <w:rPr>
          <w:rFonts w:ascii="宋体" w:hAnsi="宋体" w:hint="eastAsia"/>
          <w:szCs w:val="21"/>
        </w:rPr>
        <w:t>4、费率优惠期限内，如本公司新增通过交通银行销售的基金产品，将同时开通该基金上述优惠活动。</w:t>
      </w:r>
    </w:p>
    <w:p w:rsidR="005201F9" w:rsidRDefault="005201F9">
      <w:pPr>
        <w:autoSpaceDE w:val="0"/>
        <w:autoSpaceDN w:val="0"/>
        <w:adjustRightInd w:val="0"/>
        <w:spacing w:line="360" w:lineRule="auto"/>
        <w:ind w:firstLineChars="135" w:firstLine="283"/>
        <w:jc w:val="left"/>
        <w:rPr>
          <w:rFonts w:ascii="宋体" w:hAnsi="宋体" w:hint="eastAsia"/>
          <w:szCs w:val="21"/>
        </w:rPr>
      </w:pPr>
      <w:r>
        <w:rPr>
          <w:rFonts w:ascii="宋体" w:hAnsi="宋体" w:hint="eastAsia"/>
          <w:szCs w:val="21"/>
        </w:rPr>
        <w:t>5、本次费率优惠活动的具体费率折扣及优惠活动期限如有变化，请以交通银行的相关规定和公告为准。</w:t>
      </w:r>
    </w:p>
    <w:p w:rsidR="005201F9" w:rsidRDefault="005201F9">
      <w:pPr>
        <w:spacing w:line="360" w:lineRule="auto"/>
        <w:rPr>
          <w:rFonts w:ascii="宋体" w:hAnsi="宋体" w:hint="eastAsia"/>
          <w:szCs w:val="21"/>
        </w:rPr>
      </w:pPr>
    </w:p>
    <w:p w:rsidR="005201F9" w:rsidRDefault="005201F9">
      <w:pPr>
        <w:outlineLvl w:val="0"/>
        <w:rPr>
          <w:rFonts w:ascii="宋体" w:hAnsi="宋体" w:hint="eastAsia"/>
          <w:szCs w:val="21"/>
        </w:rPr>
      </w:pPr>
      <w:r>
        <w:rPr>
          <w:rFonts w:ascii="宋体" w:hAnsi="宋体" w:hint="eastAsia"/>
          <w:szCs w:val="21"/>
        </w:rPr>
        <w:t>六、业务咨询</w:t>
      </w:r>
    </w:p>
    <w:p w:rsidR="005201F9" w:rsidRDefault="005201F9">
      <w:pPr>
        <w:rPr>
          <w:rFonts w:ascii="宋体" w:hAnsi="宋体"/>
          <w:szCs w:val="21"/>
        </w:rPr>
      </w:pPr>
    </w:p>
    <w:p w:rsidR="005201F9" w:rsidRDefault="005201F9">
      <w:pPr>
        <w:ind w:firstLineChars="200" w:firstLine="420"/>
        <w:rPr>
          <w:rFonts w:ascii="宋体" w:hAnsi="宋体"/>
          <w:szCs w:val="21"/>
        </w:rPr>
      </w:pPr>
      <w:r>
        <w:rPr>
          <w:rFonts w:ascii="宋体" w:hAnsi="宋体" w:hint="eastAsia"/>
          <w:szCs w:val="21"/>
        </w:rPr>
        <w:t xml:space="preserve"> 交通银行的开放式基金代销资格已获中国证监会批准。投资者若有疑问，可通过以下途径咨询有关情况：</w:t>
      </w:r>
    </w:p>
    <w:p w:rsidR="005201F9" w:rsidRDefault="005201F9">
      <w:pPr>
        <w:ind w:firstLineChars="200" w:firstLine="420"/>
        <w:rPr>
          <w:rFonts w:ascii="宋体" w:hAnsi="宋体" w:hint="eastAsia"/>
          <w:szCs w:val="21"/>
        </w:rPr>
      </w:pPr>
      <w:r>
        <w:rPr>
          <w:rFonts w:ascii="宋体" w:hAnsi="宋体" w:hint="eastAsia"/>
          <w:szCs w:val="21"/>
        </w:rPr>
        <w:t>1、交通银行股份有限公司</w:t>
      </w:r>
    </w:p>
    <w:p w:rsidR="005201F9" w:rsidRDefault="005201F9">
      <w:pPr>
        <w:ind w:firstLineChars="200" w:firstLine="420"/>
        <w:rPr>
          <w:rFonts w:ascii="宋体" w:hAnsi="宋体" w:hint="eastAsia"/>
          <w:szCs w:val="21"/>
        </w:rPr>
      </w:pPr>
      <w:r>
        <w:rPr>
          <w:rFonts w:ascii="宋体" w:hAnsi="宋体" w:hint="eastAsia"/>
          <w:szCs w:val="21"/>
        </w:rPr>
        <w:t>客服电话：95559</w:t>
      </w:r>
    </w:p>
    <w:p w:rsidR="005201F9" w:rsidRDefault="005201F9">
      <w:pPr>
        <w:ind w:firstLineChars="200" w:firstLine="420"/>
        <w:rPr>
          <w:rFonts w:ascii="宋体" w:hAnsi="宋体"/>
          <w:szCs w:val="21"/>
        </w:rPr>
      </w:pPr>
      <w:r>
        <w:rPr>
          <w:rFonts w:ascii="宋体" w:hAnsi="宋体" w:hint="eastAsia"/>
          <w:szCs w:val="21"/>
        </w:rPr>
        <w:t>公司网址：www.bankcomm.com</w:t>
      </w:r>
    </w:p>
    <w:p w:rsidR="005201F9" w:rsidRDefault="005201F9">
      <w:pPr>
        <w:ind w:firstLine="420"/>
        <w:rPr>
          <w:rFonts w:ascii="宋体" w:hAnsi="宋体" w:hint="eastAsia"/>
          <w:szCs w:val="21"/>
        </w:rPr>
      </w:pPr>
    </w:p>
    <w:p w:rsidR="005201F9" w:rsidRDefault="005201F9">
      <w:pPr>
        <w:ind w:firstLine="420"/>
        <w:rPr>
          <w:rFonts w:ascii="宋体" w:hAnsi="宋体"/>
          <w:szCs w:val="21"/>
        </w:rPr>
      </w:pPr>
      <w:r>
        <w:rPr>
          <w:rFonts w:ascii="宋体" w:hAnsi="宋体" w:hint="eastAsia"/>
          <w:szCs w:val="21"/>
        </w:rPr>
        <w:t xml:space="preserve">2、华泰柏瑞基金管理有限公司 </w:t>
      </w:r>
    </w:p>
    <w:p w:rsidR="005201F9" w:rsidRDefault="005201F9">
      <w:pPr>
        <w:ind w:firstLineChars="200" w:firstLine="420"/>
        <w:rPr>
          <w:rFonts w:ascii="宋体" w:hAnsi="宋体"/>
          <w:szCs w:val="21"/>
        </w:rPr>
      </w:pPr>
      <w:r>
        <w:rPr>
          <w:rFonts w:ascii="宋体" w:hAnsi="宋体" w:hint="eastAsia"/>
          <w:szCs w:val="21"/>
        </w:rPr>
        <w:t>客服电话：400-888-0001、（021）38784638</w:t>
      </w:r>
    </w:p>
    <w:p w:rsidR="005201F9" w:rsidRDefault="005201F9">
      <w:pPr>
        <w:ind w:firstLineChars="200" w:firstLine="420"/>
        <w:rPr>
          <w:rFonts w:ascii="宋体" w:hAnsi="宋体"/>
          <w:szCs w:val="21"/>
        </w:rPr>
      </w:pPr>
      <w:r>
        <w:rPr>
          <w:rFonts w:ascii="宋体" w:hAnsi="宋体" w:hint="eastAsia"/>
          <w:szCs w:val="21"/>
        </w:rPr>
        <w:t xml:space="preserve">公司网址：www.huatai-pb.com </w:t>
      </w:r>
    </w:p>
    <w:p w:rsidR="005201F9" w:rsidRDefault="005201F9">
      <w:pPr>
        <w:rPr>
          <w:rFonts w:ascii="宋体" w:hAnsi="宋体"/>
          <w:szCs w:val="21"/>
        </w:rPr>
      </w:pPr>
    </w:p>
    <w:p w:rsidR="005201F9" w:rsidRDefault="005201F9">
      <w:pPr>
        <w:widowControl/>
        <w:spacing w:line="225" w:lineRule="atLeast"/>
        <w:ind w:firstLineChars="200" w:firstLine="420"/>
        <w:jc w:val="left"/>
        <w:rPr>
          <w:rFonts w:ascii="宋体" w:hAnsi="宋体"/>
          <w:szCs w:val="21"/>
        </w:rPr>
      </w:pPr>
      <w:r>
        <w:rPr>
          <w:rFonts w:ascii="宋体" w:hAnsi="宋体" w:hint="eastAsia"/>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并注意投资风险。</w:t>
      </w:r>
    </w:p>
    <w:p w:rsidR="005201F9" w:rsidRDefault="005201F9">
      <w:pPr>
        <w:widowControl/>
        <w:spacing w:line="225" w:lineRule="atLeast"/>
        <w:jc w:val="left"/>
        <w:rPr>
          <w:rFonts w:ascii="宋体" w:hAnsi="宋体"/>
          <w:szCs w:val="21"/>
        </w:rPr>
      </w:pPr>
      <w:r>
        <w:rPr>
          <w:rFonts w:ascii="宋体" w:hAnsi="宋体"/>
          <w:szCs w:val="21"/>
        </w:rPr>
        <w:br/>
        <w:t xml:space="preserve">    </w:t>
      </w:r>
      <w:r>
        <w:rPr>
          <w:rFonts w:ascii="宋体" w:hAnsi="宋体" w:hint="eastAsia"/>
          <w:szCs w:val="21"/>
        </w:rPr>
        <w:t>特此公告。</w:t>
      </w:r>
    </w:p>
    <w:p w:rsidR="005201F9" w:rsidRDefault="005201F9">
      <w:pPr>
        <w:adjustRightInd w:val="0"/>
        <w:snapToGrid w:val="0"/>
        <w:spacing w:line="360" w:lineRule="auto"/>
        <w:ind w:firstLineChars="200" w:firstLine="420"/>
        <w:rPr>
          <w:rFonts w:ascii="宋体" w:hAnsi="宋体"/>
          <w:szCs w:val="21"/>
        </w:rPr>
      </w:pPr>
    </w:p>
    <w:p w:rsidR="005201F9" w:rsidRDefault="005201F9">
      <w:pPr>
        <w:adjustRightInd w:val="0"/>
        <w:snapToGrid w:val="0"/>
        <w:spacing w:line="360" w:lineRule="auto"/>
        <w:ind w:firstLineChars="200" w:firstLine="420"/>
        <w:jc w:val="right"/>
        <w:rPr>
          <w:rFonts w:ascii="宋体" w:hAnsi="宋体" w:hint="eastAsia"/>
          <w:szCs w:val="21"/>
        </w:rPr>
      </w:pPr>
      <w:r>
        <w:rPr>
          <w:rFonts w:ascii="宋体" w:hAnsi="宋体" w:hint="eastAsia"/>
          <w:szCs w:val="21"/>
        </w:rPr>
        <w:t>华泰柏瑞基金管理有限公司</w:t>
      </w:r>
    </w:p>
    <w:p w:rsidR="005D18AF" w:rsidRDefault="005201F9">
      <w:pPr>
        <w:adjustRightInd w:val="0"/>
        <w:snapToGrid w:val="0"/>
        <w:spacing w:line="360" w:lineRule="auto"/>
        <w:ind w:firstLineChars="200" w:firstLine="420"/>
        <w:jc w:val="right"/>
        <w:rPr>
          <w:rFonts w:ascii="宋体" w:hAnsi="宋体"/>
          <w:szCs w:val="21"/>
        </w:rPr>
      </w:pPr>
      <w:r>
        <w:rPr>
          <w:rFonts w:ascii="宋体" w:hAnsi="宋体"/>
          <w:szCs w:val="21"/>
        </w:rPr>
        <w:t>20</w:t>
      </w:r>
      <w:r>
        <w:rPr>
          <w:rFonts w:ascii="宋体" w:hAnsi="宋体" w:hint="eastAsia"/>
          <w:szCs w:val="21"/>
        </w:rPr>
        <w:t>20</w:t>
      </w:r>
      <w:r>
        <w:rPr>
          <w:rFonts w:ascii="宋体" w:hAnsi="宋体"/>
          <w:szCs w:val="21"/>
        </w:rPr>
        <w:t>年</w:t>
      </w:r>
      <w:r>
        <w:rPr>
          <w:rFonts w:ascii="宋体" w:hAnsi="宋体" w:hint="eastAsia"/>
          <w:szCs w:val="21"/>
        </w:rPr>
        <w:t>6月30日</w:t>
      </w:r>
    </w:p>
    <w:sectPr w:rsidR="005D18A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F9" w:rsidRDefault="005201F9"/>
  </w:endnote>
  <w:endnote w:type="continuationSeparator" w:id="0">
    <w:p w:rsidR="005201F9" w:rsidRDefault="005201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F9" w:rsidRDefault="005201F9"/>
  </w:footnote>
  <w:footnote w:type="continuationSeparator" w:id="0">
    <w:p w:rsidR="005201F9" w:rsidRDefault="005201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E93"/>
    <w:multiLevelType w:val="hybridMultilevel"/>
    <w:tmpl w:val="044C5616"/>
    <w:lvl w:ilvl="0" w:tplc="060660D8">
      <w:start w:val="1"/>
      <w:numFmt w:val="japaneseCounting"/>
      <w:lvlText w:val="%1、"/>
      <w:lvlJc w:val="left"/>
      <w:pPr>
        <w:ind w:left="1146" w:hanging="720"/>
      </w:pPr>
      <w:rPr>
        <w:rFonts w:hint="default"/>
        <w:lang w:val="en-US"/>
      </w:rPr>
    </w:lvl>
    <w:lvl w:ilvl="1" w:tplc="04090019" w:tentative="1">
      <w:start w:val="1"/>
      <w:numFmt w:val="lowerLetter"/>
      <w:lvlText w:val="%2)"/>
      <w:lvlJc w:val="left"/>
      <w:pPr>
        <w:ind w:left="1708" w:hanging="420"/>
      </w:pPr>
    </w:lvl>
    <w:lvl w:ilvl="2" w:tplc="0409001B" w:tentative="1">
      <w:start w:val="1"/>
      <w:numFmt w:val="lowerRoman"/>
      <w:lvlText w:val="%3."/>
      <w:lvlJc w:val="right"/>
      <w:pPr>
        <w:ind w:left="2128" w:hanging="420"/>
      </w:pPr>
    </w:lvl>
    <w:lvl w:ilvl="3" w:tplc="0409000F" w:tentative="1">
      <w:start w:val="1"/>
      <w:numFmt w:val="decimal"/>
      <w:lvlText w:val="%4."/>
      <w:lvlJc w:val="left"/>
      <w:pPr>
        <w:ind w:left="2548" w:hanging="420"/>
      </w:pPr>
    </w:lvl>
    <w:lvl w:ilvl="4" w:tplc="04090019" w:tentative="1">
      <w:start w:val="1"/>
      <w:numFmt w:val="lowerLetter"/>
      <w:lvlText w:val="%5)"/>
      <w:lvlJc w:val="left"/>
      <w:pPr>
        <w:ind w:left="2968" w:hanging="420"/>
      </w:pPr>
    </w:lvl>
    <w:lvl w:ilvl="5" w:tplc="0409001B" w:tentative="1">
      <w:start w:val="1"/>
      <w:numFmt w:val="lowerRoman"/>
      <w:lvlText w:val="%6."/>
      <w:lvlJc w:val="right"/>
      <w:pPr>
        <w:ind w:left="3388" w:hanging="420"/>
      </w:pPr>
    </w:lvl>
    <w:lvl w:ilvl="6" w:tplc="0409000F" w:tentative="1">
      <w:start w:val="1"/>
      <w:numFmt w:val="decimal"/>
      <w:lvlText w:val="%7."/>
      <w:lvlJc w:val="left"/>
      <w:pPr>
        <w:ind w:left="3808" w:hanging="420"/>
      </w:pPr>
    </w:lvl>
    <w:lvl w:ilvl="7" w:tplc="04090019" w:tentative="1">
      <w:start w:val="1"/>
      <w:numFmt w:val="lowerLetter"/>
      <w:lvlText w:val="%8)"/>
      <w:lvlJc w:val="left"/>
      <w:pPr>
        <w:ind w:left="4228" w:hanging="420"/>
      </w:pPr>
    </w:lvl>
    <w:lvl w:ilvl="8" w:tplc="0409001B" w:tentative="1">
      <w:start w:val="1"/>
      <w:numFmt w:val="lowerRoman"/>
      <w:lvlText w:val="%9."/>
      <w:lvlJc w:val="right"/>
      <w:pPr>
        <w:ind w:left="4648" w:hanging="420"/>
      </w:pPr>
    </w:lvl>
  </w:abstractNum>
  <w:abstractNum w:abstractNumId="1">
    <w:nsid w:val="47C80E5A"/>
    <w:multiLevelType w:val="hybridMultilevel"/>
    <w:tmpl w:val="7B5E252C"/>
    <w:lvl w:ilvl="0" w:tplc="0D3E4D6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68F3"/>
    <w:rsid w:val="003B68F3"/>
    <w:rsid w:val="005201F9"/>
    <w:rsid w:val="005D18AF"/>
    <w:rsid w:val="00CA760C"/>
    <w:rsid w:val="00E27C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uiPriority w:val="99"/>
    <w:rPr>
      <w:kern w:val="2"/>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lang/>
    </w:rPr>
  </w:style>
  <w:style w:type="character" w:customStyle="1" w:styleId="Char0">
    <w:name w:val="页脚 Char"/>
    <w:link w:val="a6"/>
    <w:uiPriority w:val="99"/>
    <w:rPr>
      <w:kern w:val="2"/>
      <w:sz w:val="18"/>
      <w:szCs w:val="18"/>
    </w:rPr>
  </w:style>
  <w:style w:type="character" w:customStyle="1" w:styleId="apple-converted-space">
    <w:name w:val="apple-converted-space"/>
    <w:basedOn w:val="a0"/>
  </w:style>
  <w:style w:type="paragraph" w:styleId="a7">
    <w:name w:val="Balloon Text"/>
    <w:basedOn w:val="a"/>
    <w:link w:val="Char1"/>
    <w:uiPriority w:val="99"/>
    <w:semiHidden/>
    <w:unhideWhenUsed/>
    <w:rPr>
      <w:sz w:val="18"/>
      <w:szCs w:val="18"/>
      <w:lang/>
    </w:rPr>
  </w:style>
  <w:style w:type="character" w:customStyle="1" w:styleId="Char1">
    <w:name w:val="批注框文本 Char"/>
    <w:link w:val="a7"/>
    <w:uiPriority w:val="99"/>
    <w:semiHidden/>
    <w:rPr>
      <w:kern w:val="2"/>
      <w:sz w:val="18"/>
      <w:szCs w:val="18"/>
    </w:rPr>
  </w:style>
  <w:style w:type="character" w:styleId="a8">
    <w:name w:val="Hyperlink"/>
    <w:uiPriority w:val="99"/>
    <w:unhideWhenUsed/>
    <w:rPr>
      <w:color w:val="0000FF"/>
      <w:u w:val="single"/>
    </w:rPr>
  </w:style>
  <w:style w:type="character" w:styleId="a9">
    <w:name w:val="annotation reference"/>
    <w:uiPriority w:val="99"/>
    <w:semiHidden/>
    <w:unhideWhenUsed/>
    <w:rPr>
      <w:sz w:val="21"/>
      <w:szCs w:val="21"/>
    </w:rPr>
  </w:style>
  <w:style w:type="paragraph" w:styleId="aa">
    <w:name w:val="annotation text"/>
    <w:basedOn w:val="a"/>
    <w:link w:val="Char2"/>
    <w:uiPriority w:val="99"/>
    <w:semiHidden/>
    <w:unhideWhenUsed/>
    <w:pPr>
      <w:jc w:val="left"/>
    </w:pPr>
    <w:rPr>
      <w:lang/>
    </w:rPr>
  </w:style>
  <w:style w:type="character" w:customStyle="1" w:styleId="Char2">
    <w:name w:val="批注文字 Char"/>
    <w:link w:val="aa"/>
    <w:uiPriority w:val="99"/>
    <w:semiHidden/>
    <w:rPr>
      <w:kern w:val="2"/>
      <w:sz w:val="21"/>
      <w:szCs w:val="24"/>
    </w:rPr>
  </w:style>
  <w:style w:type="paragraph" w:styleId="ab">
    <w:name w:val="annotation subject"/>
    <w:basedOn w:val="aa"/>
    <w:next w:val="aa"/>
    <w:link w:val="Char3"/>
    <w:uiPriority w:val="99"/>
    <w:semiHidden/>
    <w:unhideWhenUsed/>
    <w:rPr>
      <w:b/>
      <w:bCs/>
    </w:rPr>
  </w:style>
  <w:style w:type="character" w:customStyle="1" w:styleId="Char3">
    <w:name w:val="批注主题 Char"/>
    <w:link w:val="ab"/>
    <w:uiPriority w:val="99"/>
    <w:semiHidden/>
    <w:rPr>
      <w:b/>
      <w:bCs/>
      <w:kern w:val="2"/>
      <w:sz w:val="21"/>
      <w:szCs w:val="24"/>
    </w:rPr>
  </w:style>
  <w:style w:type="paragraph" w:styleId="ac">
    <w:name w:val="Document Map"/>
    <w:basedOn w:val="a"/>
    <w:link w:val="Char4"/>
    <w:uiPriority w:val="99"/>
    <w:semiHidden/>
    <w:unhideWhenUsed/>
    <w:rPr>
      <w:rFonts w:ascii="宋体"/>
      <w:sz w:val="18"/>
      <w:szCs w:val="18"/>
      <w:lang/>
    </w:rPr>
  </w:style>
  <w:style w:type="character" w:customStyle="1" w:styleId="Char4">
    <w:name w:val="文档结构图 Char"/>
    <w:link w:val="ac"/>
    <w:uiPriority w:val="99"/>
    <w:semiHidden/>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617177063">
      <w:bodyDiv w:val="1"/>
      <w:marLeft w:val="0"/>
      <w:marRight w:val="0"/>
      <w:marTop w:val="0"/>
      <w:marBottom w:val="0"/>
      <w:divBdr>
        <w:top w:val="none" w:sz="0" w:space="0" w:color="auto"/>
        <w:left w:val="none" w:sz="0" w:space="0" w:color="auto"/>
        <w:bottom w:val="none" w:sz="0" w:space="0" w:color="auto"/>
        <w:right w:val="none" w:sz="0" w:space="0" w:color="auto"/>
      </w:divBdr>
    </w:div>
    <w:div w:id="776677452">
      <w:bodyDiv w:val="1"/>
      <w:marLeft w:val="0"/>
      <w:marRight w:val="0"/>
      <w:marTop w:val="0"/>
      <w:marBottom w:val="0"/>
      <w:divBdr>
        <w:top w:val="none" w:sz="0" w:space="0" w:color="auto"/>
        <w:left w:val="none" w:sz="0" w:space="0" w:color="auto"/>
        <w:bottom w:val="none" w:sz="0" w:space="0" w:color="auto"/>
        <w:right w:val="none" w:sz="0" w:space="0" w:color="auto"/>
      </w:divBdr>
    </w:div>
    <w:div w:id="1014575058">
      <w:bodyDiv w:val="1"/>
      <w:marLeft w:val="0"/>
      <w:marRight w:val="0"/>
      <w:marTop w:val="0"/>
      <w:marBottom w:val="0"/>
      <w:divBdr>
        <w:top w:val="none" w:sz="0" w:space="0" w:color="auto"/>
        <w:left w:val="none" w:sz="0" w:space="0" w:color="auto"/>
        <w:bottom w:val="none" w:sz="0" w:space="0" w:color="auto"/>
        <w:right w:val="none" w:sz="0" w:space="0" w:color="auto"/>
      </w:divBdr>
    </w:div>
    <w:div w:id="1076395809">
      <w:bodyDiv w:val="1"/>
      <w:marLeft w:val="0"/>
      <w:marRight w:val="0"/>
      <w:marTop w:val="0"/>
      <w:marBottom w:val="0"/>
      <w:divBdr>
        <w:top w:val="none" w:sz="0" w:space="0" w:color="auto"/>
        <w:left w:val="none" w:sz="0" w:space="0" w:color="auto"/>
        <w:bottom w:val="none" w:sz="0" w:space="0" w:color="auto"/>
        <w:right w:val="none" w:sz="0" w:space="0" w:color="auto"/>
      </w:divBdr>
    </w:div>
    <w:div w:id="1290739717">
      <w:bodyDiv w:val="1"/>
      <w:marLeft w:val="0"/>
      <w:marRight w:val="0"/>
      <w:marTop w:val="0"/>
      <w:marBottom w:val="0"/>
      <w:divBdr>
        <w:top w:val="none" w:sz="0" w:space="0" w:color="auto"/>
        <w:left w:val="none" w:sz="0" w:space="0" w:color="auto"/>
        <w:bottom w:val="none" w:sz="0" w:space="0" w:color="auto"/>
        <w:right w:val="none" w:sz="0" w:space="0" w:color="auto"/>
      </w:divBdr>
    </w:div>
    <w:div w:id="1515076189">
      <w:bodyDiv w:val="1"/>
      <w:marLeft w:val="0"/>
      <w:marRight w:val="0"/>
      <w:marTop w:val="0"/>
      <w:marBottom w:val="0"/>
      <w:divBdr>
        <w:top w:val="none" w:sz="0" w:space="0" w:color="auto"/>
        <w:left w:val="none" w:sz="0" w:space="0" w:color="auto"/>
        <w:bottom w:val="none" w:sz="0" w:space="0" w:color="auto"/>
        <w:right w:val="none" w:sz="0" w:space="0" w:color="auto"/>
      </w:divBdr>
    </w:div>
    <w:div w:id="1729647274">
      <w:bodyDiv w:val="1"/>
      <w:marLeft w:val="0"/>
      <w:marRight w:val="0"/>
      <w:marTop w:val="0"/>
      <w:marBottom w:val="0"/>
      <w:divBdr>
        <w:top w:val="none" w:sz="0" w:space="0" w:color="auto"/>
        <w:left w:val="none" w:sz="0" w:space="0" w:color="auto"/>
        <w:bottom w:val="none" w:sz="0" w:space="0" w:color="auto"/>
        <w:right w:val="none" w:sz="0" w:space="0" w:color="auto"/>
      </w:divBdr>
      <w:divsChild>
        <w:div w:id="17702910">
          <w:marLeft w:val="0"/>
          <w:marRight w:val="0"/>
          <w:marTop w:val="180"/>
          <w:marBottom w:val="0"/>
          <w:divBdr>
            <w:top w:val="none" w:sz="0" w:space="0" w:color="auto"/>
            <w:left w:val="none" w:sz="0" w:space="0" w:color="auto"/>
            <w:bottom w:val="none" w:sz="0" w:space="0" w:color="auto"/>
            <w:right w:val="none" w:sz="0" w:space="0" w:color="auto"/>
          </w:divBdr>
          <w:divsChild>
            <w:div w:id="1224759098">
              <w:marLeft w:val="0"/>
              <w:marRight w:val="0"/>
              <w:marTop w:val="0"/>
              <w:marBottom w:val="0"/>
              <w:divBdr>
                <w:top w:val="none" w:sz="0" w:space="0" w:color="auto"/>
                <w:left w:val="none" w:sz="0" w:space="0" w:color="auto"/>
                <w:bottom w:val="none" w:sz="0" w:space="0" w:color="auto"/>
                <w:right w:val="none" w:sz="0" w:space="0" w:color="auto"/>
              </w:divBdr>
              <w:divsChild>
                <w:div w:id="1259559587">
                  <w:marLeft w:val="0"/>
                  <w:marRight w:val="0"/>
                  <w:marTop w:val="0"/>
                  <w:marBottom w:val="0"/>
                  <w:divBdr>
                    <w:top w:val="none" w:sz="0" w:space="0" w:color="auto"/>
                    <w:left w:val="none" w:sz="0" w:space="0" w:color="auto"/>
                    <w:bottom w:val="none" w:sz="0" w:space="0" w:color="auto"/>
                    <w:right w:val="none" w:sz="0" w:space="0" w:color="auto"/>
                  </w:divBdr>
                  <w:divsChild>
                    <w:div w:id="1875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5904">
      <w:bodyDiv w:val="1"/>
      <w:marLeft w:val="0"/>
      <w:marRight w:val="0"/>
      <w:marTop w:val="0"/>
      <w:marBottom w:val="0"/>
      <w:divBdr>
        <w:top w:val="none" w:sz="0" w:space="0" w:color="auto"/>
        <w:left w:val="none" w:sz="0" w:space="0" w:color="auto"/>
        <w:bottom w:val="none" w:sz="0" w:space="0" w:color="auto"/>
        <w:right w:val="none" w:sz="0" w:space="0" w:color="auto"/>
      </w:divBdr>
    </w:div>
    <w:div w:id="2026126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6D4D-DC89-4EC2-8186-80EE12B1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2223</Characters>
  <Application>Microsoft Office Word</Application>
  <DocSecurity>4</DocSecurity>
  <PresentationFormat/>
  <Lines>18</Lines>
  <Paragraphs>5</Paragraphs>
  <Slides>0</Slides>
  <Notes>0</Notes>
  <HiddenSlides>0</HiddenSlides>
  <MMClips>0</MMClips>
  <ScaleCrop>false</ScaleCrop>
  <Company>ICBC</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中国工商银行开展个人电子银行基金</dc:title>
  <dc:subject/>
  <dc:creator>王佺</dc:creator>
  <cp:keywords/>
  <cp:lastModifiedBy>ZHONGM</cp:lastModifiedBy>
  <cp:revision>2</cp:revision>
  <dcterms:created xsi:type="dcterms:W3CDTF">2020-06-29T16:01:00Z</dcterms:created>
  <dcterms:modified xsi:type="dcterms:W3CDTF">2020-06-29T16:01:00Z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2052-9.1.0.4176</vt:lpwstr>
  </property>
</Properties>
</file>