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28" w:rsidRPr="0093549C" w:rsidRDefault="00D07928" w:rsidP="00065374">
      <w:pPr>
        <w:widowControl/>
        <w:shd w:val="clear" w:color="auto" w:fill="FFFFFF"/>
        <w:spacing w:after="150"/>
        <w:jc w:val="center"/>
        <w:textAlignment w:val="baseline"/>
        <w:outlineLvl w:val="1"/>
        <w:rPr>
          <w:rFonts w:ascii="Microsoft Yahei" w:eastAsia="宋体" w:hAnsi="Microsoft Yahei" w:cs="宋体" w:hint="eastAsia"/>
          <w:b/>
          <w:bCs/>
          <w:color w:val="1E5E91"/>
          <w:kern w:val="0"/>
          <w:sz w:val="32"/>
          <w:szCs w:val="32"/>
        </w:rPr>
      </w:pPr>
      <w:r w:rsidRPr="0093549C">
        <w:rPr>
          <w:rFonts w:ascii="Microsoft Yahei" w:eastAsia="宋体" w:hAnsi="Microsoft Yahei" w:cs="宋体"/>
          <w:b/>
          <w:bCs/>
          <w:color w:val="1E5E91"/>
          <w:kern w:val="0"/>
          <w:sz w:val="32"/>
          <w:szCs w:val="32"/>
        </w:rPr>
        <w:t>海富通基金管理有限公司关于旗下部分基金</w:t>
      </w:r>
      <w:bookmarkStart w:id="0" w:name="_GoBack"/>
      <w:r w:rsidRPr="0093549C">
        <w:rPr>
          <w:rFonts w:ascii="Microsoft Yahei" w:eastAsia="宋体" w:hAnsi="Microsoft Yahei" w:cs="宋体"/>
          <w:b/>
          <w:bCs/>
          <w:color w:val="1E5E91"/>
          <w:kern w:val="0"/>
          <w:sz w:val="32"/>
          <w:szCs w:val="32"/>
        </w:rPr>
        <w:t>继续参加交通银行手机银行渠道基金申购及定期定额投资费率优惠活动</w:t>
      </w:r>
      <w:bookmarkEnd w:id="0"/>
      <w:r w:rsidRPr="0093549C">
        <w:rPr>
          <w:rFonts w:ascii="Microsoft Yahei" w:eastAsia="宋体" w:hAnsi="Microsoft Yahei" w:cs="宋体"/>
          <w:b/>
          <w:bCs/>
          <w:color w:val="1E5E91"/>
          <w:kern w:val="0"/>
          <w:sz w:val="32"/>
          <w:szCs w:val="32"/>
        </w:rPr>
        <w:t>的公告</w:t>
      </w:r>
    </w:p>
    <w:p w:rsidR="00392AAB" w:rsidRPr="0093549C" w:rsidRDefault="003151EA" w:rsidP="00297F8B">
      <w:pPr>
        <w:ind w:firstLineChars="200" w:firstLine="460"/>
        <w:rPr>
          <w:rFonts w:ascii="宋体" w:eastAsia="宋体" w:hAnsi="宋体" w:cs="宋体"/>
          <w:color w:val="000000" w:themeColor="text1"/>
          <w:kern w:val="0"/>
          <w:sz w:val="23"/>
          <w:szCs w:val="23"/>
          <w:bdr w:val="none" w:sz="0" w:space="0" w:color="auto" w:frame="1"/>
        </w:rPr>
      </w:pPr>
      <w:r w:rsidRPr="0093549C">
        <w:rPr>
          <w:rFonts w:ascii="宋体" w:eastAsia="宋体" w:hAnsi="宋体" w:cs="宋体" w:hint="eastAsia"/>
          <w:color w:val="000000" w:themeColor="text1"/>
          <w:kern w:val="0"/>
          <w:sz w:val="23"/>
          <w:szCs w:val="23"/>
          <w:bdr w:val="none" w:sz="0" w:space="0" w:color="auto" w:frame="1"/>
        </w:rPr>
        <w:t>为满足广大投资者的理财需求，经海富通基金管理有限公司（以下简称“本公司”）与交通银行股份有限公司（以下简称“交通银行”）协商一致，决定于</w:t>
      </w:r>
      <w:r w:rsidR="002E628E" w:rsidRPr="0093549C">
        <w:rPr>
          <w:rFonts w:ascii="宋体" w:eastAsia="宋体" w:hAnsi="宋体" w:cs="宋体" w:hint="eastAsia"/>
          <w:color w:val="000000" w:themeColor="text1"/>
          <w:kern w:val="0"/>
          <w:sz w:val="23"/>
          <w:szCs w:val="23"/>
          <w:bdr w:val="none" w:sz="0" w:space="0" w:color="auto" w:frame="1"/>
        </w:rPr>
        <w:t>2020年7月1日00:00至2020年12月31日24:00</w:t>
      </w:r>
      <w:r w:rsidRPr="0093549C">
        <w:rPr>
          <w:rFonts w:ascii="宋体" w:eastAsia="宋体" w:hAnsi="宋体" w:cs="宋体" w:hint="eastAsia"/>
          <w:color w:val="000000" w:themeColor="text1"/>
          <w:kern w:val="0"/>
          <w:sz w:val="23"/>
          <w:szCs w:val="23"/>
          <w:bdr w:val="none" w:sz="0" w:space="0" w:color="auto" w:frame="1"/>
        </w:rPr>
        <w:t>期间,本公司旗下部分开放式基金继续参加交通银行手机银行渠道基金申购及定期定额投资费率优惠活动。</w:t>
      </w:r>
    </w:p>
    <w:p w:rsidR="003F2B56" w:rsidRPr="0093549C" w:rsidRDefault="003F2B56" w:rsidP="00297F8B">
      <w:pPr>
        <w:ind w:firstLineChars="200" w:firstLine="460"/>
        <w:rPr>
          <w:color w:val="000000" w:themeColor="text1"/>
          <w:sz w:val="23"/>
          <w:szCs w:val="23"/>
          <w:shd w:val="clear" w:color="auto" w:fill="FFFFFF"/>
        </w:rPr>
      </w:pPr>
    </w:p>
    <w:p w:rsidR="00297F8B" w:rsidRPr="0093549C" w:rsidRDefault="00297F8B" w:rsidP="00297F8B">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000000" w:themeColor="text1"/>
          <w:sz w:val="23"/>
          <w:szCs w:val="23"/>
        </w:rPr>
      </w:pPr>
      <w:r w:rsidRPr="0093549C">
        <w:rPr>
          <w:rFonts w:hint="eastAsia"/>
          <w:color w:val="000000" w:themeColor="text1"/>
          <w:sz w:val="23"/>
          <w:szCs w:val="23"/>
          <w:bdr w:val="none" w:sz="0" w:space="0" w:color="auto" w:frame="1"/>
        </w:rPr>
        <w:t>一、适用投资者范围</w:t>
      </w:r>
    </w:p>
    <w:p w:rsidR="00297F8B" w:rsidRPr="0093549C" w:rsidRDefault="006C26A8" w:rsidP="00297F8B">
      <w:pPr>
        <w:pStyle w:val="a3"/>
        <w:shd w:val="clear" w:color="auto" w:fill="FFFFFF"/>
        <w:spacing w:before="0" w:beforeAutospacing="0" w:after="0" w:afterAutospacing="0" w:line="311" w:lineRule="atLeast"/>
        <w:ind w:right="30" w:firstLine="420"/>
        <w:textAlignment w:val="baseline"/>
        <w:rPr>
          <w:color w:val="000000" w:themeColor="text1"/>
          <w:sz w:val="23"/>
          <w:szCs w:val="23"/>
          <w:bdr w:val="none" w:sz="0" w:space="0" w:color="auto" w:frame="1"/>
        </w:rPr>
      </w:pPr>
      <w:r w:rsidRPr="0093549C">
        <w:rPr>
          <w:rFonts w:hint="eastAsia"/>
          <w:color w:val="000000" w:themeColor="text1"/>
          <w:sz w:val="23"/>
          <w:szCs w:val="23"/>
          <w:bdr w:val="none" w:sz="0" w:space="0" w:color="auto" w:frame="1"/>
        </w:rPr>
        <w:t>通过交通银行手机银行渠道申购及定期定额投资指定开放式基金的投资者</w:t>
      </w:r>
      <w:r w:rsidR="00297F8B" w:rsidRPr="0093549C">
        <w:rPr>
          <w:rFonts w:hint="eastAsia"/>
          <w:color w:val="000000" w:themeColor="text1"/>
          <w:sz w:val="23"/>
          <w:szCs w:val="23"/>
          <w:bdr w:val="none" w:sz="0" w:space="0" w:color="auto" w:frame="1"/>
        </w:rPr>
        <w:t>。</w:t>
      </w:r>
    </w:p>
    <w:p w:rsidR="003F2B56" w:rsidRPr="0093549C" w:rsidRDefault="003F2B56" w:rsidP="00297F8B">
      <w:pPr>
        <w:pStyle w:val="a3"/>
        <w:shd w:val="clear" w:color="auto" w:fill="FFFFFF"/>
        <w:spacing w:before="0" w:beforeAutospacing="0" w:after="0" w:afterAutospacing="0" w:line="311" w:lineRule="atLeast"/>
        <w:ind w:right="30" w:firstLine="420"/>
        <w:textAlignment w:val="baseline"/>
        <w:rPr>
          <w:color w:val="000000" w:themeColor="text1"/>
          <w:sz w:val="23"/>
          <w:szCs w:val="23"/>
          <w:bdr w:val="none" w:sz="0" w:space="0" w:color="auto" w:frame="1"/>
        </w:rPr>
      </w:pPr>
    </w:p>
    <w:p w:rsidR="0092064C" w:rsidRPr="0093549C" w:rsidRDefault="0092064C" w:rsidP="00297F8B">
      <w:pPr>
        <w:pStyle w:val="a3"/>
        <w:shd w:val="clear" w:color="auto" w:fill="FFFFFF"/>
        <w:spacing w:before="0" w:beforeAutospacing="0" w:after="0" w:afterAutospacing="0" w:line="311" w:lineRule="atLeast"/>
        <w:ind w:right="30" w:firstLine="420"/>
        <w:textAlignment w:val="baseline"/>
        <w:rPr>
          <w:color w:val="000000" w:themeColor="text1"/>
          <w:sz w:val="23"/>
          <w:szCs w:val="23"/>
          <w:shd w:val="clear" w:color="auto" w:fill="FFFFFF"/>
        </w:rPr>
      </w:pPr>
      <w:r w:rsidRPr="0093549C">
        <w:rPr>
          <w:rFonts w:hint="eastAsia"/>
          <w:color w:val="000000" w:themeColor="text1"/>
          <w:sz w:val="23"/>
          <w:szCs w:val="23"/>
          <w:shd w:val="clear" w:color="auto" w:fill="FFFFFF"/>
        </w:rPr>
        <w:t>二、适用基金</w:t>
      </w:r>
    </w:p>
    <w:tbl>
      <w:tblPr>
        <w:tblW w:w="8700" w:type="dxa"/>
        <w:tblInd w:w="93" w:type="dxa"/>
        <w:tblLook w:val="04A0"/>
      </w:tblPr>
      <w:tblGrid>
        <w:gridCol w:w="1000"/>
        <w:gridCol w:w="6480"/>
        <w:gridCol w:w="1220"/>
      </w:tblGrid>
      <w:tr w:rsidR="00C668C5" w:rsidRPr="0093549C" w:rsidTr="00C668C5">
        <w:trPr>
          <w:trHeight w:val="360"/>
        </w:trPr>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b/>
                <w:bCs/>
                <w:color w:val="000000"/>
                <w:kern w:val="0"/>
                <w:sz w:val="20"/>
                <w:szCs w:val="20"/>
              </w:rPr>
            </w:pPr>
            <w:r w:rsidRPr="0093549C">
              <w:rPr>
                <w:rFonts w:ascii="宋体" w:eastAsia="宋体" w:hAnsi="宋体" w:cs="宋体" w:hint="eastAsia"/>
                <w:b/>
                <w:bCs/>
                <w:color w:val="000000"/>
                <w:kern w:val="0"/>
                <w:sz w:val="20"/>
                <w:szCs w:val="20"/>
              </w:rPr>
              <w:t>序号</w:t>
            </w:r>
          </w:p>
        </w:tc>
        <w:tc>
          <w:tcPr>
            <w:tcW w:w="6480" w:type="dxa"/>
            <w:tcBorders>
              <w:top w:val="single" w:sz="4" w:space="0" w:color="auto"/>
              <w:left w:val="nil"/>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b/>
                <w:bCs/>
                <w:color w:val="000000"/>
                <w:kern w:val="0"/>
                <w:sz w:val="20"/>
                <w:szCs w:val="20"/>
              </w:rPr>
            </w:pPr>
            <w:r w:rsidRPr="0093549C">
              <w:rPr>
                <w:rFonts w:ascii="宋体" w:eastAsia="宋体" w:hAnsi="宋体" w:cs="宋体" w:hint="eastAsia"/>
                <w:b/>
                <w:bCs/>
                <w:color w:val="000000"/>
                <w:kern w:val="0"/>
                <w:sz w:val="20"/>
                <w:szCs w:val="20"/>
              </w:rPr>
              <w:t>基金名称</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b/>
                <w:bCs/>
                <w:color w:val="000000"/>
                <w:kern w:val="0"/>
                <w:sz w:val="20"/>
                <w:szCs w:val="20"/>
              </w:rPr>
            </w:pPr>
            <w:r w:rsidRPr="0093549C">
              <w:rPr>
                <w:rFonts w:ascii="宋体" w:eastAsia="宋体" w:hAnsi="宋体" w:cs="宋体" w:hint="eastAsia"/>
                <w:b/>
                <w:bCs/>
                <w:color w:val="000000"/>
                <w:kern w:val="0"/>
                <w:sz w:val="20"/>
                <w:szCs w:val="20"/>
              </w:rPr>
              <w:t>基金代码</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1</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海富通中证100指数证券投资基金(LOF)（场内简称：海富100）</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162307</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2</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海富通收益增长证券投资基金</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519003</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3</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海富通股票混合型证券投资基金</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519005</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4</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海富通强化回报混合型证券投资基金</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519007</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海富通精选证券投资基金</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519011</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6</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海富通风格优势混合型证券投资基金</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519013</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7</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海富通精选贰号混合型证券投资基金</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519015</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8</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海富通稳健添利债券型证券投资基金A类份额</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519024</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9</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海富通领先成长混合型证券投资基金</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519025</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10</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海富通中小盘混合型证券投资基金</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519026</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11</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海富通上证周期行业50交易型开放式指数证券投资基金联接基金</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519027</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12</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海富通上证非周期行业100交易型开放式指数证券投资基金联接基金</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519032</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13</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海富通国策导向混合型证券投资基金</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519033</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14</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D505B4"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海富通中证500指数增强型证券投资基金</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519034</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15</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海富通安颐收益混合型证券投资基金A类份额</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519050</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16</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海富通一年定期开放债券型证券投资基金</w:t>
            </w:r>
            <w:r w:rsidRPr="0093549C">
              <w:rPr>
                <w:rFonts w:ascii="宋体" w:eastAsia="宋体" w:hAnsi="宋体" w:cs="宋体"/>
                <w:color w:val="000000"/>
                <w:kern w:val="0"/>
                <w:sz w:val="20"/>
                <w:szCs w:val="20"/>
              </w:rPr>
              <w:t>A类份额</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519051</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17</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海富通内需热点混合型证券投资基金</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519056</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18</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海富通纯债债券型证券投资基金A类份额</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519061</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19</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海富通富祥混合型证券投资基金</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519134</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20</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海富通中国海外精选混合型证券投资基金</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519601</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21</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海富通大中华精选混合型证券投资基金</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519602</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22</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海富通沪港深灵活配置混合型证券投资基金</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519139</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23</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海富通聚利纯债债券型证券投资基金</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519220</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24</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海富通欣益灵活配置混合型证券投资基金A类份额</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519222</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25</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海富通欣荣灵活配置混合型证券投资基金A类份额</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519224</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26</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海富通集利纯债债券型证券投资基金</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519225</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27</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海富通瑞利纯债债券型证券投资基金</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519226</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lastRenderedPageBreak/>
              <w:t>28</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海富通欣享灵活配置混合型证券投资基金A类份额</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519229</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29</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海富通聚优精选混合型基金中基金（FOF）</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005220</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30</w:t>
            </w:r>
          </w:p>
        </w:tc>
        <w:tc>
          <w:tcPr>
            <w:tcW w:w="6480" w:type="dxa"/>
            <w:tcBorders>
              <w:top w:val="nil"/>
              <w:left w:val="nil"/>
              <w:bottom w:val="single" w:sz="4" w:space="0" w:color="auto"/>
              <w:right w:val="single" w:sz="4" w:space="0" w:color="auto"/>
            </w:tcBorders>
            <w:shd w:val="clear" w:color="auto" w:fill="auto"/>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海富通阿尔法对冲混合型发起式证券投资基金</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519062</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31</w:t>
            </w:r>
          </w:p>
        </w:tc>
        <w:tc>
          <w:tcPr>
            <w:tcW w:w="648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海富通稳健养老目标一年持有期混合型发起式基金中基金（FOF）</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007090</w:t>
            </w:r>
          </w:p>
        </w:tc>
      </w:tr>
      <w:tr w:rsidR="00C668C5" w:rsidRPr="0093549C" w:rsidTr="00C668C5">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32</w:t>
            </w:r>
          </w:p>
        </w:tc>
        <w:tc>
          <w:tcPr>
            <w:tcW w:w="648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海富通中短债债券型证券投资基金A类份额</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007227</w:t>
            </w:r>
          </w:p>
        </w:tc>
      </w:tr>
      <w:tr w:rsidR="00C668C5" w:rsidRPr="0093549C" w:rsidTr="002E628E">
        <w:trPr>
          <w:trHeight w:val="27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33</w:t>
            </w:r>
          </w:p>
        </w:tc>
        <w:tc>
          <w:tcPr>
            <w:tcW w:w="648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海富通先进制造股票型证券投资基金A类份额</w:t>
            </w:r>
          </w:p>
        </w:tc>
        <w:tc>
          <w:tcPr>
            <w:tcW w:w="1220" w:type="dxa"/>
            <w:tcBorders>
              <w:top w:val="nil"/>
              <w:left w:val="nil"/>
              <w:bottom w:val="single" w:sz="4" w:space="0" w:color="auto"/>
              <w:right w:val="single" w:sz="4" w:space="0" w:color="auto"/>
            </w:tcBorders>
            <w:shd w:val="clear" w:color="000000" w:fill="FFFFFF"/>
            <w:vAlign w:val="center"/>
            <w:hideMark/>
          </w:tcPr>
          <w:p w:rsidR="00C668C5" w:rsidRPr="0093549C" w:rsidRDefault="00C668C5"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008085</w:t>
            </w:r>
          </w:p>
        </w:tc>
      </w:tr>
      <w:tr w:rsidR="002E628E" w:rsidRPr="0093549C" w:rsidTr="002E628E">
        <w:trPr>
          <w:trHeight w:val="270"/>
        </w:trPr>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E628E" w:rsidRPr="0093549C" w:rsidRDefault="002E628E"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34</w:t>
            </w:r>
          </w:p>
        </w:tc>
        <w:tc>
          <w:tcPr>
            <w:tcW w:w="6480" w:type="dxa"/>
            <w:tcBorders>
              <w:top w:val="single" w:sz="4" w:space="0" w:color="auto"/>
              <w:left w:val="nil"/>
              <w:bottom w:val="single" w:sz="4" w:space="0" w:color="auto"/>
              <w:right w:val="single" w:sz="4" w:space="0" w:color="auto"/>
            </w:tcBorders>
            <w:shd w:val="clear" w:color="000000" w:fill="FFFFFF"/>
            <w:vAlign w:val="center"/>
          </w:tcPr>
          <w:p w:rsidR="002E628E" w:rsidRPr="0093549C" w:rsidRDefault="002E628E" w:rsidP="00C668C5">
            <w:pPr>
              <w:widowControl/>
              <w:jc w:val="center"/>
              <w:rPr>
                <w:rFonts w:ascii="宋体" w:eastAsia="宋体" w:hAnsi="宋体" w:cs="宋体"/>
                <w:color w:val="000000"/>
                <w:kern w:val="0"/>
                <w:sz w:val="20"/>
                <w:szCs w:val="20"/>
              </w:rPr>
            </w:pPr>
            <w:r w:rsidRPr="0093549C">
              <w:rPr>
                <w:rFonts w:ascii="宋体" w:eastAsia="宋体" w:hAnsi="宋体" w:cs="宋体" w:hint="eastAsia"/>
                <w:color w:val="000000"/>
                <w:kern w:val="0"/>
                <w:sz w:val="20"/>
                <w:szCs w:val="20"/>
              </w:rPr>
              <w:t>海富通安益对冲策略灵活配置混合型证券投资基金A类份额</w:t>
            </w:r>
          </w:p>
        </w:tc>
        <w:tc>
          <w:tcPr>
            <w:tcW w:w="1220" w:type="dxa"/>
            <w:tcBorders>
              <w:top w:val="single" w:sz="4" w:space="0" w:color="auto"/>
              <w:left w:val="nil"/>
              <w:bottom w:val="single" w:sz="4" w:space="0" w:color="auto"/>
              <w:right w:val="single" w:sz="4" w:space="0" w:color="auto"/>
            </w:tcBorders>
            <w:shd w:val="clear" w:color="000000" w:fill="FFFFFF"/>
            <w:vAlign w:val="center"/>
          </w:tcPr>
          <w:p w:rsidR="002E628E" w:rsidRPr="0093549C" w:rsidRDefault="002E628E" w:rsidP="00C668C5">
            <w:pPr>
              <w:widowControl/>
              <w:jc w:val="center"/>
              <w:rPr>
                <w:rFonts w:ascii="宋体" w:eastAsia="宋体" w:hAnsi="宋体" w:cs="宋体"/>
                <w:color w:val="000000"/>
                <w:kern w:val="0"/>
                <w:sz w:val="20"/>
                <w:szCs w:val="20"/>
              </w:rPr>
            </w:pPr>
            <w:r w:rsidRPr="0093549C">
              <w:rPr>
                <w:rFonts w:ascii="宋体" w:eastAsia="宋体" w:hAnsi="宋体" w:cs="宋体"/>
                <w:color w:val="000000"/>
                <w:kern w:val="0"/>
                <w:sz w:val="20"/>
                <w:szCs w:val="20"/>
              </w:rPr>
              <w:t>008831</w:t>
            </w:r>
          </w:p>
        </w:tc>
      </w:tr>
    </w:tbl>
    <w:p w:rsidR="0092064C" w:rsidRPr="0093549C" w:rsidRDefault="0092064C" w:rsidP="00297F8B">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41566D"/>
          <w:sz w:val="23"/>
          <w:szCs w:val="23"/>
        </w:rPr>
      </w:pP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000000" w:themeColor="text1"/>
          <w:sz w:val="23"/>
          <w:szCs w:val="23"/>
        </w:rPr>
      </w:pPr>
      <w:r w:rsidRPr="0093549C">
        <w:rPr>
          <w:rFonts w:hint="eastAsia"/>
          <w:color w:val="000000" w:themeColor="text1"/>
          <w:sz w:val="23"/>
          <w:szCs w:val="23"/>
          <w:bdr w:val="none" w:sz="0" w:space="0" w:color="auto" w:frame="1"/>
        </w:rPr>
        <w:t>三、活动内容</w:t>
      </w: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000000" w:themeColor="text1"/>
          <w:sz w:val="23"/>
          <w:szCs w:val="23"/>
        </w:rPr>
      </w:pPr>
      <w:r w:rsidRPr="0093549C">
        <w:rPr>
          <w:rFonts w:hint="eastAsia"/>
          <w:color w:val="000000" w:themeColor="text1"/>
          <w:sz w:val="23"/>
          <w:szCs w:val="23"/>
          <w:bdr w:val="none" w:sz="0" w:space="0" w:color="auto" w:frame="1"/>
        </w:rPr>
        <w:t>1、</w:t>
      </w:r>
      <w:r w:rsidR="002E628E" w:rsidRPr="0093549C">
        <w:rPr>
          <w:rFonts w:hint="eastAsia"/>
          <w:color w:val="000000" w:themeColor="text1"/>
          <w:sz w:val="23"/>
          <w:szCs w:val="23"/>
          <w:bdr w:val="none" w:sz="0" w:space="0" w:color="auto" w:frame="1"/>
        </w:rPr>
        <w:t>2020年7月1日00:00至2020年12月31日24:00</w:t>
      </w:r>
      <w:r w:rsidRPr="0093549C">
        <w:rPr>
          <w:rFonts w:hint="eastAsia"/>
          <w:color w:val="000000" w:themeColor="text1"/>
          <w:sz w:val="23"/>
          <w:szCs w:val="23"/>
          <w:bdr w:val="none" w:sz="0" w:space="0" w:color="auto" w:frame="1"/>
        </w:rPr>
        <w:t>费率优惠活动期间，</w:t>
      </w:r>
      <w:r w:rsidR="00D827DF" w:rsidRPr="0093549C">
        <w:rPr>
          <w:rFonts w:hint="eastAsia"/>
          <w:color w:val="000000" w:themeColor="text1"/>
          <w:sz w:val="23"/>
          <w:szCs w:val="23"/>
          <w:bdr w:val="none" w:sz="0" w:space="0" w:color="auto" w:frame="1"/>
        </w:rPr>
        <w:t>凡已领取基金1折权益的个人投资者，通过交通银行手机银行渠道申购上述开放式基金，享受基金申购手续费率1折优惠。基金1折权益是指：在费率优惠活动期间，通过交通银行手机银行渠道领取的可享受基金申购、定投费率1折优惠的权益。</w:t>
      </w: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000000" w:themeColor="text1"/>
          <w:sz w:val="23"/>
          <w:szCs w:val="23"/>
        </w:rPr>
      </w:pPr>
      <w:r w:rsidRPr="0093549C">
        <w:rPr>
          <w:rFonts w:hint="eastAsia"/>
          <w:color w:val="000000" w:themeColor="text1"/>
          <w:sz w:val="23"/>
          <w:szCs w:val="23"/>
          <w:bdr w:val="none" w:sz="0" w:space="0" w:color="auto" w:frame="1"/>
        </w:rPr>
        <w:t>2、通过交通银行手机银行渠道签约定期定额投资，</w:t>
      </w:r>
      <w:r w:rsidR="00D827DF" w:rsidRPr="0093549C">
        <w:rPr>
          <w:rFonts w:hint="eastAsia"/>
          <w:color w:val="000000" w:themeColor="text1"/>
          <w:sz w:val="23"/>
          <w:szCs w:val="23"/>
          <w:bdr w:val="none" w:sz="0" w:space="0" w:color="auto" w:frame="1"/>
        </w:rPr>
        <w:t>凡已领取基金1折权益的个人投资者，</w:t>
      </w:r>
      <w:r w:rsidR="00764ACC" w:rsidRPr="0093549C">
        <w:rPr>
          <w:rFonts w:hint="eastAsia"/>
          <w:color w:val="000000" w:themeColor="text1"/>
          <w:sz w:val="23"/>
          <w:szCs w:val="23"/>
          <w:bdr w:val="none" w:sz="0" w:space="0" w:color="auto" w:frame="1"/>
        </w:rPr>
        <w:t>并于</w:t>
      </w:r>
      <w:r w:rsidR="00D827DF" w:rsidRPr="0093549C">
        <w:rPr>
          <w:rFonts w:hint="eastAsia"/>
          <w:color w:val="000000" w:themeColor="text1"/>
          <w:sz w:val="23"/>
          <w:szCs w:val="23"/>
          <w:bdr w:val="none" w:sz="0" w:space="0" w:color="auto" w:frame="1"/>
        </w:rPr>
        <w:t>2020年7月1日00:00至2020年12月31日24:00</w:t>
      </w:r>
      <w:r w:rsidRPr="0093549C">
        <w:rPr>
          <w:rFonts w:hint="eastAsia"/>
          <w:color w:val="000000" w:themeColor="text1"/>
          <w:sz w:val="23"/>
          <w:szCs w:val="23"/>
          <w:bdr w:val="none" w:sz="0" w:space="0" w:color="auto" w:frame="1"/>
        </w:rPr>
        <w:t>期间成功扣款的定期定额交易，享受定期定额投资1折费率优惠。</w:t>
      </w: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000000" w:themeColor="text1"/>
          <w:sz w:val="23"/>
          <w:szCs w:val="23"/>
        </w:rPr>
      </w:pPr>
      <w:r w:rsidRPr="0093549C">
        <w:rPr>
          <w:rFonts w:hint="eastAsia"/>
          <w:color w:val="000000" w:themeColor="text1"/>
          <w:sz w:val="23"/>
          <w:szCs w:val="23"/>
          <w:bdr w:val="none" w:sz="0" w:space="0" w:color="auto" w:frame="1"/>
        </w:rPr>
        <w:t>3、原基金申购费率按笔收取固定费用的不再享有上述费率优惠。</w:t>
      </w: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000000" w:themeColor="text1"/>
          <w:sz w:val="23"/>
          <w:szCs w:val="23"/>
        </w:rPr>
      </w:pPr>
      <w:r w:rsidRPr="0093549C">
        <w:rPr>
          <w:rFonts w:hint="eastAsia"/>
          <w:color w:val="000000" w:themeColor="text1"/>
          <w:sz w:val="23"/>
          <w:szCs w:val="23"/>
          <w:bdr w:val="none" w:sz="0" w:space="0" w:color="auto" w:frame="1"/>
        </w:rPr>
        <w:t>4、上述开放式基金的原申购费率参见各基金的相关法律文件及本公司发布的最新相关公告。</w:t>
      </w:r>
    </w:p>
    <w:p w:rsidR="003F2B56" w:rsidRPr="0093549C" w:rsidRDefault="003F2B56" w:rsidP="0093549C">
      <w:pPr>
        <w:pStyle w:val="a3"/>
        <w:shd w:val="clear" w:color="auto" w:fill="FFFFFF"/>
        <w:spacing w:before="0" w:beforeAutospacing="0" w:after="0" w:afterAutospacing="0" w:line="311" w:lineRule="atLeast"/>
        <w:ind w:leftChars="110" w:left="231" w:right="30" w:firstLineChars="82" w:firstLine="189"/>
        <w:textAlignment w:val="baseline"/>
        <w:rPr>
          <w:rFonts w:ascii="Microsoft Yahei" w:hAnsi="Microsoft Yahei" w:hint="eastAsia"/>
          <w:color w:val="000000" w:themeColor="text1"/>
          <w:sz w:val="23"/>
          <w:szCs w:val="23"/>
        </w:rPr>
      </w:pPr>
      <w:r w:rsidRPr="0093549C">
        <w:rPr>
          <w:rFonts w:hint="eastAsia"/>
          <w:color w:val="000000" w:themeColor="text1"/>
          <w:sz w:val="23"/>
          <w:szCs w:val="23"/>
          <w:bdr w:val="none" w:sz="0" w:space="0" w:color="auto" w:frame="1"/>
        </w:rPr>
        <w:br/>
        <w:t>四、重要提示</w:t>
      </w:r>
    </w:p>
    <w:p w:rsidR="002E628E" w:rsidRPr="0093549C" w:rsidRDefault="002E628E" w:rsidP="003F2B56">
      <w:pPr>
        <w:pStyle w:val="a3"/>
        <w:shd w:val="clear" w:color="auto" w:fill="FFFFFF"/>
        <w:spacing w:before="0" w:beforeAutospacing="0" w:after="0" w:afterAutospacing="0" w:line="311" w:lineRule="atLeast"/>
        <w:ind w:right="30" w:firstLine="420"/>
        <w:textAlignment w:val="baseline"/>
        <w:rPr>
          <w:color w:val="000000" w:themeColor="text1"/>
          <w:sz w:val="23"/>
          <w:szCs w:val="23"/>
          <w:bdr w:val="none" w:sz="0" w:space="0" w:color="auto" w:frame="1"/>
        </w:rPr>
      </w:pPr>
      <w:r w:rsidRPr="0093549C">
        <w:rPr>
          <w:rFonts w:hint="eastAsia"/>
          <w:color w:val="000000" w:themeColor="text1"/>
          <w:sz w:val="23"/>
          <w:szCs w:val="23"/>
          <w:bdr w:val="none" w:sz="0" w:space="0" w:color="auto" w:frame="1"/>
        </w:rPr>
        <w:t>1、海富通稳健添利债券型证券投资基金A类份额、海富通一年定期开放债券型证券投资基金A类份额、海富通纯债债券型证券投资基金A类份额、海富通沪港深灵活配置混合型证券投资基金、海富通聚利纯债债券型证券投资基金、海富通欣益灵活配置混合型证券投资基金A类份额、海富通欣荣灵活配置混合型证券投资基金A类份额、海富通欣享灵活配置混合型证券投资基金A类份额、海富通集利纯债债券型证券投资基金和海富通瑞利纯债债券型证券投资基金暂未开通定期定额投资业务。如有变化，请关注本公司最新业务公告</w:t>
      </w:r>
      <w:r w:rsidR="003F2B56" w:rsidRPr="0093549C">
        <w:rPr>
          <w:rFonts w:hint="eastAsia"/>
          <w:color w:val="000000" w:themeColor="text1"/>
          <w:sz w:val="23"/>
          <w:szCs w:val="23"/>
          <w:bdr w:val="none" w:sz="0" w:space="0" w:color="auto" w:frame="1"/>
        </w:rPr>
        <w:t>。</w:t>
      </w: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color w:val="000000" w:themeColor="text1"/>
          <w:sz w:val="23"/>
          <w:szCs w:val="23"/>
          <w:bdr w:val="none" w:sz="0" w:space="0" w:color="auto" w:frame="1"/>
        </w:rPr>
      </w:pPr>
      <w:r w:rsidRPr="0093549C">
        <w:rPr>
          <w:rFonts w:hint="eastAsia"/>
          <w:color w:val="000000" w:themeColor="text1"/>
          <w:sz w:val="23"/>
          <w:szCs w:val="23"/>
          <w:bdr w:val="none" w:sz="0" w:space="0" w:color="auto" w:frame="1"/>
        </w:rPr>
        <w:t>2、海富通一年定期开放债券型证券投资基金A类份额的开放申购赎回安排请见本公司最新业务公告。</w:t>
      </w: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000000" w:themeColor="text1"/>
          <w:sz w:val="23"/>
          <w:szCs w:val="23"/>
        </w:rPr>
      </w:pPr>
      <w:r w:rsidRPr="0093549C">
        <w:rPr>
          <w:rFonts w:hint="eastAsia"/>
          <w:color w:val="000000" w:themeColor="text1"/>
          <w:sz w:val="23"/>
          <w:szCs w:val="23"/>
          <w:bdr w:val="none" w:sz="0" w:space="0" w:color="auto" w:frame="1"/>
        </w:rPr>
        <w:t>3、交通银行手机银行基金申购及定期定额投资手续费率优惠仅针对处于正常申购期的指定开放式基金(前端模式)申购及定期定额投资手续费，</w:t>
      </w:r>
      <w:r w:rsidR="00D827DF" w:rsidRPr="0093549C">
        <w:rPr>
          <w:rFonts w:hint="eastAsia"/>
          <w:color w:val="000000" w:themeColor="text1"/>
          <w:sz w:val="23"/>
          <w:szCs w:val="23"/>
          <w:bdr w:val="none" w:sz="0" w:space="0" w:color="auto" w:frame="1"/>
        </w:rPr>
        <w:t>不包括转换费率、后端收费模式基金的申购及定投、处于基金募集期的开放式基金认购手续费</w:t>
      </w:r>
      <w:r w:rsidRPr="0093549C">
        <w:rPr>
          <w:rFonts w:hint="eastAsia"/>
          <w:color w:val="000000" w:themeColor="text1"/>
          <w:sz w:val="23"/>
          <w:szCs w:val="23"/>
          <w:bdr w:val="none" w:sz="0" w:space="0" w:color="auto" w:frame="1"/>
        </w:rPr>
        <w:t>。</w:t>
      </w: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color w:val="000000" w:themeColor="text1"/>
          <w:sz w:val="23"/>
          <w:szCs w:val="23"/>
          <w:bdr w:val="none" w:sz="0" w:space="0" w:color="auto" w:frame="1"/>
        </w:rPr>
      </w:pPr>
      <w:r w:rsidRPr="0093549C">
        <w:rPr>
          <w:rFonts w:hint="eastAsia"/>
          <w:color w:val="000000" w:themeColor="text1"/>
          <w:sz w:val="23"/>
          <w:szCs w:val="23"/>
          <w:bdr w:val="none" w:sz="0" w:space="0" w:color="auto" w:frame="1"/>
        </w:rPr>
        <w:t>客户通过柜面、网银等非手机银行渠道签约的定期定额投资在手机银行渠道费率优惠活动期间内的扣款不享受1折费率优惠。</w:t>
      </w:r>
    </w:p>
    <w:p w:rsidR="00F0735A" w:rsidRPr="0093549C" w:rsidRDefault="00F0735A" w:rsidP="003F2B56">
      <w:pPr>
        <w:pStyle w:val="a3"/>
        <w:shd w:val="clear" w:color="auto" w:fill="FFFFFF"/>
        <w:spacing w:before="0" w:beforeAutospacing="0" w:after="0" w:afterAutospacing="0" w:line="311" w:lineRule="atLeast"/>
        <w:ind w:right="30" w:firstLine="420"/>
        <w:textAlignment w:val="baseline"/>
        <w:rPr>
          <w:color w:val="000000" w:themeColor="text1"/>
          <w:sz w:val="23"/>
          <w:szCs w:val="23"/>
          <w:bdr w:val="none" w:sz="0" w:space="0" w:color="auto" w:frame="1"/>
        </w:rPr>
      </w:pPr>
      <w:r w:rsidRPr="0093549C">
        <w:rPr>
          <w:rFonts w:hint="eastAsia"/>
          <w:color w:val="000000" w:themeColor="text1"/>
          <w:sz w:val="23"/>
          <w:szCs w:val="23"/>
          <w:bdr w:val="none" w:sz="0" w:space="0" w:color="auto" w:frame="1"/>
        </w:rPr>
        <w:t>未领取基金1折权益的客户，通过交通银行手机银行进行基金申购或定期定额投资不享受上述费率优惠。</w:t>
      </w: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000000" w:themeColor="text1"/>
          <w:sz w:val="23"/>
          <w:szCs w:val="23"/>
        </w:rPr>
      </w:pPr>
      <w:r w:rsidRPr="0093549C">
        <w:rPr>
          <w:rFonts w:hint="eastAsia"/>
          <w:color w:val="000000" w:themeColor="text1"/>
          <w:sz w:val="23"/>
          <w:szCs w:val="23"/>
          <w:bdr w:val="none" w:sz="0" w:space="0" w:color="auto" w:frame="1"/>
        </w:rPr>
        <w:t>4、如本公司新增通过交通银行销售的基金产品，其相应申购业务将同时享有上述费率优惠。</w:t>
      </w: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000000" w:themeColor="text1"/>
          <w:sz w:val="23"/>
          <w:szCs w:val="23"/>
        </w:rPr>
      </w:pPr>
      <w:r w:rsidRPr="0093549C">
        <w:rPr>
          <w:rFonts w:hint="eastAsia"/>
          <w:color w:val="000000" w:themeColor="text1"/>
          <w:sz w:val="23"/>
          <w:szCs w:val="23"/>
          <w:bdr w:val="none" w:sz="0" w:space="0" w:color="auto" w:frame="1"/>
        </w:rPr>
        <w:t>5、有关上述费率优惠活动的具体费率折扣及活动起止时间如有变化，敬请投资者留意交通银行的有关公告。</w:t>
      </w: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000000" w:themeColor="text1"/>
          <w:sz w:val="23"/>
          <w:szCs w:val="23"/>
        </w:rPr>
      </w:pPr>
      <w:r w:rsidRPr="0093549C">
        <w:rPr>
          <w:rFonts w:hint="eastAsia"/>
          <w:color w:val="000000" w:themeColor="text1"/>
          <w:sz w:val="23"/>
          <w:szCs w:val="23"/>
          <w:bdr w:val="none" w:sz="0" w:space="0" w:color="auto" w:frame="1"/>
        </w:rPr>
        <w:t>6、本活动的解释权归交通银行所有。</w:t>
      </w: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000000" w:themeColor="text1"/>
          <w:sz w:val="23"/>
          <w:szCs w:val="23"/>
        </w:rPr>
      </w:pP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000000" w:themeColor="text1"/>
          <w:sz w:val="23"/>
          <w:szCs w:val="23"/>
        </w:rPr>
      </w:pPr>
      <w:r w:rsidRPr="0093549C">
        <w:rPr>
          <w:rFonts w:hint="eastAsia"/>
          <w:color w:val="000000" w:themeColor="text1"/>
          <w:sz w:val="23"/>
          <w:szCs w:val="23"/>
          <w:bdr w:val="none" w:sz="0" w:space="0" w:color="auto" w:frame="1"/>
        </w:rPr>
        <w:t>五、联系咨询</w:t>
      </w: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000000" w:themeColor="text1"/>
          <w:sz w:val="23"/>
          <w:szCs w:val="23"/>
        </w:rPr>
      </w:pPr>
      <w:r w:rsidRPr="0093549C">
        <w:rPr>
          <w:rFonts w:hint="eastAsia"/>
          <w:color w:val="000000" w:themeColor="text1"/>
          <w:sz w:val="23"/>
          <w:szCs w:val="23"/>
          <w:bdr w:val="none" w:sz="0" w:space="0" w:color="auto" w:frame="1"/>
        </w:rPr>
        <w:lastRenderedPageBreak/>
        <w:t>1、交通银行</w:t>
      </w: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000000" w:themeColor="text1"/>
          <w:sz w:val="23"/>
          <w:szCs w:val="23"/>
        </w:rPr>
      </w:pPr>
      <w:r w:rsidRPr="0093549C">
        <w:rPr>
          <w:rFonts w:hint="eastAsia"/>
          <w:color w:val="000000" w:themeColor="text1"/>
          <w:sz w:val="23"/>
          <w:szCs w:val="23"/>
          <w:bdr w:val="none" w:sz="0" w:space="0" w:color="auto" w:frame="1"/>
        </w:rPr>
        <w:t>客户服务电话：95559</w:t>
      </w: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000000" w:themeColor="text1"/>
          <w:sz w:val="23"/>
          <w:szCs w:val="23"/>
        </w:rPr>
      </w:pPr>
      <w:r w:rsidRPr="0093549C">
        <w:rPr>
          <w:rFonts w:hint="eastAsia"/>
          <w:color w:val="000000" w:themeColor="text1"/>
          <w:sz w:val="23"/>
          <w:szCs w:val="23"/>
          <w:bdr w:val="none" w:sz="0" w:space="0" w:color="auto" w:frame="1"/>
        </w:rPr>
        <w:t>网址：www.bankcomm.com</w:t>
      </w: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000000" w:themeColor="text1"/>
          <w:sz w:val="23"/>
          <w:szCs w:val="23"/>
        </w:rPr>
      </w:pPr>
      <w:r w:rsidRPr="0093549C">
        <w:rPr>
          <w:rFonts w:hint="eastAsia"/>
          <w:color w:val="000000" w:themeColor="text1"/>
          <w:sz w:val="23"/>
          <w:szCs w:val="23"/>
          <w:bdr w:val="none" w:sz="0" w:space="0" w:color="auto" w:frame="1"/>
        </w:rPr>
        <w:t>2、海富通基金管理有限公司</w:t>
      </w: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000000" w:themeColor="text1"/>
          <w:sz w:val="23"/>
          <w:szCs w:val="23"/>
        </w:rPr>
      </w:pPr>
      <w:r w:rsidRPr="0093549C">
        <w:rPr>
          <w:rFonts w:hint="eastAsia"/>
          <w:color w:val="000000" w:themeColor="text1"/>
          <w:sz w:val="23"/>
          <w:szCs w:val="23"/>
          <w:bdr w:val="none" w:sz="0" w:space="0" w:color="auto" w:frame="1"/>
        </w:rPr>
        <w:t>客户服务电话：40088-40099（免长途话费）</w:t>
      </w: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000000" w:themeColor="text1"/>
          <w:sz w:val="23"/>
          <w:szCs w:val="23"/>
        </w:rPr>
      </w:pPr>
      <w:r w:rsidRPr="0093549C">
        <w:rPr>
          <w:rFonts w:hint="eastAsia"/>
          <w:color w:val="000000" w:themeColor="text1"/>
          <w:sz w:val="23"/>
          <w:szCs w:val="23"/>
          <w:bdr w:val="none" w:sz="0" w:space="0" w:color="auto" w:frame="1"/>
        </w:rPr>
        <w:t>网站：www.hftfund.com</w:t>
      </w: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000000" w:themeColor="text1"/>
          <w:sz w:val="23"/>
          <w:szCs w:val="23"/>
        </w:rPr>
      </w:pP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000000" w:themeColor="text1"/>
          <w:sz w:val="23"/>
          <w:szCs w:val="23"/>
        </w:rPr>
      </w:pPr>
      <w:r w:rsidRPr="0093549C">
        <w:rPr>
          <w:rFonts w:hint="eastAsia"/>
          <w:color w:val="000000" w:themeColor="text1"/>
          <w:sz w:val="23"/>
          <w:szCs w:val="23"/>
          <w:bdr w:val="none" w:sz="0" w:space="0" w:color="auto" w:frame="1"/>
        </w:rPr>
        <w:t>本公告的解释权归海富通基金管理有限公司。</w:t>
      </w: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000000" w:themeColor="text1"/>
          <w:sz w:val="23"/>
          <w:szCs w:val="23"/>
        </w:rPr>
      </w:pP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000000" w:themeColor="text1"/>
          <w:sz w:val="23"/>
          <w:szCs w:val="23"/>
        </w:rPr>
      </w:pPr>
      <w:r w:rsidRPr="0093549C">
        <w:rPr>
          <w:rFonts w:hint="eastAsia"/>
          <w:color w:val="000000" w:themeColor="text1"/>
          <w:sz w:val="23"/>
          <w:szCs w:val="23"/>
          <w:bdr w:val="none" w:sz="0" w:space="0" w:color="auto" w:frame="1"/>
        </w:rPr>
        <w:t>特此公告。</w:t>
      </w:r>
    </w:p>
    <w:p w:rsidR="0093549C" w:rsidRDefault="0093549C" w:rsidP="003F2B56">
      <w:pPr>
        <w:pStyle w:val="a3"/>
        <w:shd w:val="clear" w:color="auto" w:fill="FFFFFF"/>
        <w:spacing w:before="0" w:beforeAutospacing="0" w:after="0" w:afterAutospacing="0" w:line="311" w:lineRule="atLeast"/>
        <w:ind w:right="30" w:firstLine="420"/>
        <w:textAlignment w:val="baseline"/>
        <w:rPr>
          <w:color w:val="000000" w:themeColor="text1"/>
          <w:sz w:val="23"/>
          <w:szCs w:val="23"/>
          <w:bdr w:val="none" w:sz="0" w:space="0" w:color="auto" w:frame="1"/>
        </w:rPr>
      </w:pPr>
    </w:p>
    <w:p w:rsidR="0093549C" w:rsidRDefault="0093549C" w:rsidP="003F2B56">
      <w:pPr>
        <w:pStyle w:val="a3"/>
        <w:shd w:val="clear" w:color="auto" w:fill="FFFFFF"/>
        <w:spacing w:before="0" w:beforeAutospacing="0" w:after="0" w:afterAutospacing="0" w:line="311" w:lineRule="atLeast"/>
        <w:ind w:right="30" w:firstLine="420"/>
        <w:textAlignment w:val="baseline"/>
        <w:rPr>
          <w:color w:val="000000" w:themeColor="text1"/>
          <w:sz w:val="23"/>
          <w:szCs w:val="23"/>
          <w:bdr w:val="none" w:sz="0" w:space="0" w:color="auto" w:frame="1"/>
        </w:rPr>
      </w:pPr>
    </w:p>
    <w:p w:rsidR="003F2B56" w:rsidRPr="0093549C" w:rsidRDefault="003F2B56" w:rsidP="003F2B56">
      <w:pPr>
        <w:pStyle w:val="a3"/>
        <w:shd w:val="clear" w:color="auto" w:fill="FFFFFF"/>
        <w:spacing w:before="0" w:beforeAutospacing="0" w:after="0" w:afterAutospacing="0" w:line="311" w:lineRule="atLeast"/>
        <w:ind w:right="30" w:firstLine="420"/>
        <w:textAlignment w:val="baseline"/>
        <w:rPr>
          <w:rFonts w:ascii="Microsoft Yahei" w:hAnsi="Microsoft Yahei" w:hint="eastAsia"/>
          <w:color w:val="000000" w:themeColor="text1"/>
          <w:sz w:val="23"/>
          <w:szCs w:val="23"/>
        </w:rPr>
      </w:pPr>
    </w:p>
    <w:p w:rsidR="003F2B56" w:rsidRPr="0093549C" w:rsidRDefault="003F2B56" w:rsidP="003F2B56">
      <w:pPr>
        <w:pStyle w:val="a3"/>
        <w:shd w:val="clear" w:color="auto" w:fill="FFFFFF"/>
        <w:spacing w:before="0" w:beforeAutospacing="0" w:after="0" w:afterAutospacing="0" w:line="311" w:lineRule="atLeast"/>
        <w:ind w:right="30" w:firstLine="420"/>
        <w:jc w:val="right"/>
        <w:textAlignment w:val="baseline"/>
        <w:rPr>
          <w:rFonts w:ascii="Microsoft Yahei" w:hAnsi="Microsoft Yahei" w:hint="eastAsia"/>
          <w:color w:val="000000" w:themeColor="text1"/>
          <w:sz w:val="23"/>
          <w:szCs w:val="23"/>
        </w:rPr>
      </w:pPr>
      <w:r w:rsidRPr="0093549C">
        <w:rPr>
          <w:rFonts w:hint="eastAsia"/>
          <w:color w:val="000000" w:themeColor="text1"/>
          <w:sz w:val="23"/>
          <w:szCs w:val="23"/>
          <w:bdr w:val="none" w:sz="0" w:space="0" w:color="auto" w:frame="1"/>
        </w:rPr>
        <w:t>海富通基金管理有限公司</w:t>
      </w:r>
    </w:p>
    <w:p w:rsidR="003F2B56" w:rsidRPr="009B0C67" w:rsidRDefault="003F2B56" w:rsidP="003F2B56">
      <w:pPr>
        <w:pStyle w:val="a3"/>
        <w:shd w:val="clear" w:color="auto" w:fill="FFFFFF"/>
        <w:spacing w:before="0" w:beforeAutospacing="0" w:after="0" w:afterAutospacing="0" w:line="311" w:lineRule="atLeast"/>
        <w:ind w:right="30" w:firstLine="420"/>
        <w:jc w:val="right"/>
        <w:textAlignment w:val="baseline"/>
        <w:rPr>
          <w:rFonts w:ascii="Microsoft Yahei" w:hAnsi="Microsoft Yahei" w:hint="eastAsia"/>
          <w:color w:val="000000" w:themeColor="text1"/>
          <w:sz w:val="23"/>
          <w:szCs w:val="23"/>
        </w:rPr>
      </w:pPr>
      <w:r w:rsidRPr="0093549C">
        <w:rPr>
          <w:rFonts w:hint="eastAsia"/>
          <w:color w:val="000000" w:themeColor="text1"/>
          <w:sz w:val="23"/>
          <w:szCs w:val="23"/>
          <w:bdr w:val="none" w:sz="0" w:space="0" w:color="auto" w:frame="1"/>
        </w:rPr>
        <w:t>20</w:t>
      </w:r>
      <w:r w:rsidR="00D840E6" w:rsidRPr="0093549C">
        <w:rPr>
          <w:rFonts w:hint="eastAsia"/>
          <w:color w:val="000000" w:themeColor="text1"/>
          <w:sz w:val="23"/>
          <w:szCs w:val="23"/>
          <w:bdr w:val="none" w:sz="0" w:space="0" w:color="auto" w:frame="1"/>
        </w:rPr>
        <w:t>20</w:t>
      </w:r>
      <w:r w:rsidRPr="0093549C">
        <w:rPr>
          <w:rFonts w:hint="eastAsia"/>
          <w:color w:val="000000" w:themeColor="text1"/>
          <w:sz w:val="23"/>
          <w:szCs w:val="23"/>
          <w:bdr w:val="none" w:sz="0" w:space="0" w:color="auto" w:frame="1"/>
        </w:rPr>
        <w:t>年</w:t>
      </w:r>
      <w:r w:rsidR="00D840E6" w:rsidRPr="0093549C">
        <w:rPr>
          <w:rFonts w:hint="eastAsia"/>
          <w:color w:val="000000" w:themeColor="text1"/>
          <w:sz w:val="23"/>
          <w:szCs w:val="23"/>
          <w:bdr w:val="none" w:sz="0" w:space="0" w:color="auto" w:frame="1"/>
        </w:rPr>
        <w:t>6</w:t>
      </w:r>
      <w:r w:rsidRPr="0093549C">
        <w:rPr>
          <w:rFonts w:hint="eastAsia"/>
          <w:color w:val="000000" w:themeColor="text1"/>
          <w:sz w:val="23"/>
          <w:szCs w:val="23"/>
          <w:bdr w:val="none" w:sz="0" w:space="0" w:color="auto" w:frame="1"/>
        </w:rPr>
        <w:t>月</w:t>
      </w:r>
      <w:r w:rsidR="00D840E6" w:rsidRPr="0093549C">
        <w:rPr>
          <w:rFonts w:hint="eastAsia"/>
          <w:color w:val="000000" w:themeColor="text1"/>
          <w:sz w:val="23"/>
          <w:szCs w:val="23"/>
          <w:bdr w:val="none" w:sz="0" w:space="0" w:color="auto" w:frame="1"/>
        </w:rPr>
        <w:t>30</w:t>
      </w:r>
      <w:r w:rsidRPr="0093549C">
        <w:rPr>
          <w:rFonts w:hint="eastAsia"/>
          <w:color w:val="000000" w:themeColor="text1"/>
          <w:sz w:val="23"/>
          <w:szCs w:val="23"/>
          <w:bdr w:val="none" w:sz="0" w:space="0" w:color="auto" w:frame="1"/>
        </w:rPr>
        <w:t>日</w:t>
      </w:r>
    </w:p>
    <w:sectPr w:rsidR="003F2B56" w:rsidRPr="009B0C67" w:rsidSect="003807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7C0" w:rsidRDefault="002217C0" w:rsidP="002E628E">
      <w:r>
        <w:separator/>
      </w:r>
    </w:p>
  </w:endnote>
  <w:endnote w:type="continuationSeparator" w:id="0">
    <w:p w:rsidR="002217C0" w:rsidRDefault="002217C0" w:rsidP="002E62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7C0" w:rsidRDefault="002217C0" w:rsidP="002E628E">
      <w:r>
        <w:separator/>
      </w:r>
    </w:p>
  </w:footnote>
  <w:footnote w:type="continuationSeparator" w:id="0">
    <w:p w:rsidR="002217C0" w:rsidRDefault="002217C0" w:rsidP="002E62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453B"/>
    <w:rsid w:val="00017C14"/>
    <w:rsid w:val="00065374"/>
    <w:rsid w:val="002217C0"/>
    <w:rsid w:val="00251C2D"/>
    <w:rsid w:val="00297F8B"/>
    <w:rsid w:val="002E628E"/>
    <w:rsid w:val="003151EA"/>
    <w:rsid w:val="0038075F"/>
    <w:rsid w:val="00392AAB"/>
    <w:rsid w:val="003E453B"/>
    <w:rsid w:val="003F2B56"/>
    <w:rsid w:val="00663C5F"/>
    <w:rsid w:val="006C26A8"/>
    <w:rsid w:val="006E6C3E"/>
    <w:rsid w:val="00764ACC"/>
    <w:rsid w:val="007D3B8B"/>
    <w:rsid w:val="0092064C"/>
    <w:rsid w:val="0093549C"/>
    <w:rsid w:val="00941A81"/>
    <w:rsid w:val="009B0C67"/>
    <w:rsid w:val="009C41CC"/>
    <w:rsid w:val="009D4C3C"/>
    <w:rsid w:val="00A5614C"/>
    <w:rsid w:val="00C668C5"/>
    <w:rsid w:val="00CA3560"/>
    <w:rsid w:val="00D07928"/>
    <w:rsid w:val="00D33C3A"/>
    <w:rsid w:val="00D505B4"/>
    <w:rsid w:val="00D827DF"/>
    <w:rsid w:val="00D840E6"/>
    <w:rsid w:val="00F073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7F8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2E62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628E"/>
    <w:rPr>
      <w:sz w:val="18"/>
      <w:szCs w:val="18"/>
    </w:rPr>
  </w:style>
  <w:style w:type="paragraph" w:styleId="a5">
    <w:name w:val="footer"/>
    <w:basedOn w:val="a"/>
    <w:link w:val="Char0"/>
    <w:uiPriority w:val="99"/>
    <w:unhideWhenUsed/>
    <w:rsid w:val="002E628E"/>
    <w:pPr>
      <w:tabs>
        <w:tab w:val="center" w:pos="4153"/>
        <w:tab w:val="right" w:pos="8306"/>
      </w:tabs>
      <w:snapToGrid w:val="0"/>
      <w:jc w:val="left"/>
    </w:pPr>
    <w:rPr>
      <w:sz w:val="18"/>
      <w:szCs w:val="18"/>
    </w:rPr>
  </w:style>
  <w:style w:type="character" w:customStyle="1" w:styleId="Char0">
    <w:name w:val="页脚 Char"/>
    <w:basedOn w:val="a0"/>
    <w:link w:val="a5"/>
    <w:uiPriority w:val="99"/>
    <w:rsid w:val="002E628E"/>
    <w:rPr>
      <w:sz w:val="18"/>
      <w:szCs w:val="18"/>
    </w:rPr>
  </w:style>
  <w:style w:type="paragraph" w:styleId="a6">
    <w:name w:val="Balloon Text"/>
    <w:basedOn w:val="a"/>
    <w:link w:val="Char1"/>
    <w:uiPriority w:val="99"/>
    <w:semiHidden/>
    <w:unhideWhenUsed/>
    <w:rsid w:val="00251C2D"/>
    <w:rPr>
      <w:sz w:val="18"/>
      <w:szCs w:val="18"/>
    </w:rPr>
  </w:style>
  <w:style w:type="character" w:customStyle="1" w:styleId="Char1">
    <w:name w:val="批注框文本 Char"/>
    <w:basedOn w:val="a0"/>
    <w:link w:val="a6"/>
    <w:uiPriority w:val="99"/>
    <w:semiHidden/>
    <w:rsid w:val="00251C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7F8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2E62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628E"/>
    <w:rPr>
      <w:sz w:val="18"/>
      <w:szCs w:val="18"/>
    </w:rPr>
  </w:style>
  <w:style w:type="paragraph" w:styleId="a5">
    <w:name w:val="footer"/>
    <w:basedOn w:val="a"/>
    <w:link w:val="Char0"/>
    <w:uiPriority w:val="99"/>
    <w:unhideWhenUsed/>
    <w:rsid w:val="002E628E"/>
    <w:pPr>
      <w:tabs>
        <w:tab w:val="center" w:pos="4153"/>
        <w:tab w:val="right" w:pos="8306"/>
      </w:tabs>
      <w:snapToGrid w:val="0"/>
      <w:jc w:val="left"/>
    </w:pPr>
    <w:rPr>
      <w:sz w:val="18"/>
      <w:szCs w:val="18"/>
    </w:rPr>
  </w:style>
  <w:style w:type="character" w:customStyle="1" w:styleId="Char0">
    <w:name w:val="页脚 Char"/>
    <w:basedOn w:val="a0"/>
    <w:link w:val="a5"/>
    <w:uiPriority w:val="99"/>
    <w:rsid w:val="002E628E"/>
    <w:rPr>
      <w:sz w:val="18"/>
      <w:szCs w:val="18"/>
    </w:rPr>
  </w:style>
  <w:style w:type="paragraph" w:styleId="a6">
    <w:name w:val="Balloon Text"/>
    <w:basedOn w:val="a"/>
    <w:link w:val="Char1"/>
    <w:uiPriority w:val="99"/>
    <w:semiHidden/>
    <w:unhideWhenUsed/>
    <w:rsid w:val="00251C2D"/>
    <w:rPr>
      <w:sz w:val="18"/>
      <w:szCs w:val="18"/>
    </w:rPr>
  </w:style>
  <w:style w:type="character" w:customStyle="1" w:styleId="Char1">
    <w:name w:val="批注框文本 Char"/>
    <w:basedOn w:val="a0"/>
    <w:link w:val="a6"/>
    <w:uiPriority w:val="99"/>
    <w:semiHidden/>
    <w:rsid w:val="00251C2D"/>
    <w:rPr>
      <w:sz w:val="18"/>
      <w:szCs w:val="18"/>
    </w:rPr>
  </w:style>
</w:styles>
</file>

<file path=word/webSettings.xml><?xml version="1.0" encoding="utf-8"?>
<w:webSettings xmlns:r="http://schemas.openxmlformats.org/officeDocument/2006/relationships" xmlns:w="http://schemas.openxmlformats.org/wordprocessingml/2006/main">
  <w:divs>
    <w:div w:id="146089738">
      <w:bodyDiv w:val="1"/>
      <w:marLeft w:val="0"/>
      <w:marRight w:val="0"/>
      <w:marTop w:val="0"/>
      <w:marBottom w:val="0"/>
      <w:divBdr>
        <w:top w:val="none" w:sz="0" w:space="0" w:color="auto"/>
        <w:left w:val="none" w:sz="0" w:space="0" w:color="auto"/>
        <w:bottom w:val="none" w:sz="0" w:space="0" w:color="auto"/>
        <w:right w:val="none" w:sz="0" w:space="0" w:color="auto"/>
      </w:divBdr>
    </w:div>
    <w:div w:id="147524936">
      <w:bodyDiv w:val="1"/>
      <w:marLeft w:val="0"/>
      <w:marRight w:val="0"/>
      <w:marTop w:val="0"/>
      <w:marBottom w:val="0"/>
      <w:divBdr>
        <w:top w:val="none" w:sz="0" w:space="0" w:color="auto"/>
        <w:left w:val="none" w:sz="0" w:space="0" w:color="auto"/>
        <w:bottom w:val="none" w:sz="0" w:space="0" w:color="auto"/>
        <w:right w:val="none" w:sz="0" w:space="0" w:color="auto"/>
      </w:divBdr>
    </w:div>
    <w:div w:id="1911038586">
      <w:bodyDiv w:val="1"/>
      <w:marLeft w:val="0"/>
      <w:marRight w:val="0"/>
      <w:marTop w:val="0"/>
      <w:marBottom w:val="0"/>
      <w:divBdr>
        <w:top w:val="none" w:sz="0" w:space="0" w:color="auto"/>
        <w:left w:val="none" w:sz="0" w:space="0" w:color="auto"/>
        <w:bottom w:val="none" w:sz="0" w:space="0" w:color="auto"/>
        <w:right w:val="none" w:sz="0" w:space="0" w:color="auto"/>
      </w:divBdr>
    </w:div>
    <w:div w:id="19541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2068</Characters>
  <Application>Microsoft Office Word</Application>
  <DocSecurity>4</DocSecurity>
  <Lines>17</Lines>
  <Paragraphs>4</Paragraphs>
  <ScaleCrop>false</ScaleCrop>
  <Company>Microsoft</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卢韵竹</dc:creator>
  <cp:keywords/>
  <dc:description/>
  <cp:lastModifiedBy>ZHONGM</cp:lastModifiedBy>
  <cp:revision>2</cp:revision>
  <dcterms:created xsi:type="dcterms:W3CDTF">2020-06-29T16:02:00Z</dcterms:created>
  <dcterms:modified xsi:type="dcterms:W3CDTF">2020-06-29T16:02:00Z</dcterms:modified>
</cp:coreProperties>
</file>