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D14" w:rsidRDefault="00690D14">
      <w:pPr>
        <w:autoSpaceDE w:val="0"/>
        <w:autoSpaceDN w:val="0"/>
        <w:adjustRightInd w:val="0"/>
        <w:jc w:val="center"/>
        <w:rPr>
          <w:rFonts w:ascii="黑体" w:eastAsia="黑体" w:cs="黑体" w:hint="eastAsia"/>
          <w:kern w:val="0"/>
          <w:sz w:val="30"/>
          <w:szCs w:val="30"/>
        </w:rPr>
      </w:pPr>
      <w:r>
        <w:rPr>
          <w:rFonts w:ascii="黑体" w:eastAsia="黑体" w:cs="黑体" w:hint="eastAsia"/>
          <w:kern w:val="0"/>
          <w:sz w:val="30"/>
          <w:szCs w:val="30"/>
        </w:rPr>
        <w:t>关于旗下部分基金参与交通银行手机银行渠道基金申购及</w:t>
      </w:r>
    </w:p>
    <w:p w:rsidR="00690D14" w:rsidRDefault="00690D14">
      <w:pPr>
        <w:autoSpaceDE w:val="0"/>
        <w:autoSpaceDN w:val="0"/>
        <w:adjustRightInd w:val="0"/>
        <w:jc w:val="center"/>
        <w:rPr>
          <w:rFonts w:ascii="黑体" w:eastAsia="黑体" w:cs="黑体" w:hint="eastAsia"/>
          <w:kern w:val="0"/>
          <w:sz w:val="30"/>
          <w:szCs w:val="30"/>
        </w:rPr>
      </w:pPr>
      <w:r>
        <w:rPr>
          <w:rFonts w:ascii="黑体" w:eastAsia="黑体" w:cs="黑体" w:hint="eastAsia"/>
          <w:kern w:val="0"/>
          <w:sz w:val="30"/>
          <w:szCs w:val="30"/>
        </w:rPr>
        <w:t>定期定额投资手续费率优惠活动的公告</w:t>
      </w:r>
    </w:p>
    <w:p w:rsidR="00690D14" w:rsidRDefault="00690D14">
      <w:pPr>
        <w:snapToGrid w:val="0"/>
        <w:spacing w:beforeLines="150" w:line="360" w:lineRule="auto"/>
        <w:ind w:right="28" w:firstLineChars="200" w:firstLine="480"/>
        <w:rPr>
          <w:rFonts w:ascii="宋体" w:hAnsi="宋体" w:cs="仿宋_GB2312" w:hint="eastAsia"/>
          <w:kern w:val="0"/>
          <w:sz w:val="24"/>
        </w:rPr>
      </w:pPr>
      <w:r>
        <w:rPr>
          <w:rFonts w:ascii="宋体" w:hAnsi="宋体" w:cs="仿宋_GB2312" w:hint="eastAsia"/>
          <w:kern w:val="0"/>
          <w:sz w:val="24"/>
        </w:rPr>
        <w:t>为答谢广大投资者对东方基金管理有限责任公司（以下简称“本公司”）的支持和厚爱，经本公司与交通银行股份有限公司（以下简称“交通银行”）协商一致，现决定本公司旗下部分基金参与交通银行手机银行渠道开展的基金申购（不含转换转入）及定期定额投资手续费率优惠活动（仅限前端申购模式），具体情况公告如下：</w:t>
      </w:r>
    </w:p>
    <w:p w:rsidR="00690D14" w:rsidRDefault="00690D14">
      <w:pPr>
        <w:snapToGrid w:val="0"/>
        <w:spacing w:beforeLines="50" w:afterLines="50" w:line="360" w:lineRule="auto"/>
        <w:ind w:right="28" w:firstLineChars="200" w:firstLine="482"/>
        <w:rPr>
          <w:rFonts w:ascii="宋体" w:hAnsi="宋体" w:cs="仿宋_GB2312"/>
          <w:b/>
          <w:kern w:val="0"/>
          <w:sz w:val="24"/>
        </w:rPr>
      </w:pPr>
      <w:r>
        <w:rPr>
          <w:rFonts w:ascii="宋体" w:hAnsi="宋体" w:cs="仿宋_GB2312" w:hint="eastAsia"/>
          <w:b/>
          <w:kern w:val="0"/>
          <w:sz w:val="24"/>
        </w:rPr>
        <w:t>一、适用投资者范围</w:t>
      </w:r>
    </w:p>
    <w:p w:rsidR="00690D14" w:rsidRDefault="00F94E50">
      <w:pPr>
        <w:snapToGrid w:val="0"/>
        <w:spacing w:line="360" w:lineRule="auto"/>
        <w:ind w:right="26" w:firstLineChars="200" w:firstLine="480"/>
        <w:rPr>
          <w:rFonts w:ascii="宋体" w:hAnsi="宋体" w:cs="仿宋_GB2312" w:hint="eastAsia"/>
          <w:kern w:val="0"/>
          <w:sz w:val="24"/>
        </w:rPr>
      </w:pPr>
      <w:r>
        <w:rPr>
          <w:rFonts w:ascii="宋体" w:hAnsi="宋体" w:cs="仿宋_GB2312" w:hint="eastAsia"/>
          <w:kern w:val="0"/>
          <w:sz w:val="24"/>
        </w:rPr>
        <w:t>已领取交通银行基金1折权益且</w:t>
      </w:r>
      <w:r w:rsidR="00690D14">
        <w:rPr>
          <w:rFonts w:ascii="宋体" w:hAnsi="宋体" w:cs="仿宋_GB2312" w:hint="eastAsia"/>
          <w:kern w:val="0"/>
          <w:sz w:val="24"/>
        </w:rPr>
        <w:t>通过交通银行手机银行渠道申购（不含转换转入）及定期定额投资（仅限前端申购模式）开放式基金的投资者。</w:t>
      </w:r>
    </w:p>
    <w:p w:rsidR="00690D14" w:rsidRDefault="00690D14">
      <w:pPr>
        <w:snapToGrid w:val="0"/>
        <w:spacing w:beforeLines="50" w:afterLines="50" w:line="360" w:lineRule="auto"/>
        <w:ind w:right="28" w:firstLineChars="200" w:firstLine="482"/>
        <w:rPr>
          <w:rFonts w:ascii="宋体" w:hAnsi="宋体" w:cs="仿宋_GB2312" w:hint="eastAsia"/>
          <w:b/>
          <w:kern w:val="0"/>
          <w:sz w:val="24"/>
        </w:rPr>
      </w:pPr>
      <w:r>
        <w:rPr>
          <w:rFonts w:ascii="宋体" w:hAnsi="宋体" w:cs="仿宋_GB2312" w:hint="eastAsia"/>
          <w:b/>
          <w:kern w:val="0"/>
          <w:sz w:val="24"/>
        </w:rPr>
        <w:t>二、活动时间</w:t>
      </w:r>
    </w:p>
    <w:p w:rsidR="00690D14" w:rsidRDefault="00690D14">
      <w:pPr>
        <w:snapToGrid w:val="0"/>
        <w:spacing w:line="360" w:lineRule="auto"/>
        <w:ind w:right="26" w:firstLineChars="200" w:firstLine="480"/>
        <w:rPr>
          <w:rFonts w:ascii="宋体" w:hAnsi="宋体" w:cs="仿宋_GB2312" w:hint="eastAsia"/>
          <w:kern w:val="0"/>
          <w:sz w:val="24"/>
        </w:rPr>
      </w:pPr>
      <w:r>
        <w:rPr>
          <w:rFonts w:ascii="宋体" w:hAnsi="宋体" w:cs="仿宋_GB2312" w:hint="eastAsia"/>
          <w:kern w:val="0"/>
          <w:sz w:val="24"/>
        </w:rPr>
        <w:t>2020年7月1日至2020年12月31日。</w:t>
      </w:r>
    </w:p>
    <w:p w:rsidR="00690D14" w:rsidRDefault="00690D14">
      <w:pPr>
        <w:numPr>
          <w:ilvl w:val="0"/>
          <w:numId w:val="1"/>
        </w:numPr>
        <w:snapToGrid w:val="0"/>
        <w:spacing w:beforeLines="50" w:afterLines="50" w:line="360" w:lineRule="auto"/>
        <w:ind w:right="28" w:firstLineChars="200" w:firstLine="482"/>
        <w:rPr>
          <w:rFonts w:ascii="宋体" w:hAnsi="宋体" w:cs="仿宋_GB2312" w:hint="eastAsia"/>
          <w:b/>
          <w:kern w:val="0"/>
          <w:sz w:val="24"/>
        </w:rPr>
      </w:pPr>
      <w:r>
        <w:rPr>
          <w:rFonts w:ascii="宋体" w:hAnsi="宋体" w:cs="仿宋_GB2312" w:hint="eastAsia"/>
          <w:b/>
          <w:kern w:val="0"/>
          <w:sz w:val="24"/>
        </w:rPr>
        <w:t>适用基金</w:t>
      </w:r>
    </w:p>
    <w:p w:rsidR="00690D14" w:rsidRDefault="00690D14">
      <w:pPr>
        <w:spacing w:line="360" w:lineRule="auto"/>
        <w:ind w:firstLineChars="200" w:firstLine="480"/>
        <w:rPr>
          <w:rFonts w:ascii="宋体" w:hAnsi="宋体"/>
          <w:sz w:val="24"/>
        </w:rPr>
      </w:pPr>
      <w:r>
        <w:rPr>
          <w:rFonts w:ascii="宋体" w:hAnsi="宋体"/>
          <w:sz w:val="24"/>
        </w:rPr>
        <w:t>投资者通过</w:t>
      </w:r>
      <w:r>
        <w:rPr>
          <w:rFonts w:ascii="宋体" w:hAnsi="宋体" w:hint="eastAsia"/>
          <w:sz w:val="24"/>
        </w:rPr>
        <w:t>交通银行</w:t>
      </w:r>
      <w:r>
        <w:rPr>
          <w:rFonts w:ascii="宋体" w:hAnsi="宋体" w:cs="仿宋_GB2312" w:hint="eastAsia"/>
          <w:kern w:val="0"/>
          <w:sz w:val="24"/>
        </w:rPr>
        <w:t>手机银行渠道</w:t>
      </w:r>
      <w:r>
        <w:rPr>
          <w:rFonts w:ascii="宋体" w:hAnsi="宋体"/>
          <w:sz w:val="24"/>
        </w:rPr>
        <w:t>申购</w:t>
      </w:r>
      <w:r>
        <w:rPr>
          <w:rFonts w:ascii="宋体" w:hAnsi="宋体" w:hint="eastAsia"/>
          <w:sz w:val="24"/>
        </w:rPr>
        <w:t>本公司管理的且在交通银行销售的非零申购费率开放式基金继续</w:t>
      </w:r>
      <w:r>
        <w:rPr>
          <w:rFonts w:ascii="宋体" w:hAnsi="宋体"/>
          <w:sz w:val="24"/>
        </w:rPr>
        <w:t>享有费率优惠。</w:t>
      </w:r>
    </w:p>
    <w:p w:rsidR="00690D14" w:rsidRDefault="00690D14">
      <w:pPr>
        <w:spacing w:line="360" w:lineRule="auto"/>
        <w:rPr>
          <w:rFonts w:ascii="宋体" w:hAnsi="宋体" w:hint="eastAsia"/>
          <w:sz w:val="24"/>
        </w:rPr>
      </w:pPr>
    </w:p>
    <w:p w:rsidR="00690D14" w:rsidRDefault="00690D14">
      <w:pPr>
        <w:snapToGrid w:val="0"/>
        <w:spacing w:beforeLines="100" w:afterLines="50" w:line="360" w:lineRule="auto"/>
        <w:ind w:right="28" w:firstLineChars="200" w:firstLine="482"/>
        <w:rPr>
          <w:rFonts w:ascii="宋体" w:hAnsi="宋体" w:cs="仿宋_GB2312" w:hint="eastAsia"/>
          <w:b/>
          <w:kern w:val="0"/>
          <w:sz w:val="24"/>
        </w:rPr>
      </w:pPr>
      <w:r>
        <w:rPr>
          <w:rFonts w:ascii="宋体" w:hAnsi="宋体" w:cs="仿宋_GB2312" w:hint="eastAsia"/>
          <w:b/>
          <w:kern w:val="0"/>
          <w:sz w:val="24"/>
        </w:rPr>
        <w:t>四、适用优惠费率</w:t>
      </w:r>
    </w:p>
    <w:p w:rsidR="00690D14" w:rsidRDefault="00690D14">
      <w:pPr>
        <w:numPr>
          <w:ilvl w:val="0"/>
          <w:numId w:val="2"/>
        </w:numPr>
        <w:snapToGrid w:val="0"/>
        <w:spacing w:line="360" w:lineRule="auto"/>
        <w:ind w:leftChars="400" w:left="1260" w:rightChars="12" w:right="25"/>
        <w:rPr>
          <w:rFonts w:ascii="宋体" w:hAnsi="宋体" w:cs="仿宋_GB2312" w:hint="eastAsia"/>
          <w:kern w:val="0"/>
          <w:sz w:val="24"/>
        </w:rPr>
      </w:pPr>
      <w:r>
        <w:rPr>
          <w:rFonts w:ascii="宋体" w:hAnsi="宋体" w:cs="仿宋_GB2312"/>
          <w:kern w:val="0"/>
          <w:sz w:val="24"/>
        </w:rPr>
        <w:t>自</w:t>
      </w:r>
      <w:r>
        <w:rPr>
          <w:rFonts w:ascii="宋体" w:hAnsi="宋体" w:cs="仿宋_GB2312" w:hint="eastAsia"/>
          <w:kern w:val="0"/>
          <w:sz w:val="24"/>
        </w:rPr>
        <w:t>2020年7月1日至2020年12月31日费率</w:t>
      </w:r>
      <w:r>
        <w:rPr>
          <w:rFonts w:ascii="宋体" w:hAnsi="宋体" w:cs="仿宋_GB2312"/>
          <w:kern w:val="0"/>
          <w:sz w:val="24"/>
        </w:rPr>
        <w:t>优惠活动期间，</w:t>
      </w:r>
      <w:r>
        <w:rPr>
          <w:rFonts w:ascii="宋体" w:hAnsi="宋体" w:cs="仿宋_GB2312" w:hint="eastAsia"/>
          <w:kern w:val="0"/>
          <w:sz w:val="24"/>
        </w:rPr>
        <w:t>凡已领取基金1折权益的个人投资者，通过交通银行手机银行渠道申购</w:t>
      </w:r>
      <w:r>
        <w:rPr>
          <w:rFonts w:ascii="宋体" w:hAnsi="宋体" w:hint="eastAsia"/>
          <w:sz w:val="24"/>
        </w:rPr>
        <w:t>本公司管理的且在交通银行销售的非零申购费率开放式基金</w:t>
      </w:r>
      <w:r>
        <w:rPr>
          <w:rFonts w:ascii="宋体" w:hAnsi="宋体" w:cs="仿宋_GB2312" w:hint="eastAsia"/>
          <w:kern w:val="0"/>
          <w:sz w:val="24"/>
        </w:rPr>
        <w:t>，享受基金申购手续费率1折优惠。基金1折权益是指：在费率优惠活动期间，通过交通银行手机银行渠道领取的可享受基金申购、定投费率1折优惠的权益。</w:t>
      </w:r>
    </w:p>
    <w:p w:rsidR="00690D14" w:rsidRDefault="00690D14">
      <w:pPr>
        <w:numPr>
          <w:ilvl w:val="0"/>
          <w:numId w:val="2"/>
        </w:numPr>
        <w:snapToGrid w:val="0"/>
        <w:spacing w:line="360" w:lineRule="auto"/>
        <w:ind w:leftChars="400" w:left="1260" w:rightChars="12" w:right="25"/>
        <w:rPr>
          <w:rFonts w:ascii="宋体" w:hAnsi="宋体" w:cs="仿宋_GB2312" w:hint="eastAsia"/>
          <w:kern w:val="0"/>
          <w:sz w:val="24"/>
        </w:rPr>
      </w:pPr>
      <w:r>
        <w:rPr>
          <w:rFonts w:ascii="宋体" w:hAnsi="宋体" w:cs="仿宋_GB2312"/>
          <w:kern w:val="0"/>
          <w:sz w:val="24"/>
        </w:rPr>
        <w:t>自</w:t>
      </w:r>
      <w:r>
        <w:rPr>
          <w:rFonts w:ascii="宋体" w:hAnsi="宋体" w:cs="仿宋_GB2312" w:hint="eastAsia"/>
          <w:kern w:val="0"/>
          <w:sz w:val="24"/>
        </w:rPr>
        <w:t>2020年7月1日至2020年12月31日费率</w:t>
      </w:r>
      <w:r>
        <w:rPr>
          <w:rFonts w:ascii="宋体" w:hAnsi="宋体" w:cs="仿宋_GB2312"/>
          <w:kern w:val="0"/>
          <w:sz w:val="24"/>
        </w:rPr>
        <w:t>优惠活动期间，</w:t>
      </w:r>
      <w:r>
        <w:rPr>
          <w:rFonts w:ascii="宋体" w:hAnsi="宋体" w:cs="仿宋_GB2312" w:hint="eastAsia"/>
          <w:kern w:val="0"/>
          <w:sz w:val="24"/>
        </w:rPr>
        <w:t>凡已领取基金1折权益的个人投资者，通过交通银行手机银行渠道签约定投</w:t>
      </w:r>
      <w:r>
        <w:rPr>
          <w:rFonts w:ascii="宋体" w:hAnsi="宋体" w:cs="仿宋_GB2312" w:hint="eastAsia"/>
          <w:kern w:val="0"/>
          <w:sz w:val="24"/>
        </w:rPr>
        <w:lastRenderedPageBreak/>
        <w:t>协议，并于费率优惠活动期间成功扣款的定投交易，享受定投1折费率优惠。</w:t>
      </w:r>
    </w:p>
    <w:p w:rsidR="00690D14" w:rsidRDefault="00690D14">
      <w:pPr>
        <w:numPr>
          <w:ilvl w:val="0"/>
          <w:numId w:val="2"/>
        </w:numPr>
        <w:snapToGrid w:val="0"/>
        <w:spacing w:line="360" w:lineRule="auto"/>
        <w:ind w:leftChars="400" w:left="1260" w:rightChars="12" w:right="25"/>
        <w:rPr>
          <w:rFonts w:ascii="宋体" w:hAnsi="宋体" w:cs="仿宋_GB2312" w:hint="eastAsia"/>
          <w:kern w:val="0"/>
          <w:sz w:val="24"/>
        </w:rPr>
      </w:pPr>
      <w:r>
        <w:rPr>
          <w:rFonts w:ascii="宋体" w:hAnsi="宋体" w:cs="仿宋_GB2312" w:hint="eastAsia"/>
          <w:kern w:val="0"/>
          <w:sz w:val="24"/>
        </w:rPr>
        <w:t>原基金申购费率为固定费用的，则按原固定费用执行。</w:t>
      </w:r>
    </w:p>
    <w:p w:rsidR="00690D14" w:rsidRDefault="00690D14">
      <w:pPr>
        <w:snapToGrid w:val="0"/>
        <w:spacing w:beforeLines="50" w:afterLines="50" w:line="360" w:lineRule="auto"/>
        <w:ind w:right="28" w:firstLineChars="200" w:firstLine="482"/>
        <w:rPr>
          <w:rFonts w:ascii="宋体" w:hAnsi="宋体" w:cs="仿宋_GB2312"/>
          <w:b/>
          <w:kern w:val="0"/>
          <w:sz w:val="24"/>
        </w:rPr>
      </w:pPr>
      <w:r>
        <w:rPr>
          <w:rFonts w:ascii="宋体" w:hAnsi="宋体" w:cs="仿宋_GB2312" w:hint="eastAsia"/>
          <w:b/>
          <w:kern w:val="0"/>
          <w:sz w:val="24"/>
        </w:rPr>
        <w:t>五、重要提示</w:t>
      </w:r>
    </w:p>
    <w:p w:rsidR="00690D14" w:rsidRDefault="00690D14">
      <w:pPr>
        <w:numPr>
          <w:ilvl w:val="0"/>
          <w:numId w:val="3"/>
        </w:numPr>
        <w:snapToGrid w:val="0"/>
        <w:spacing w:line="360" w:lineRule="auto"/>
        <w:ind w:left="1276" w:rightChars="12" w:right="25" w:hanging="425"/>
        <w:rPr>
          <w:rFonts w:ascii="宋体" w:hAnsi="宋体" w:cs="仿宋_GB2312" w:hint="eastAsia"/>
          <w:kern w:val="0"/>
          <w:sz w:val="24"/>
        </w:rPr>
      </w:pPr>
      <w:r>
        <w:rPr>
          <w:rFonts w:ascii="宋体" w:hAnsi="宋体" w:cs="仿宋_GB2312" w:hint="eastAsia"/>
          <w:kern w:val="0"/>
          <w:sz w:val="24"/>
        </w:rPr>
        <w:t>未领取基金1折权益的客户在交通</w:t>
      </w:r>
      <w:r w:rsidR="00DE1315">
        <w:rPr>
          <w:rFonts w:ascii="宋体" w:hAnsi="宋体" w:cs="仿宋_GB2312" w:hint="eastAsia"/>
          <w:kern w:val="0"/>
          <w:sz w:val="24"/>
        </w:rPr>
        <w:t>银行</w:t>
      </w:r>
      <w:r>
        <w:rPr>
          <w:rFonts w:ascii="宋体" w:hAnsi="宋体" w:cs="仿宋_GB2312" w:hint="eastAsia"/>
          <w:kern w:val="0"/>
          <w:sz w:val="24"/>
        </w:rPr>
        <w:t>手机银行不享受本次费率优惠。</w:t>
      </w:r>
    </w:p>
    <w:p w:rsidR="00690D14" w:rsidRDefault="00690D14">
      <w:pPr>
        <w:numPr>
          <w:ilvl w:val="0"/>
          <w:numId w:val="3"/>
        </w:numPr>
        <w:snapToGrid w:val="0"/>
        <w:spacing w:line="360" w:lineRule="auto"/>
        <w:ind w:left="1276" w:rightChars="12" w:right="25" w:hanging="425"/>
        <w:rPr>
          <w:rFonts w:ascii="宋体" w:hAnsi="宋体" w:cs="仿宋_GB2312" w:hint="eastAsia"/>
          <w:kern w:val="0"/>
          <w:sz w:val="24"/>
        </w:rPr>
      </w:pPr>
      <w:r>
        <w:rPr>
          <w:rFonts w:ascii="宋体" w:hAnsi="宋体" w:cs="仿宋_GB2312" w:hint="eastAsia"/>
          <w:kern w:val="0"/>
          <w:sz w:val="24"/>
        </w:rPr>
        <w:t>本次手机银行费率优惠活动仅限处于正常申购期的开放式基金（仅限前端</w:t>
      </w:r>
      <w:r w:rsidR="00843436">
        <w:rPr>
          <w:rFonts w:ascii="宋体" w:hAnsi="宋体" w:cs="仿宋_GB2312" w:hint="eastAsia"/>
          <w:kern w:val="0"/>
          <w:sz w:val="24"/>
        </w:rPr>
        <w:t>申购</w:t>
      </w:r>
      <w:r>
        <w:rPr>
          <w:rFonts w:ascii="宋体" w:hAnsi="宋体" w:cs="仿宋_GB2312" w:hint="eastAsia"/>
          <w:kern w:val="0"/>
          <w:sz w:val="24"/>
        </w:rPr>
        <w:t>模式）申购（不含转换转入）及定期定额投资手续费，不包括后端收费模式基金的申购及定期定额投资、处于基金募集期的开放式基金认购手续费。</w:t>
      </w:r>
    </w:p>
    <w:p w:rsidR="00690D14" w:rsidRDefault="00690D14">
      <w:pPr>
        <w:numPr>
          <w:ilvl w:val="0"/>
          <w:numId w:val="3"/>
        </w:numPr>
        <w:snapToGrid w:val="0"/>
        <w:spacing w:line="360" w:lineRule="auto"/>
        <w:ind w:left="1276" w:rightChars="12" w:right="25" w:hanging="425"/>
        <w:rPr>
          <w:rFonts w:ascii="宋体" w:hAnsi="宋体" w:cs="仿宋_GB2312"/>
          <w:kern w:val="0"/>
          <w:sz w:val="24"/>
        </w:rPr>
      </w:pPr>
      <w:r>
        <w:rPr>
          <w:rFonts w:ascii="宋体" w:hAnsi="宋体" w:cs="仿宋_GB2312" w:hint="eastAsia"/>
          <w:kern w:val="0"/>
          <w:sz w:val="24"/>
        </w:rPr>
        <w:t>本次费率优惠活动仅限于交通银行手机银行渠道，客户如通过柜面、网银等非手机银行渠道签约的定期定额投资在手机银行渠道费率优惠活动期间内的扣款不享受1折费率优惠。</w:t>
      </w:r>
    </w:p>
    <w:p w:rsidR="00690D14" w:rsidRDefault="00690D14">
      <w:pPr>
        <w:numPr>
          <w:ilvl w:val="0"/>
          <w:numId w:val="3"/>
        </w:numPr>
        <w:snapToGrid w:val="0"/>
        <w:spacing w:line="360" w:lineRule="auto"/>
        <w:ind w:left="1276" w:rightChars="12" w:right="25" w:hanging="425"/>
        <w:rPr>
          <w:rFonts w:ascii="宋体" w:hAnsi="宋体" w:cs="仿宋_GB2312"/>
          <w:kern w:val="0"/>
          <w:sz w:val="24"/>
        </w:rPr>
      </w:pPr>
      <w:r>
        <w:rPr>
          <w:rFonts w:ascii="宋体" w:hAnsi="宋体" w:cs="仿宋_GB2312" w:hint="eastAsia"/>
          <w:kern w:val="0"/>
          <w:sz w:val="24"/>
        </w:rPr>
        <w:t>费率优惠活动期间，客户在手机银行进行基金组合产品的申购与定投享受1折费率优惠（无前端申购费率或不支持费率优惠的开放式基金除外）。</w:t>
      </w:r>
    </w:p>
    <w:p w:rsidR="00690D14" w:rsidRDefault="00690D14">
      <w:pPr>
        <w:numPr>
          <w:ilvl w:val="0"/>
          <w:numId w:val="3"/>
        </w:numPr>
        <w:snapToGrid w:val="0"/>
        <w:spacing w:line="360" w:lineRule="auto"/>
        <w:ind w:left="1276" w:rightChars="12" w:right="25" w:hanging="425"/>
        <w:rPr>
          <w:rFonts w:ascii="宋体" w:hAnsi="宋体" w:cs="仿宋_GB2312" w:hint="eastAsia"/>
          <w:kern w:val="0"/>
          <w:sz w:val="24"/>
        </w:rPr>
      </w:pPr>
      <w:r>
        <w:rPr>
          <w:rFonts w:ascii="宋体" w:hAnsi="宋体" w:cs="仿宋_GB2312" w:hint="eastAsia"/>
          <w:kern w:val="0"/>
          <w:sz w:val="24"/>
        </w:rPr>
        <w:t>投资者欲了解各基金产品的原申购费率等详细情况，请仔细阅读各基金的《基金合同》、《招募说明书》等法律文件。</w:t>
      </w:r>
    </w:p>
    <w:p w:rsidR="00690D14" w:rsidRDefault="00690D14">
      <w:pPr>
        <w:numPr>
          <w:ilvl w:val="0"/>
          <w:numId w:val="3"/>
        </w:numPr>
        <w:snapToGrid w:val="0"/>
        <w:spacing w:line="360" w:lineRule="auto"/>
        <w:ind w:left="1276" w:rightChars="12" w:right="25" w:hanging="425"/>
        <w:rPr>
          <w:rFonts w:ascii="宋体" w:hAnsi="宋体" w:cs="仿宋_GB2312" w:hint="eastAsia"/>
          <w:kern w:val="0"/>
          <w:sz w:val="24"/>
        </w:rPr>
      </w:pPr>
      <w:r>
        <w:rPr>
          <w:rFonts w:ascii="宋体" w:hAnsi="宋体" w:cs="宋体" w:hint="eastAsia"/>
          <w:color w:val="000000"/>
          <w:kern w:val="0"/>
          <w:sz w:val="24"/>
        </w:rPr>
        <w:t>定期定额投资业务不额外收取手续费用，定期定额申购费率与相关基金的日常的申购费率相同。基金“暂停申购”期间，对于“暂停申购”前已开通定期定额投资业务的投资者，照常受理其投资业务。“暂停申购”前未开通定期定额投资业务的投资者，暂停受理其定期定额开户和投资业务，但如遇特殊情况以本公司公告为准。</w:t>
      </w:r>
    </w:p>
    <w:p w:rsidR="00690D14" w:rsidRDefault="00560315">
      <w:pPr>
        <w:numPr>
          <w:ilvl w:val="0"/>
          <w:numId w:val="3"/>
        </w:numPr>
        <w:snapToGrid w:val="0"/>
        <w:spacing w:line="360" w:lineRule="auto"/>
        <w:ind w:left="1276" w:rightChars="12" w:right="25" w:hanging="425"/>
        <w:rPr>
          <w:rFonts w:ascii="宋体" w:hAnsi="宋体" w:cs="仿宋_GB2312" w:hint="eastAsia"/>
          <w:kern w:val="0"/>
          <w:sz w:val="24"/>
        </w:rPr>
      </w:pPr>
      <w:r>
        <w:rPr>
          <w:rFonts w:ascii="宋体" w:hAnsi="宋体" w:cs="仿宋_GB2312" w:hint="eastAsia"/>
          <w:kern w:val="0"/>
          <w:sz w:val="24"/>
        </w:rPr>
        <w:t>如</w:t>
      </w:r>
      <w:r w:rsidR="00690D14">
        <w:rPr>
          <w:rFonts w:ascii="宋体" w:hAnsi="宋体" w:cs="仿宋_GB2312" w:hint="eastAsia"/>
          <w:kern w:val="0"/>
          <w:sz w:val="24"/>
        </w:rPr>
        <w:t>新增参加或退出基金申购及定投手续费率（</w:t>
      </w:r>
      <w:r>
        <w:rPr>
          <w:rFonts w:ascii="宋体" w:hAnsi="宋体" w:cs="仿宋_GB2312" w:hint="eastAsia"/>
          <w:kern w:val="0"/>
          <w:sz w:val="24"/>
        </w:rPr>
        <w:t>仅限</w:t>
      </w:r>
      <w:r w:rsidR="00690D14">
        <w:rPr>
          <w:rFonts w:ascii="宋体" w:hAnsi="宋体" w:cs="仿宋_GB2312" w:hint="eastAsia"/>
          <w:kern w:val="0"/>
          <w:sz w:val="24"/>
        </w:rPr>
        <w:t>前端</w:t>
      </w:r>
      <w:r>
        <w:rPr>
          <w:rFonts w:ascii="宋体" w:hAnsi="宋体" w:cs="仿宋_GB2312" w:hint="eastAsia"/>
          <w:kern w:val="0"/>
          <w:sz w:val="24"/>
        </w:rPr>
        <w:t>申购</w:t>
      </w:r>
      <w:r w:rsidR="00690D14">
        <w:rPr>
          <w:rFonts w:ascii="宋体" w:hAnsi="宋体" w:cs="仿宋_GB2312" w:hint="eastAsia"/>
          <w:kern w:val="0"/>
          <w:sz w:val="24"/>
        </w:rPr>
        <w:t>模式）优惠的基金，</w:t>
      </w:r>
      <w:r w:rsidR="00F70209">
        <w:rPr>
          <w:rFonts w:ascii="宋体" w:hAnsi="宋体" w:cs="仿宋_GB2312" w:hint="eastAsia"/>
          <w:kern w:val="0"/>
          <w:sz w:val="24"/>
        </w:rPr>
        <w:t>本公司</w:t>
      </w:r>
      <w:r>
        <w:rPr>
          <w:rFonts w:ascii="宋体" w:hAnsi="宋体" w:cs="仿宋_GB2312" w:hint="eastAsia"/>
          <w:kern w:val="0"/>
          <w:sz w:val="24"/>
        </w:rPr>
        <w:t>将</w:t>
      </w:r>
      <w:r>
        <w:rPr>
          <w:rFonts w:ascii="宋体" w:hAnsi="宋体" w:cs="仿宋_GB2312"/>
          <w:kern w:val="0"/>
          <w:sz w:val="24"/>
        </w:rPr>
        <w:t>另行公告。</w:t>
      </w:r>
    </w:p>
    <w:p w:rsidR="00690D14" w:rsidRDefault="00690D14">
      <w:pPr>
        <w:numPr>
          <w:ilvl w:val="0"/>
          <w:numId w:val="3"/>
        </w:numPr>
        <w:snapToGrid w:val="0"/>
        <w:spacing w:line="360" w:lineRule="auto"/>
        <w:ind w:left="1276" w:rightChars="12" w:right="25" w:hanging="425"/>
        <w:rPr>
          <w:rFonts w:ascii="宋体" w:hAnsi="宋体" w:cs="仿宋_GB2312" w:hint="eastAsia"/>
          <w:kern w:val="0"/>
          <w:sz w:val="24"/>
        </w:rPr>
      </w:pPr>
      <w:r>
        <w:rPr>
          <w:rFonts w:ascii="宋体" w:hAnsi="宋体" w:cs="仿宋_GB2312" w:hint="eastAsia"/>
          <w:kern w:val="0"/>
          <w:sz w:val="24"/>
        </w:rPr>
        <w:t>具体的业务规则和办理流程以交通银行的安排和规定为准。</w:t>
      </w:r>
    </w:p>
    <w:p w:rsidR="00690D14" w:rsidRDefault="00690D14">
      <w:pPr>
        <w:snapToGrid w:val="0"/>
        <w:spacing w:beforeLines="50" w:afterLines="50" w:line="360" w:lineRule="auto"/>
        <w:ind w:right="28" w:firstLineChars="200" w:firstLine="482"/>
        <w:rPr>
          <w:rFonts w:ascii="宋体" w:hAnsi="宋体" w:cs="仿宋_GB2312" w:hint="eastAsia"/>
          <w:b/>
          <w:kern w:val="0"/>
          <w:sz w:val="24"/>
        </w:rPr>
      </w:pPr>
      <w:r>
        <w:rPr>
          <w:rFonts w:ascii="宋体" w:hAnsi="宋体" w:cs="仿宋_GB2312" w:hint="eastAsia"/>
          <w:b/>
          <w:kern w:val="0"/>
          <w:sz w:val="24"/>
        </w:rPr>
        <w:t>六、投资者可通过以下途径了解或咨询相关情况</w:t>
      </w:r>
    </w:p>
    <w:p w:rsidR="00690D14" w:rsidRDefault="00690D14">
      <w:pPr>
        <w:numPr>
          <w:ilvl w:val="0"/>
          <w:numId w:val="4"/>
        </w:numPr>
        <w:snapToGrid w:val="0"/>
        <w:spacing w:line="360" w:lineRule="auto"/>
        <w:ind w:rightChars="12" w:right="25" w:firstLine="11"/>
        <w:rPr>
          <w:rFonts w:ascii="宋体" w:hAnsi="宋体" w:cs="仿宋_GB2312" w:hint="eastAsia"/>
          <w:kern w:val="0"/>
          <w:sz w:val="24"/>
        </w:rPr>
      </w:pPr>
      <w:r>
        <w:rPr>
          <w:rFonts w:ascii="宋体" w:hAnsi="宋体" w:cs="仿宋_GB2312" w:hint="eastAsia"/>
          <w:kern w:val="0"/>
          <w:sz w:val="24"/>
        </w:rPr>
        <w:t>交通银行客户服务电话：95559</w:t>
      </w:r>
    </w:p>
    <w:p w:rsidR="00690D14" w:rsidRDefault="00690D14">
      <w:pPr>
        <w:snapToGrid w:val="0"/>
        <w:spacing w:line="360" w:lineRule="auto"/>
        <w:ind w:left="1260" w:rightChars="12" w:right="25"/>
        <w:rPr>
          <w:rFonts w:ascii="宋体" w:hAnsi="宋体" w:cs="仿宋_GB2312" w:hint="eastAsia"/>
          <w:kern w:val="0"/>
          <w:sz w:val="24"/>
        </w:rPr>
      </w:pPr>
      <w:r>
        <w:rPr>
          <w:rFonts w:ascii="宋体" w:hAnsi="宋体" w:cs="仿宋_GB2312" w:hint="eastAsia"/>
          <w:kern w:val="0"/>
          <w:sz w:val="24"/>
        </w:rPr>
        <w:t>网址：</w:t>
      </w:r>
      <w:r>
        <w:rPr>
          <w:rFonts w:ascii="宋体" w:hAnsi="宋体" w:cs="仿宋_GB2312"/>
          <w:kern w:val="0"/>
          <w:sz w:val="24"/>
        </w:rPr>
        <w:t>www.</w:t>
      </w:r>
      <w:r>
        <w:rPr>
          <w:rFonts w:ascii="宋体" w:hAnsi="宋体" w:cs="仿宋_GB2312" w:hint="eastAsia"/>
          <w:kern w:val="0"/>
          <w:sz w:val="24"/>
        </w:rPr>
        <w:t>bankcomm</w:t>
      </w:r>
      <w:r>
        <w:rPr>
          <w:rFonts w:ascii="宋体" w:hAnsi="宋体" w:cs="仿宋_GB2312"/>
          <w:kern w:val="0"/>
          <w:sz w:val="24"/>
        </w:rPr>
        <w:t>.com</w:t>
      </w:r>
    </w:p>
    <w:p w:rsidR="00690D14" w:rsidRDefault="00690D14">
      <w:pPr>
        <w:numPr>
          <w:ilvl w:val="0"/>
          <w:numId w:val="4"/>
        </w:numPr>
        <w:snapToGrid w:val="0"/>
        <w:spacing w:line="360" w:lineRule="auto"/>
        <w:ind w:leftChars="400" w:left="1260" w:rightChars="12" w:right="25"/>
        <w:rPr>
          <w:rFonts w:ascii="宋体" w:hAnsi="宋体" w:cs="仿宋_GB2312" w:hint="eastAsia"/>
          <w:kern w:val="0"/>
          <w:sz w:val="24"/>
        </w:rPr>
      </w:pPr>
      <w:r>
        <w:rPr>
          <w:rFonts w:ascii="宋体" w:hAnsi="宋体" w:cs="仿宋_GB2312" w:hint="eastAsia"/>
          <w:kern w:val="0"/>
          <w:sz w:val="24"/>
        </w:rPr>
        <w:lastRenderedPageBreak/>
        <w:t>本公司客户服务电话：400-628-5888</w:t>
      </w:r>
    </w:p>
    <w:p w:rsidR="00690D14" w:rsidRDefault="00690D14">
      <w:pPr>
        <w:snapToGrid w:val="0"/>
        <w:spacing w:line="360" w:lineRule="auto"/>
        <w:ind w:left="1260" w:rightChars="12" w:right="25"/>
        <w:rPr>
          <w:rFonts w:ascii="宋体" w:hAnsi="宋体" w:cs="仿宋_GB2312" w:hint="eastAsia"/>
          <w:kern w:val="0"/>
          <w:sz w:val="24"/>
        </w:rPr>
      </w:pPr>
      <w:r>
        <w:rPr>
          <w:rFonts w:ascii="宋体" w:hAnsi="宋体" w:cs="仿宋_GB2312" w:hint="eastAsia"/>
          <w:kern w:val="0"/>
          <w:sz w:val="24"/>
        </w:rPr>
        <w:t>网址：www.df5888.com或www.orient-fund.com</w:t>
      </w:r>
    </w:p>
    <w:p w:rsidR="00690D14" w:rsidRDefault="00690D14">
      <w:pPr>
        <w:autoSpaceDE w:val="0"/>
        <w:autoSpaceDN w:val="0"/>
        <w:adjustRightInd w:val="0"/>
        <w:spacing w:line="360" w:lineRule="auto"/>
        <w:ind w:firstLineChars="250" w:firstLine="602"/>
        <w:jc w:val="left"/>
        <w:rPr>
          <w:rFonts w:ascii="宋体" w:hAnsi="宋体" w:cs="仿宋_GB2312" w:hint="eastAsia"/>
          <w:color w:val="000000"/>
          <w:kern w:val="0"/>
          <w:sz w:val="24"/>
        </w:rPr>
      </w:pPr>
      <w:r>
        <w:rPr>
          <w:rFonts w:ascii="宋体" w:hAnsi="宋体" w:cs="仿宋_GB2312" w:hint="eastAsia"/>
          <w:b/>
          <w:bCs/>
          <w:color w:val="000000"/>
          <w:kern w:val="0"/>
          <w:sz w:val="24"/>
        </w:rPr>
        <w:t>七、</w:t>
      </w:r>
      <w:r>
        <w:rPr>
          <w:b/>
          <w:color w:val="000000"/>
          <w:sz w:val="24"/>
        </w:rPr>
        <w:t>风险提示：</w:t>
      </w:r>
    </w:p>
    <w:p w:rsidR="00690D14" w:rsidRDefault="00690D14">
      <w:pPr>
        <w:spacing w:beforeLines="50" w:afterLines="50" w:line="360" w:lineRule="auto"/>
        <w:ind w:firstLineChars="200" w:firstLine="480"/>
        <w:rPr>
          <w:rFonts w:ascii="宋体" w:hAnsi="宋体" w:cs="宋体" w:hint="eastAsia"/>
          <w:color w:val="000000"/>
          <w:kern w:val="0"/>
          <w:sz w:val="24"/>
        </w:rPr>
      </w:pPr>
      <w:r>
        <w:rPr>
          <w:rFonts w:ascii="宋体" w:hAnsi="宋体" w:cs="宋体" w:hint="eastAsia"/>
          <w:color w:val="000000"/>
          <w:kern w:val="0"/>
          <w:sz w:val="24"/>
        </w:rPr>
        <w:t>基金管理人承诺以诚实信用、勤勉尽责的原则管理和运用基金资产，但不保证基金一定盈利，也不保证最低收益。基金管理人管理的基金业绩不构成对其他基金业绩表现的保证。基金管理人提醒投资人遵循基金投资“买者自负”的原则，</w:t>
      </w:r>
      <w:r w:rsidR="00DE1315" w:rsidRPr="00C9656D">
        <w:rPr>
          <w:rFonts w:ascii="宋体" w:hAnsi="宋体" w:cs="宋体" w:hint="eastAsia"/>
          <w:color w:val="000000"/>
          <w:kern w:val="0"/>
          <w:sz w:val="24"/>
        </w:rPr>
        <w:t>应认真阅读《基金合同》、《招募说明书》等基金法律文件，</w:t>
      </w:r>
      <w:r>
        <w:rPr>
          <w:rFonts w:ascii="宋体" w:hAnsi="宋体" w:cs="宋体" w:hint="eastAsia"/>
          <w:color w:val="000000"/>
          <w:kern w:val="0"/>
          <w:sz w:val="24"/>
        </w:rPr>
        <w:t>全面认识产品风险收益特征和产品特征，充分考虑自身的风险承受能力，理性判断市场，在对申购基金的意愿、时机、数量等投资行为做出独立、谨慎决策后，基金运营状况与基金净值变化引致的投资风险，由投资者自行负担。</w:t>
      </w:r>
    </w:p>
    <w:p w:rsidR="00690D14" w:rsidRDefault="00690D14">
      <w:pPr>
        <w:autoSpaceDE w:val="0"/>
        <w:autoSpaceDN w:val="0"/>
        <w:adjustRightInd w:val="0"/>
        <w:spacing w:line="360" w:lineRule="auto"/>
        <w:ind w:firstLineChars="200" w:firstLine="480"/>
        <w:jc w:val="left"/>
        <w:rPr>
          <w:rFonts w:ascii="宋体" w:hAnsi="宋体" w:cs="仿宋_GB2312" w:hint="eastAsia"/>
          <w:kern w:val="0"/>
          <w:sz w:val="24"/>
        </w:rPr>
      </w:pPr>
    </w:p>
    <w:p w:rsidR="00690D14" w:rsidRDefault="00690D14">
      <w:pPr>
        <w:autoSpaceDE w:val="0"/>
        <w:autoSpaceDN w:val="0"/>
        <w:adjustRightInd w:val="0"/>
        <w:spacing w:line="360" w:lineRule="auto"/>
        <w:jc w:val="right"/>
        <w:rPr>
          <w:rFonts w:ascii="宋体" w:hAnsi="宋体" w:cs="仿宋_GB2312" w:hint="eastAsia"/>
          <w:kern w:val="0"/>
          <w:sz w:val="24"/>
        </w:rPr>
      </w:pPr>
    </w:p>
    <w:p w:rsidR="00690D14" w:rsidRDefault="00690D14">
      <w:pPr>
        <w:autoSpaceDE w:val="0"/>
        <w:autoSpaceDN w:val="0"/>
        <w:adjustRightInd w:val="0"/>
        <w:spacing w:line="360" w:lineRule="auto"/>
        <w:jc w:val="right"/>
        <w:rPr>
          <w:rFonts w:ascii="宋体" w:hAnsi="宋体" w:cs="仿宋_GB2312"/>
          <w:kern w:val="0"/>
          <w:sz w:val="24"/>
        </w:rPr>
      </w:pPr>
      <w:r>
        <w:rPr>
          <w:rFonts w:ascii="宋体" w:hAnsi="宋体" w:cs="仿宋_GB2312" w:hint="eastAsia"/>
          <w:kern w:val="0"/>
          <w:sz w:val="24"/>
        </w:rPr>
        <w:t>东方基金管理有限责任公司</w:t>
      </w:r>
    </w:p>
    <w:p w:rsidR="00690D14" w:rsidRDefault="00690D14">
      <w:pPr>
        <w:spacing w:line="360" w:lineRule="auto"/>
        <w:jc w:val="right"/>
        <w:rPr>
          <w:rFonts w:ascii="宋体" w:hAnsi="宋体" w:cs="仿宋_GB2312" w:hint="eastAsia"/>
          <w:kern w:val="0"/>
          <w:sz w:val="24"/>
        </w:rPr>
      </w:pPr>
      <w:r>
        <w:rPr>
          <w:rFonts w:ascii="宋体" w:hAnsi="宋体" w:cs="仿宋_GB2312" w:hint="eastAsia"/>
          <w:kern w:val="0"/>
          <w:sz w:val="24"/>
        </w:rPr>
        <w:t>二○二○年六月三十日</w:t>
      </w:r>
    </w:p>
    <w:sectPr w:rsidR="00690D14">
      <w:pgSz w:w="11906" w:h="16838"/>
      <w:pgMar w:top="1440" w:right="1558"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BFB" w:rsidRDefault="006E4BFB"/>
  </w:endnote>
  <w:endnote w:type="continuationSeparator" w:id="0">
    <w:p w:rsidR="006E4BFB" w:rsidRDefault="006E4BF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BFB" w:rsidRDefault="006E4BFB"/>
  </w:footnote>
  <w:footnote w:type="continuationSeparator" w:id="0">
    <w:p w:rsidR="006E4BFB" w:rsidRDefault="006E4BF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716BF"/>
    <w:multiLevelType w:val="multilevel"/>
    <w:tmpl w:val="175716BF"/>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1ECF2E56"/>
    <w:multiLevelType w:val="multilevel"/>
    <w:tmpl w:val="1ECF2E56"/>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51B71CC2"/>
    <w:multiLevelType w:val="multilevel"/>
    <w:tmpl w:val="51B71CC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54D1643A"/>
    <w:multiLevelType w:val="singleLevel"/>
    <w:tmpl w:val="54D1643A"/>
    <w:lvl w:ilvl="0">
      <w:start w:val="3"/>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oNotTrackMoves/>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333B"/>
    <w:rsid w:val="00014E8D"/>
    <w:rsid w:val="0001792D"/>
    <w:rsid w:val="00021A61"/>
    <w:rsid w:val="00021DC1"/>
    <w:rsid w:val="00022EBA"/>
    <w:rsid w:val="00023C82"/>
    <w:rsid w:val="00026F75"/>
    <w:rsid w:val="00036B9E"/>
    <w:rsid w:val="00037EA5"/>
    <w:rsid w:val="000408EB"/>
    <w:rsid w:val="00042D3F"/>
    <w:rsid w:val="00043DB0"/>
    <w:rsid w:val="00045CB9"/>
    <w:rsid w:val="00053144"/>
    <w:rsid w:val="00057692"/>
    <w:rsid w:val="00062FBA"/>
    <w:rsid w:val="00063883"/>
    <w:rsid w:val="00064445"/>
    <w:rsid w:val="0007010A"/>
    <w:rsid w:val="000704DD"/>
    <w:rsid w:val="00070A88"/>
    <w:rsid w:val="00071326"/>
    <w:rsid w:val="000737A1"/>
    <w:rsid w:val="0007415B"/>
    <w:rsid w:val="00075048"/>
    <w:rsid w:val="00080222"/>
    <w:rsid w:val="000815DA"/>
    <w:rsid w:val="00081A06"/>
    <w:rsid w:val="0008310C"/>
    <w:rsid w:val="0009004E"/>
    <w:rsid w:val="00092713"/>
    <w:rsid w:val="000928B7"/>
    <w:rsid w:val="000928EA"/>
    <w:rsid w:val="00094795"/>
    <w:rsid w:val="000958E3"/>
    <w:rsid w:val="000A4983"/>
    <w:rsid w:val="000B011B"/>
    <w:rsid w:val="000B21F3"/>
    <w:rsid w:val="000C31BB"/>
    <w:rsid w:val="000C4F56"/>
    <w:rsid w:val="000D1E4D"/>
    <w:rsid w:val="000D5C1B"/>
    <w:rsid w:val="000D64C4"/>
    <w:rsid w:val="000E1AD1"/>
    <w:rsid w:val="000E367B"/>
    <w:rsid w:val="000F34C0"/>
    <w:rsid w:val="000F5D46"/>
    <w:rsid w:val="00103172"/>
    <w:rsid w:val="0011025A"/>
    <w:rsid w:val="00112C2D"/>
    <w:rsid w:val="00112CDE"/>
    <w:rsid w:val="0011357B"/>
    <w:rsid w:val="00123F2D"/>
    <w:rsid w:val="00124E6B"/>
    <w:rsid w:val="001254EA"/>
    <w:rsid w:val="00130C75"/>
    <w:rsid w:val="00130E7D"/>
    <w:rsid w:val="00131547"/>
    <w:rsid w:val="00132BB1"/>
    <w:rsid w:val="001409D2"/>
    <w:rsid w:val="0014479A"/>
    <w:rsid w:val="00144BD9"/>
    <w:rsid w:val="00146720"/>
    <w:rsid w:val="00152C5D"/>
    <w:rsid w:val="001614D2"/>
    <w:rsid w:val="001656B8"/>
    <w:rsid w:val="00167A9A"/>
    <w:rsid w:val="00167EDB"/>
    <w:rsid w:val="00181604"/>
    <w:rsid w:val="00187FA6"/>
    <w:rsid w:val="001978AE"/>
    <w:rsid w:val="001A1034"/>
    <w:rsid w:val="001A2DA9"/>
    <w:rsid w:val="001A7451"/>
    <w:rsid w:val="001B15BA"/>
    <w:rsid w:val="001B1CB6"/>
    <w:rsid w:val="001B2405"/>
    <w:rsid w:val="001B2F41"/>
    <w:rsid w:val="001B6571"/>
    <w:rsid w:val="001C09E6"/>
    <w:rsid w:val="001C20BF"/>
    <w:rsid w:val="001C5E8C"/>
    <w:rsid w:val="001D1481"/>
    <w:rsid w:val="001D4B6A"/>
    <w:rsid w:val="001E19B7"/>
    <w:rsid w:val="001E5ABB"/>
    <w:rsid w:val="001F5202"/>
    <w:rsid w:val="0020016F"/>
    <w:rsid w:val="00202D16"/>
    <w:rsid w:val="00207460"/>
    <w:rsid w:val="0020793F"/>
    <w:rsid w:val="00211AAE"/>
    <w:rsid w:val="00213813"/>
    <w:rsid w:val="00221570"/>
    <w:rsid w:val="002241F7"/>
    <w:rsid w:val="00225412"/>
    <w:rsid w:val="00234DD0"/>
    <w:rsid w:val="00235CBD"/>
    <w:rsid w:val="0023718F"/>
    <w:rsid w:val="002375E7"/>
    <w:rsid w:val="00240D39"/>
    <w:rsid w:val="00243955"/>
    <w:rsid w:val="002447BE"/>
    <w:rsid w:val="00244D44"/>
    <w:rsid w:val="00245AB9"/>
    <w:rsid w:val="00254012"/>
    <w:rsid w:val="00255725"/>
    <w:rsid w:val="00256955"/>
    <w:rsid w:val="00263353"/>
    <w:rsid w:val="002671CA"/>
    <w:rsid w:val="0027348C"/>
    <w:rsid w:val="002804A5"/>
    <w:rsid w:val="00280B05"/>
    <w:rsid w:val="00282EC5"/>
    <w:rsid w:val="00286309"/>
    <w:rsid w:val="00290640"/>
    <w:rsid w:val="00290EC0"/>
    <w:rsid w:val="002916A6"/>
    <w:rsid w:val="00292603"/>
    <w:rsid w:val="0029296D"/>
    <w:rsid w:val="002944CA"/>
    <w:rsid w:val="00297E14"/>
    <w:rsid w:val="002A464D"/>
    <w:rsid w:val="002A7A90"/>
    <w:rsid w:val="002B396A"/>
    <w:rsid w:val="002B43B7"/>
    <w:rsid w:val="002B7BD7"/>
    <w:rsid w:val="002C1AC7"/>
    <w:rsid w:val="002C4CD2"/>
    <w:rsid w:val="002C6E94"/>
    <w:rsid w:val="002D49C4"/>
    <w:rsid w:val="002E039C"/>
    <w:rsid w:val="002E4871"/>
    <w:rsid w:val="002E5FB1"/>
    <w:rsid w:val="002E7F7D"/>
    <w:rsid w:val="002F1CD4"/>
    <w:rsid w:val="002F308B"/>
    <w:rsid w:val="002F7171"/>
    <w:rsid w:val="00301140"/>
    <w:rsid w:val="00304F7F"/>
    <w:rsid w:val="00313B84"/>
    <w:rsid w:val="00323B43"/>
    <w:rsid w:val="003355C3"/>
    <w:rsid w:val="0034132D"/>
    <w:rsid w:val="00341877"/>
    <w:rsid w:val="0034280A"/>
    <w:rsid w:val="00342F16"/>
    <w:rsid w:val="00343044"/>
    <w:rsid w:val="003503BB"/>
    <w:rsid w:val="0035148D"/>
    <w:rsid w:val="00354757"/>
    <w:rsid w:val="00356269"/>
    <w:rsid w:val="00357282"/>
    <w:rsid w:val="0036094E"/>
    <w:rsid w:val="00366986"/>
    <w:rsid w:val="00366F52"/>
    <w:rsid w:val="0037031A"/>
    <w:rsid w:val="0037339B"/>
    <w:rsid w:val="0037374A"/>
    <w:rsid w:val="00375B39"/>
    <w:rsid w:val="00380F39"/>
    <w:rsid w:val="00383707"/>
    <w:rsid w:val="003849ED"/>
    <w:rsid w:val="00385D4E"/>
    <w:rsid w:val="00387441"/>
    <w:rsid w:val="00391DC0"/>
    <w:rsid w:val="003933C5"/>
    <w:rsid w:val="003A43DB"/>
    <w:rsid w:val="003A755A"/>
    <w:rsid w:val="003B1382"/>
    <w:rsid w:val="003B2475"/>
    <w:rsid w:val="003C44EE"/>
    <w:rsid w:val="003C5190"/>
    <w:rsid w:val="003D0D2E"/>
    <w:rsid w:val="003D1417"/>
    <w:rsid w:val="003D1585"/>
    <w:rsid w:val="003D2645"/>
    <w:rsid w:val="003D2F2B"/>
    <w:rsid w:val="003E35AC"/>
    <w:rsid w:val="003E6183"/>
    <w:rsid w:val="003E7315"/>
    <w:rsid w:val="0040101C"/>
    <w:rsid w:val="00401A32"/>
    <w:rsid w:val="00403905"/>
    <w:rsid w:val="004112CB"/>
    <w:rsid w:val="00413127"/>
    <w:rsid w:val="00413250"/>
    <w:rsid w:val="00420641"/>
    <w:rsid w:val="004231D9"/>
    <w:rsid w:val="00424022"/>
    <w:rsid w:val="00434127"/>
    <w:rsid w:val="0043641D"/>
    <w:rsid w:val="00436676"/>
    <w:rsid w:val="00436D30"/>
    <w:rsid w:val="00443AA5"/>
    <w:rsid w:val="004473D9"/>
    <w:rsid w:val="00450713"/>
    <w:rsid w:val="00450E06"/>
    <w:rsid w:val="00453822"/>
    <w:rsid w:val="00462FED"/>
    <w:rsid w:val="00465EE3"/>
    <w:rsid w:val="0046611E"/>
    <w:rsid w:val="004664F2"/>
    <w:rsid w:val="00472CA2"/>
    <w:rsid w:val="004747CE"/>
    <w:rsid w:val="00477C17"/>
    <w:rsid w:val="00494497"/>
    <w:rsid w:val="0049480B"/>
    <w:rsid w:val="00496604"/>
    <w:rsid w:val="004A1EE6"/>
    <w:rsid w:val="004A3437"/>
    <w:rsid w:val="004A52D3"/>
    <w:rsid w:val="004A6C48"/>
    <w:rsid w:val="004A7A5D"/>
    <w:rsid w:val="004B65A9"/>
    <w:rsid w:val="004C1249"/>
    <w:rsid w:val="004C25EA"/>
    <w:rsid w:val="004C3FE9"/>
    <w:rsid w:val="004D154F"/>
    <w:rsid w:val="004D5DC3"/>
    <w:rsid w:val="004D76A8"/>
    <w:rsid w:val="004E4B7E"/>
    <w:rsid w:val="004F2B4B"/>
    <w:rsid w:val="004F42B6"/>
    <w:rsid w:val="004F6D3A"/>
    <w:rsid w:val="00513F63"/>
    <w:rsid w:val="00515064"/>
    <w:rsid w:val="00521FAC"/>
    <w:rsid w:val="00523295"/>
    <w:rsid w:val="005262A1"/>
    <w:rsid w:val="00526F50"/>
    <w:rsid w:val="00527FE8"/>
    <w:rsid w:val="00530ED1"/>
    <w:rsid w:val="0053244F"/>
    <w:rsid w:val="00532517"/>
    <w:rsid w:val="005334CD"/>
    <w:rsid w:val="00533743"/>
    <w:rsid w:val="005347F2"/>
    <w:rsid w:val="00541815"/>
    <w:rsid w:val="00545BD2"/>
    <w:rsid w:val="0055152E"/>
    <w:rsid w:val="00557076"/>
    <w:rsid w:val="00560315"/>
    <w:rsid w:val="005620D7"/>
    <w:rsid w:val="00564541"/>
    <w:rsid w:val="00565AA1"/>
    <w:rsid w:val="00567D7C"/>
    <w:rsid w:val="00572C02"/>
    <w:rsid w:val="0057472C"/>
    <w:rsid w:val="00585776"/>
    <w:rsid w:val="00585F31"/>
    <w:rsid w:val="0059070D"/>
    <w:rsid w:val="00592749"/>
    <w:rsid w:val="00592F3E"/>
    <w:rsid w:val="00594E1A"/>
    <w:rsid w:val="005A3334"/>
    <w:rsid w:val="005B0F97"/>
    <w:rsid w:val="005B1D95"/>
    <w:rsid w:val="005B7B4C"/>
    <w:rsid w:val="005C608F"/>
    <w:rsid w:val="005C7ABE"/>
    <w:rsid w:val="005D0395"/>
    <w:rsid w:val="005D03A4"/>
    <w:rsid w:val="005D3FBD"/>
    <w:rsid w:val="005E0C16"/>
    <w:rsid w:val="005E2389"/>
    <w:rsid w:val="005E3983"/>
    <w:rsid w:val="005E4C5F"/>
    <w:rsid w:val="005F02D6"/>
    <w:rsid w:val="005F0587"/>
    <w:rsid w:val="0060068F"/>
    <w:rsid w:val="00605B4B"/>
    <w:rsid w:val="006139B5"/>
    <w:rsid w:val="006143FD"/>
    <w:rsid w:val="00614C98"/>
    <w:rsid w:val="00614E36"/>
    <w:rsid w:val="0061778D"/>
    <w:rsid w:val="00620584"/>
    <w:rsid w:val="006364C2"/>
    <w:rsid w:val="00640183"/>
    <w:rsid w:val="00640779"/>
    <w:rsid w:val="00640E73"/>
    <w:rsid w:val="00645BAC"/>
    <w:rsid w:val="00656081"/>
    <w:rsid w:val="00656BE4"/>
    <w:rsid w:val="00657540"/>
    <w:rsid w:val="0065781F"/>
    <w:rsid w:val="006618F5"/>
    <w:rsid w:val="00662668"/>
    <w:rsid w:val="00662FA1"/>
    <w:rsid w:val="006664F4"/>
    <w:rsid w:val="00681574"/>
    <w:rsid w:val="00681966"/>
    <w:rsid w:val="00690D14"/>
    <w:rsid w:val="00694C38"/>
    <w:rsid w:val="0069763A"/>
    <w:rsid w:val="006A1CB8"/>
    <w:rsid w:val="006A26EA"/>
    <w:rsid w:val="006A63C7"/>
    <w:rsid w:val="006B3DFB"/>
    <w:rsid w:val="006B5622"/>
    <w:rsid w:val="006B5D8E"/>
    <w:rsid w:val="006C1B77"/>
    <w:rsid w:val="006C3706"/>
    <w:rsid w:val="006C3940"/>
    <w:rsid w:val="006C3984"/>
    <w:rsid w:val="006D0685"/>
    <w:rsid w:val="006D3E3E"/>
    <w:rsid w:val="006E085B"/>
    <w:rsid w:val="006E1A12"/>
    <w:rsid w:val="006E21E7"/>
    <w:rsid w:val="006E4BFB"/>
    <w:rsid w:val="006F3288"/>
    <w:rsid w:val="006F4C1F"/>
    <w:rsid w:val="006F4C9C"/>
    <w:rsid w:val="00702185"/>
    <w:rsid w:val="0070301F"/>
    <w:rsid w:val="00704D8A"/>
    <w:rsid w:val="00706BA4"/>
    <w:rsid w:val="00706DE3"/>
    <w:rsid w:val="00707B03"/>
    <w:rsid w:val="00711863"/>
    <w:rsid w:val="0071386D"/>
    <w:rsid w:val="00714859"/>
    <w:rsid w:val="007219EF"/>
    <w:rsid w:val="00726DCD"/>
    <w:rsid w:val="00730801"/>
    <w:rsid w:val="00731D33"/>
    <w:rsid w:val="00731F46"/>
    <w:rsid w:val="007330BD"/>
    <w:rsid w:val="007334CB"/>
    <w:rsid w:val="00737A1B"/>
    <w:rsid w:val="00740B8D"/>
    <w:rsid w:val="00741490"/>
    <w:rsid w:val="0074533C"/>
    <w:rsid w:val="00745663"/>
    <w:rsid w:val="00745E01"/>
    <w:rsid w:val="00752092"/>
    <w:rsid w:val="007632EC"/>
    <w:rsid w:val="00763B64"/>
    <w:rsid w:val="00766A6B"/>
    <w:rsid w:val="00771301"/>
    <w:rsid w:val="00777D0C"/>
    <w:rsid w:val="0078214D"/>
    <w:rsid w:val="0078255E"/>
    <w:rsid w:val="00783CA3"/>
    <w:rsid w:val="00786E7B"/>
    <w:rsid w:val="00791064"/>
    <w:rsid w:val="00792A7D"/>
    <w:rsid w:val="00793E5B"/>
    <w:rsid w:val="00794D57"/>
    <w:rsid w:val="007A286A"/>
    <w:rsid w:val="007A5732"/>
    <w:rsid w:val="007A5BA1"/>
    <w:rsid w:val="007B2254"/>
    <w:rsid w:val="007B4DF3"/>
    <w:rsid w:val="007B75D0"/>
    <w:rsid w:val="007C05BC"/>
    <w:rsid w:val="007C1EB5"/>
    <w:rsid w:val="007C6A43"/>
    <w:rsid w:val="007D2637"/>
    <w:rsid w:val="007D4615"/>
    <w:rsid w:val="007D694C"/>
    <w:rsid w:val="007E416E"/>
    <w:rsid w:val="007E6280"/>
    <w:rsid w:val="007F3A7C"/>
    <w:rsid w:val="0080226F"/>
    <w:rsid w:val="00802749"/>
    <w:rsid w:val="00802B79"/>
    <w:rsid w:val="00803645"/>
    <w:rsid w:val="00810FF8"/>
    <w:rsid w:val="00813DA0"/>
    <w:rsid w:val="008143E1"/>
    <w:rsid w:val="00822A68"/>
    <w:rsid w:val="00822CAC"/>
    <w:rsid w:val="00822FA8"/>
    <w:rsid w:val="00824888"/>
    <w:rsid w:val="008267EA"/>
    <w:rsid w:val="008274B2"/>
    <w:rsid w:val="00827D8C"/>
    <w:rsid w:val="008316E8"/>
    <w:rsid w:val="008332DA"/>
    <w:rsid w:val="008337F0"/>
    <w:rsid w:val="00836224"/>
    <w:rsid w:val="00843436"/>
    <w:rsid w:val="00850D62"/>
    <w:rsid w:val="00851602"/>
    <w:rsid w:val="00852A78"/>
    <w:rsid w:val="008545DA"/>
    <w:rsid w:val="00855B05"/>
    <w:rsid w:val="008636AB"/>
    <w:rsid w:val="00867AA9"/>
    <w:rsid w:val="008720E6"/>
    <w:rsid w:val="00881837"/>
    <w:rsid w:val="00881EFB"/>
    <w:rsid w:val="0088254E"/>
    <w:rsid w:val="00883F7D"/>
    <w:rsid w:val="008854A3"/>
    <w:rsid w:val="00886749"/>
    <w:rsid w:val="00887D3B"/>
    <w:rsid w:val="00892ED9"/>
    <w:rsid w:val="00893F96"/>
    <w:rsid w:val="00894280"/>
    <w:rsid w:val="008960A1"/>
    <w:rsid w:val="00897D33"/>
    <w:rsid w:val="008A0C86"/>
    <w:rsid w:val="008A1EDC"/>
    <w:rsid w:val="008A1F5C"/>
    <w:rsid w:val="008A33C1"/>
    <w:rsid w:val="008B3019"/>
    <w:rsid w:val="008B36DC"/>
    <w:rsid w:val="008B6A08"/>
    <w:rsid w:val="008B747B"/>
    <w:rsid w:val="008C37B6"/>
    <w:rsid w:val="008C6F6F"/>
    <w:rsid w:val="008D160F"/>
    <w:rsid w:val="008D7E71"/>
    <w:rsid w:val="008E142D"/>
    <w:rsid w:val="008E2E56"/>
    <w:rsid w:val="008E4DAB"/>
    <w:rsid w:val="008E5426"/>
    <w:rsid w:val="008F2A2C"/>
    <w:rsid w:val="008F4166"/>
    <w:rsid w:val="008F491D"/>
    <w:rsid w:val="008F728B"/>
    <w:rsid w:val="008F7D8D"/>
    <w:rsid w:val="00903229"/>
    <w:rsid w:val="009101DE"/>
    <w:rsid w:val="009151C9"/>
    <w:rsid w:val="009151E7"/>
    <w:rsid w:val="00924675"/>
    <w:rsid w:val="0092789A"/>
    <w:rsid w:val="00942C0F"/>
    <w:rsid w:val="0094392E"/>
    <w:rsid w:val="00943D64"/>
    <w:rsid w:val="00943E64"/>
    <w:rsid w:val="00944F64"/>
    <w:rsid w:val="009454E3"/>
    <w:rsid w:val="00945C01"/>
    <w:rsid w:val="009463B6"/>
    <w:rsid w:val="00951A2D"/>
    <w:rsid w:val="009563E9"/>
    <w:rsid w:val="00957913"/>
    <w:rsid w:val="00964045"/>
    <w:rsid w:val="009644C0"/>
    <w:rsid w:val="009730EC"/>
    <w:rsid w:val="00975967"/>
    <w:rsid w:val="00977B4E"/>
    <w:rsid w:val="00984C6B"/>
    <w:rsid w:val="00986CE6"/>
    <w:rsid w:val="00994507"/>
    <w:rsid w:val="00997DE6"/>
    <w:rsid w:val="009A2C10"/>
    <w:rsid w:val="009A420F"/>
    <w:rsid w:val="009A59E0"/>
    <w:rsid w:val="009B12C0"/>
    <w:rsid w:val="009B21DE"/>
    <w:rsid w:val="009B41FE"/>
    <w:rsid w:val="009B438C"/>
    <w:rsid w:val="009B754B"/>
    <w:rsid w:val="009C66B3"/>
    <w:rsid w:val="009D5D08"/>
    <w:rsid w:val="009D5D0D"/>
    <w:rsid w:val="009D6853"/>
    <w:rsid w:val="009E0243"/>
    <w:rsid w:val="009F3CAC"/>
    <w:rsid w:val="009F4C7E"/>
    <w:rsid w:val="009F579A"/>
    <w:rsid w:val="00A003E7"/>
    <w:rsid w:val="00A02601"/>
    <w:rsid w:val="00A07F20"/>
    <w:rsid w:val="00A110E4"/>
    <w:rsid w:val="00A11C78"/>
    <w:rsid w:val="00A12CB2"/>
    <w:rsid w:val="00A24471"/>
    <w:rsid w:val="00A27A4D"/>
    <w:rsid w:val="00A30577"/>
    <w:rsid w:val="00A36932"/>
    <w:rsid w:val="00A37A61"/>
    <w:rsid w:val="00A437E2"/>
    <w:rsid w:val="00A45338"/>
    <w:rsid w:val="00A54241"/>
    <w:rsid w:val="00A661DA"/>
    <w:rsid w:val="00A66F8E"/>
    <w:rsid w:val="00A73FFD"/>
    <w:rsid w:val="00A75D3A"/>
    <w:rsid w:val="00A770AA"/>
    <w:rsid w:val="00A81A70"/>
    <w:rsid w:val="00A82DB6"/>
    <w:rsid w:val="00A83DB5"/>
    <w:rsid w:val="00A9431B"/>
    <w:rsid w:val="00A97653"/>
    <w:rsid w:val="00AA0EEB"/>
    <w:rsid w:val="00AA5EBD"/>
    <w:rsid w:val="00AA7F8E"/>
    <w:rsid w:val="00AB40C4"/>
    <w:rsid w:val="00AB4A85"/>
    <w:rsid w:val="00AB5119"/>
    <w:rsid w:val="00AB74F1"/>
    <w:rsid w:val="00AC01A3"/>
    <w:rsid w:val="00AC32FE"/>
    <w:rsid w:val="00AC7A87"/>
    <w:rsid w:val="00AD19DC"/>
    <w:rsid w:val="00AD628F"/>
    <w:rsid w:val="00AE2A8E"/>
    <w:rsid w:val="00AE2E9E"/>
    <w:rsid w:val="00AF4295"/>
    <w:rsid w:val="00AF4A4A"/>
    <w:rsid w:val="00AF4E3E"/>
    <w:rsid w:val="00AF71E1"/>
    <w:rsid w:val="00B03D56"/>
    <w:rsid w:val="00B079DA"/>
    <w:rsid w:val="00B07DB6"/>
    <w:rsid w:val="00B15506"/>
    <w:rsid w:val="00B16736"/>
    <w:rsid w:val="00B376C1"/>
    <w:rsid w:val="00B424AF"/>
    <w:rsid w:val="00B43378"/>
    <w:rsid w:val="00B461AA"/>
    <w:rsid w:val="00B5075F"/>
    <w:rsid w:val="00B51755"/>
    <w:rsid w:val="00B5262D"/>
    <w:rsid w:val="00B55D33"/>
    <w:rsid w:val="00B56846"/>
    <w:rsid w:val="00B6259B"/>
    <w:rsid w:val="00B63E1E"/>
    <w:rsid w:val="00B7054F"/>
    <w:rsid w:val="00B721EE"/>
    <w:rsid w:val="00B76019"/>
    <w:rsid w:val="00B77468"/>
    <w:rsid w:val="00B807F6"/>
    <w:rsid w:val="00B81414"/>
    <w:rsid w:val="00B85DF4"/>
    <w:rsid w:val="00B87174"/>
    <w:rsid w:val="00B90671"/>
    <w:rsid w:val="00B94B5C"/>
    <w:rsid w:val="00B95F88"/>
    <w:rsid w:val="00BA1718"/>
    <w:rsid w:val="00BC16D8"/>
    <w:rsid w:val="00BC389C"/>
    <w:rsid w:val="00BC3F23"/>
    <w:rsid w:val="00BC669E"/>
    <w:rsid w:val="00BC67D9"/>
    <w:rsid w:val="00BD1592"/>
    <w:rsid w:val="00BD503B"/>
    <w:rsid w:val="00BD6EA6"/>
    <w:rsid w:val="00BD73BF"/>
    <w:rsid w:val="00BE02E9"/>
    <w:rsid w:val="00BE5D73"/>
    <w:rsid w:val="00BF3203"/>
    <w:rsid w:val="00BF6439"/>
    <w:rsid w:val="00BF6C4D"/>
    <w:rsid w:val="00C003AC"/>
    <w:rsid w:val="00C0682B"/>
    <w:rsid w:val="00C06C8F"/>
    <w:rsid w:val="00C15034"/>
    <w:rsid w:val="00C16427"/>
    <w:rsid w:val="00C166A1"/>
    <w:rsid w:val="00C17199"/>
    <w:rsid w:val="00C173BE"/>
    <w:rsid w:val="00C202DC"/>
    <w:rsid w:val="00C26635"/>
    <w:rsid w:val="00C27339"/>
    <w:rsid w:val="00C32D5E"/>
    <w:rsid w:val="00C3421E"/>
    <w:rsid w:val="00C43C8B"/>
    <w:rsid w:val="00C46035"/>
    <w:rsid w:val="00C60AD2"/>
    <w:rsid w:val="00C64C8C"/>
    <w:rsid w:val="00C650F3"/>
    <w:rsid w:val="00C71C6D"/>
    <w:rsid w:val="00C831C9"/>
    <w:rsid w:val="00C85B8B"/>
    <w:rsid w:val="00C85FC4"/>
    <w:rsid w:val="00C868B0"/>
    <w:rsid w:val="00C87161"/>
    <w:rsid w:val="00C945E3"/>
    <w:rsid w:val="00C9630D"/>
    <w:rsid w:val="00C9656D"/>
    <w:rsid w:val="00C970C3"/>
    <w:rsid w:val="00CA0B4C"/>
    <w:rsid w:val="00CA5F5A"/>
    <w:rsid w:val="00CB41C3"/>
    <w:rsid w:val="00CB5E1C"/>
    <w:rsid w:val="00CC04B6"/>
    <w:rsid w:val="00CD1B23"/>
    <w:rsid w:val="00CD25A4"/>
    <w:rsid w:val="00CD6B18"/>
    <w:rsid w:val="00CE6691"/>
    <w:rsid w:val="00CE70EF"/>
    <w:rsid w:val="00CE7646"/>
    <w:rsid w:val="00CF5B2A"/>
    <w:rsid w:val="00D02E45"/>
    <w:rsid w:val="00D07D35"/>
    <w:rsid w:val="00D110E1"/>
    <w:rsid w:val="00D167A0"/>
    <w:rsid w:val="00D25A16"/>
    <w:rsid w:val="00D25CD3"/>
    <w:rsid w:val="00D26256"/>
    <w:rsid w:val="00D32A02"/>
    <w:rsid w:val="00D32CFB"/>
    <w:rsid w:val="00D3628D"/>
    <w:rsid w:val="00D41895"/>
    <w:rsid w:val="00D45596"/>
    <w:rsid w:val="00D531E8"/>
    <w:rsid w:val="00D53FB6"/>
    <w:rsid w:val="00D546B6"/>
    <w:rsid w:val="00D65B21"/>
    <w:rsid w:val="00D66711"/>
    <w:rsid w:val="00D6695D"/>
    <w:rsid w:val="00D67F9C"/>
    <w:rsid w:val="00D70434"/>
    <w:rsid w:val="00D7574B"/>
    <w:rsid w:val="00D80F02"/>
    <w:rsid w:val="00D816D6"/>
    <w:rsid w:val="00D8183A"/>
    <w:rsid w:val="00D8255E"/>
    <w:rsid w:val="00D861EA"/>
    <w:rsid w:val="00D90BC9"/>
    <w:rsid w:val="00DA0ECE"/>
    <w:rsid w:val="00DA1346"/>
    <w:rsid w:val="00DA4010"/>
    <w:rsid w:val="00DA6A8F"/>
    <w:rsid w:val="00DA6C0C"/>
    <w:rsid w:val="00DB1F11"/>
    <w:rsid w:val="00DB3492"/>
    <w:rsid w:val="00DB3933"/>
    <w:rsid w:val="00DB5301"/>
    <w:rsid w:val="00DB6C28"/>
    <w:rsid w:val="00DC105A"/>
    <w:rsid w:val="00DC5EEA"/>
    <w:rsid w:val="00DD0234"/>
    <w:rsid w:val="00DD18BE"/>
    <w:rsid w:val="00DD388E"/>
    <w:rsid w:val="00DD5D5C"/>
    <w:rsid w:val="00DD633C"/>
    <w:rsid w:val="00DD66FF"/>
    <w:rsid w:val="00DD78C9"/>
    <w:rsid w:val="00DE1315"/>
    <w:rsid w:val="00DE2A23"/>
    <w:rsid w:val="00DE7B40"/>
    <w:rsid w:val="00DE7C4C"/>
    <w:rsid w:val="00DF3D3A"/>
    <w:rsid w:val="00DF52E1"/>
    <w:rsid w:val="00E011BE"/>
    <w:rsid w:val="00E02F51"/>
    <w:rsid w:val="00E03C99"/>
    <w:rsid w:val="00E07C80"/>
    <w:rsid w:val="00E10A92"/>
    <w:rsid w:val="00E10E45"/>
    <w:rsid w:val="00E1294D"/>
    <w:rsid w:val="00E1354E"/>
    <w:rsid w:val="00E155E4"/>
    <w:rsid w:val="00E209CB"/>
    <w:rsid w:val="00E30877"/>
    <w:rsid w:val="00E370A5"/>
    <w:rsid w:val="00E41204"/>
    <w:rsid w:val="00E462F8"/>
    <w:rsid w:val="00E46F08"/>
    <w:rsid w:val="00E472E7"/>
    <w:rsid w:val="00E47BB1"/>
    <w:rsid w:val="00E51073"/>
    <w:rsid w:val="00E51A44"/>
    <w:rsid w:val="00E52F6F"/>
    <w:rsid w:val="00E63BAB"/>
    <w:rsid w:val="00E64011"/>
    <w:rsid w:val="00E67FDF"/>
    <w:rsid w:val="00E766CB"/>
    <w:rsid w:val="00E76F04"/>
    <w:rsid w:val="00E77A36"/>
    <w:rsid w:val="00E77D2D"/>
    <w:rsid w:val="00E80473"/>
    <w:rsid w:val="00E83529"/>
    <w:rsid w:val="00E90E64"/>
    <w:rsid w:val="00E97C54"/>
    <w:rsid w:val="00EA02BD"/>
    <w:rsid w:val="00EA20AB"/>
    <w:rsid w:val="00EA6409"/>
    <w:rsid w:val="00EA72AE"/>
    <w:rsid w:val="00EB51E1"/>
    <w:rsid w:val="00ED1C43"/>
    <w:rsid w:val="00ED4362"/>
    <w:rsid w:val="00ED4927"/>
    <w:rsid w:val="00ED77C4"/>
    <w:rsid w:val="00EE1D4F"/>
    <w:rsid w:val="00EF08EA"/>
    <w:rsid w:val="00F015A1"/>
    <w:rsid w:val="00F046B6"/>
    <w:rsid w:val="00F04FDC"/>
    <w:rsid w:val="00F07630"/>
    <w:rsid w:val="00F077E3"/>
    <w:rsid w:val="00F1076E"/>
    <w:rsid w:val="00F12954"/>
    <w:rsid w:val="00F238C9"/>
    <w:rsid w:val="00F23F7D"/>
    <w:rsid w:val="00F3138A"/>
    <w:rsid w:val="00F53A1C"/>
    <w:rsid w:val="00F556EB"/>
    <w:rsid w:val="00F56DE9"/>
    <w:rsid w:val="00F61524"/>
    <w:rsid w:val="00F61CF8"/>
    <w:rsid w:val="00F61DE5"/>
    <w:rsid w:val="00F62EE9"/>
    <w:rsid w:val="00F63215"/>
    <w:rsid w:val="00F67683"/>
    <w:rsid w:val="00F70209"/>
    <w:rsid w:val="00F705BB"/>
    <w:rsid w:val="00F71DEF"/>
    <w:rsid w:val="00F73636"/>
    <w:rsid w:val="00F8480F"/>
    <w:rsid w:val="00F907A6"/>
    <w:rsid w:val="00F91C62"/>
    <w:rsid w:val="00F939DB"/>
    <w:rsid w:val="00F94E50"/>
    <w:rsid w:val="00F979F4"/>
    <w:rsid w:val="00FA4AE6"/>
    <w:rsid w:val="00FB32FD"/>
    <w:rsid w:val="00FB57CA"/>
    <w:rsid w:val="00FC1F96"/>
    <w:rsid w:val="00FC691D"/>
    <w:rsid w:val="00FE08F3"/>
    <w:rsid w:val="00FE1F5B"/>
    <w:rsid w:val="00FE21DB"/>
    <w:rsid w:val="00FE41F8"/>
    <w:rsid w:val="00FE44A3"/>
    <w:rsid w:val="00FF03BF"/>
    <w:rsid w:val="00FF24B1"/>
    <w:rsid w:val="13132F1F"/>
    <w:rsid w:val="13561AB1"/>
    <w:rsid w:val="171F3BEF"/>
    <w:rsid w:val="23201FB7"/>
    <w:rsid w:val="30CA58A4"/>
    <w:rsid w:val="35C8585A"/>
    <w:rsid w:val="3932176B"/>
    <w:rsid w:val="3AF572C7"/>
    <w:rsid w:val="574A15B6"/>
    <w:rsid w:val="5BC4211A"/>
    <w:rsid w:val="6CCA7F0B"/>
    <w:rsid w:val="6D2D28F5"/>
    <w:rsid w:val="74F815DF"/>
    <w:rsid w:val="783A0E0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annotation reference"/>
    <w:rPr>
      <w:sz w:val="21"/>
      <w:szCs w:val="21"/>
    </w:rPr>
  </w:style>
  <w:style w:type="character" w:customStyle="1" w:styleId="Char">
    <w:name w:val="页脚 Char"/>
    <w:link w:val="a5"/>
    <w:rPr>
      <w:kern w:val="2"/>
      <w:sz w:val="18"/>
      <w:szCs w:val="18"/>
    </w:rPr>
  </w:style>
  <w:style w:type="character" w:customStyle="1" w:styleId="Char0">
    <w:name w:val="批注文字 Char"/>
    <w:link w:val="a6"/>
    <w:rPr>
      <w:kern w:val="2"/>
      <w:sz w:val="21"/>
      <w:szCs w:val="24"/>
    </w:rPr>
  </w:style>
  <w:style w:type="character" w:customStyle="1" w:styleId="Char1">
    <w:name w:val="批注主题 Char"/>
    <w:link w:val="a7"/>
    <w:rPr>
      <w:b/>
      <w:bCs/>
      <w:kern w:val="2"/>
      <w:sz w:val="21"/>
      <w:szCs w:val="24"/>
    </w:rPr>
  </w:style>
  <w:style w:type="character" w:customStyle="1" w:styleId="Char2">
    <w:name w:val="页眉 Char"/>
    <w:link w:val="a8"/>
    <w:rPr>
      <w:kern w:val="2"/>
      <w:sz w:val="18"/>
      <w:szCs w:val="18"/>
    </w:rPr>
  </w:style>
  <w:style w:type="paragraph" w:styleId="a6">
    <w:name w:val="annotation text"/>
    <w:basedOn w:val="a"/>
    <w:link w:val="Char0"/>
    <w:pPr>
      <w:jc w:val="left"/>
    </w:pPr>
    <w:rPr>
      <w:lang/>
    </w:rPr>
  </w:style>
  <w:style w:type="paragraph" w:styleId="a9">
    <w:name w:val="Normal (Web)"/>
    <w:basedOn w:val="a"/>
    <w:uiPriority w:val="99"/>
    <w:unhideWhenUsed/>
    <w:pPr>
      <w:widowControl/>
      <w:jc w:val="left"/>
    </w:pPr>
    <w:rPr>
      <w:rFonts w:ascii="宋体" w:hAnsi="宋体" w:cs="宋体"/>
      <w:kern w:val="0"/>
      <w:sz w:val="24"/>
    </w:rPr>
  </w:style>
  <w:style w:type="paragraph" w:styleId="a8">
    <w:name w:val="header"/>
    <w:basedOn w:val="a"/>
    <w:link w:val="Char2"/>
    <w:pPr>
      <w:pBdr>
        <w:bottom w:val="single" w:sz="6" w:space="1" w:color="auto"/>
      </w:pBdr>
      <w:tabs>
        <w:tab w:val="center" w:pos="4153"/>
        <w:tab w:val="right" w:pos="8306"/>
      </w:tabs>
      <w:snapToGrid w:val="0"/>
      <w:jc w:val="center"/>
    </w:pPr>
    <w:rPr>
      <w:sz w:val="18"/>
      <w:szCs w:val="18"/>
      <w:lang/>
    </w:rPr>
  </w:style>
  <w:style w:type="paragraph" w:styleId="a5">
    <w:name w:val="footer"/>
    <w:basedOn w:val="a"/>
    <w:link w:val="Char"/>
    <w:pPr>
      <w:tabs>
        <w:tab w:val="center" w:pos="4153"/>
        <w:tab w:val="right" w:pos="8306"/>
      </w:tabs>
      <w:snapToGrid w:val="0"/>
      <w:jc w:val="left"/>
    </w:pPr>
    <w:rPr>
      <w:sz w:val="18"/>
      <w:szCs w:val="18"/>
      <w:lang/>
    </w:rPr>
  </w:style>
  <w:style w:type="paragraph" w:styleId="aa">
    <w:name w:val="Balloon Text"/>
    <w:basedOn w:val="a"/>
    <w:semiHidden/>
    <w:rPr>
      <w:sz w:val="18"/>
      <w:szCs w:val="18"/>
    </w:rPr>
  </w:style>
  <w:style w:type="paragraph" w:styleId="a7">
    <w:name w:val="annotation subject"/>
    <w:basedOn w:val="a6"/>
    <w:next w:val="a6"/>
    <w:link w:val="Char1"/>
    <w:rPr>
      <w:b/>
      <w:bCs/>
    </w:rPr>
  </w:style>
  <w:style w:type="paragraph" w:customStyle="1" w:styleId="ParaCharCharCharCharCharChar">
    <w:name w:val="默认段落字体 Para Char Char Char Char Char Char"/>
    <w:basedOn w:val="a"/>
    <w:pPr>
      <w:tabs>
        <w:tab w:val="left" w:pos="840"/>
      </w:tabs>
      <w:ind w:left="840" w:hanging="360"/>
    </w:pPr>
    <w:rPr>
      <w:sz w:val="24"/>
    </w:rPr>
  </w:style>
  <w:style w:type="paragraph" w:customStyle="1" w:styleId="CharCharCharChar">
    <w:name w:val=" Char Char Char Char"/>
    <w:basedOn w:val="a"/>
    <w:pPr>
      <w:tabs>
        <w:tab w:val="left" w:pos="840"/>
      </w:tabs>
      <w:ind w:left="840" w:hanging="360"/>
    </w:pPr>
    <w:rPr>
      <w:sz w:val="24"/>
    </w:rPr>
  </w:style>
  <w:style w:type="paragraph" w:customStyle="1" w:styleId="Char3">
    <w:name w:val=" Char"/>
    <w:basedOn w:val="a"/>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236</Words>
  <Characters>1348</Characters>
  <Application>Microsoft Office Word</Application>
  <DocSecurity>4</DocSecurity>
  <Lines>11</Lines>
  <Paragraphs>3</Paragraphs>
  <ScaleCrop>false</ScaleCrop>
  <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关于增加北京银行股份有限公司代销</dc:title>
  <dc:subject/>
  <dc:creator>hum</dc:creator>
  <cp:keywords/>
  <cp:lastModifiedBy>ZHONGM</cp:lastModifiedBy>
  <cp:revision>2</cp:revision>
  <cp:lastPrinted>2020-06-29T01:30:00Z</cp:lastPrinted>
  <dcterms:created xsi:type="dcterms:W3CDTF">2020-06-29T16:02:00Z</dcterms:created>
  <dcterms:modified xsi:type="dcterms:W3CDTF">2020-06-29T16:02:00Z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