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6D" w:rsidRDefault="002C166D" w:rsidP="002C166D">
      <w:pPr>
        <w:jc w:val="center"/>
        <w:rPr>
          <w:b/>
          <w:sz w:val="28"/>
          <w:szCs w:val="28"/>
        </w:rPr>
      </w:pPr>
      <w:r w:rsidRPr="00F86CFB">
        <w:rPr>
          <w:rFonts w:hint="eastAsia"/>
          <w:b/>
          <w:sz w:val="28"/>
          <w:szCs w:val="28"/>
        </w:rPr>
        <w:t>农银汇理基金管理有限公司关于调整旗下部分基金在</w:t>
      </w:r>
    </w:p>
    <w:p w:rsidR="003C50C5" w:rsidRDefault="005B211F" w:rsidP="002C166D">
      <w:pPr>
        <w:jc w:val="center"/>
        <w:rPr>
          <w:rFonts w:hint="eastAsia"/>
          <w:b/>
          <w:sz w:val="28"/>
          <w:szCs w:val="28"/>
        </w:rPr>
      </w:pPr>
      <w:r w:rsidRPr="005B211F">
        <w:rPr>
          <w:rFonts w:hint="eastAsia"/>
          <w:b/>
          <w:sz w:val="28"/>
          <w:szCs w:val="28"/>
        </w:rPr>
        <w:t>珠海盈米基金销售有限公司</w:t>
      </w:r>
      <w:r w:rsidR="002C166D">
        <w:rPr>
          <w:rFonts w:hint="eastAsia"/>
          <w:b/>
          <w:sz w:val="28"/>
          <w:szCs w:val="28"/>
        </w:rPr>
        <w:t>最低申购金额、</w:t>
      </w:r>
      <w:r w:rsidR="003C50C5">
        <w:rPr>
          <w:rFonts w:hint="eastAsia"/>
          <w:b/>
          <w:sz w:val="28"/>
          <w:szCs w:val="28"/>
        </w:rPr>
        <w:t>最低追加金额、</w:t>
      </w:r>
    </w:p>
    <w:p w:rsidR="002C166D" w:rsidRDefault="002C166D" w:rsidP="002C166D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最低赎回份额及最低保留份额的公告</w:t>
      </w:r>
    </w:p>
    <w:p w:rsidR="009376AF" w:rsidRPr="00F86CFB" w:rsidRDefault="009376AF" w:rsidP="002C166D">
      <w:pPr>
        <w:jc w:val="center"/>
        <w:rPr>
          <w:b/>
          <w:sz w:val="28"/>
          <w:szCs w:val="28"/>
        </w:rPr>
      </w:pPr>
    </w:p>
    <w:p w:rsidR="002C166D" w:rsidRDefault="002C166D" w:rsidP="002C166D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C166D">
        <w:rPr>
          <w:rFonts w:hint="eastAsia"/>
        </w:rPr>
        <w:t>为更好的满足投资者的理财需求，</w:t>
      </w:r>
      <w:r w:rsidR="00A30AA0" w:rsidRPr="00A30AA0">
        <w:rPr>
          <w:rFonts w:hint="eastAsia"/>
        </w:rPr>
        <w:t>进一步提升客户体验，</w:t>
      </w:r>
      <w:r>
        <w:rPr>
          <w:rFonts w:hint="eastAsia"/>
        </w:rPr>
        <w:t>农银汇理基金管理有限公司</w:t>
      </w:r>
      <w:r w:rsidRPr="002C166D">
        <w:rPr>
          <w:rFonts w:hint="eastAsia"/>
        </w:rPr>
        <w:t>（以下简称“本公司”）自</w:t>
      </w:r>
      <w:r w:rsidR="005B211F">
        <w:rPr>
          <w:rFonts w:hint="eastAsia"/>
        </w:rPr>
        <w:t>2020</w:t>
      </w:r>
      <w:r w:rsidRPr="002C166D">
        <w:rPr>
          <w:rFonts w:hint="eastAsia"/>
        </w:rPr>
        <w:t>年</w:t>
      </w:r>
      <w:r w:rsidR="005B211F">
        <w:rPr>
          <w:rFonts w:hint="eastAsia"/>
        </w:rPr>
        <w:t>6</w:t>
      </w:r>
      <w:r w:rsidRPr="002C166D">
        <w:rPr>
          <w:rFonts w:hint="eastAsia"/>
        </w:rPr>
        <w:t>月</w:t>
      </w:r>
      <w:r w:rsidR="00655259">
        <w:rPr>
          <w:rFonts w:hint="eastAsia"/>
        </w:rPr>
        <w:t>22</w:t>
      </w:r>
      <w:r w:rsidRPr="002C166D">
        <w:rPr>
          <w:rFonts w:hint="eastAsia"/>
        </w:rPr>
        <w:t>日起调整在</w:t>
      </w:r>
      <w:r w:rsidR="005B211F" w:rsidRPr="005B211F">
        <w:rPr>
          <w:rFonts w:hint="eastAsia"/>
        </w:rPr>
        <w:t>珠海盈米基金销售有限公司</w:t>
      </w:r>
      <w:r w:rsidRPr="00FF4BAE">
        <w:rPr>
          <w:rFonts w:hint="eastAsia"/>
        </w:rPr>
        <w:t>（以下简称“</w:t>
      </w:r>
      <w:r w:rsidR="005B211F">
        <w:rPr>
          <w:rFonts w:hint="eastAsia"/>
        </w:rPr>
        <w:t>盈米</w:t>
      </w:r>
      <w:r w:rsidRPr="00FF4BAE">
        <w:rPr>
          <w:rFonts w:hint="eastAsia"/>
        </w:rPr>
        <w:t>基金”）</w:t>
      </w:r>
      <w:r w:rsidR="0005141F">
        <w:rPr>
          <w:rFonts w:hint="eastAsia"/>
        </w:rPr>
        <w:t>销售的</w:t>
      </w:r>
      <w:r w:rsidRPr="002C166D">
        <w:rPr>
          <w:rFonts w:hint="eastAsia"/>
        </w:rPr>
        <w:t>部分基金的</w:t>
      </w:r>
      <w:r>
        <w:rPr>
          <w:rFonts w:hint="eastAsia"/>
        </w:rPr>
        <w:t>最低申购金额</w:t>
      </w:r>
      <w:r w:rsidR="003C50C5" w:rsidRPr="003C50C5">
        <w:rPr>
          <w:rFonts w:hint="eastAsia"/>
        </w:rPr>
        <w:t>、最低追加金额</w:t>
      </w:r>
      <w:r>
        <w:rPr>
          <w:rFonts w:hint="eastAsia"/>
        </w:rPr>
        <w:t>、最低赎回份额及账户最低保留份额。</w:t>
      </w:r>
      <w:r w:rsidR="00A30AA0" w:rsidRPr="00854104">
        <w:rPr>
          <w:rFonts w:ascii="宋体" w:hAnsi="宋体" w:hint="eastAsia"/>
          <w:color w:val="000000"/>
          <w:szCs w:val="21"/>
        </w:rPr>
        <w:t>现将有关事项公告如下：</w:t>
      </w:r>
    </w:p>
    <w:p w:rsidR="00C70911" w:rsidRDefault="00C70911" w:rsidP="002C166D">
      <w:pPr>
        <w:spacing w:line="360" w:lineRule="auto"/>
        <w:ind w:firstLineChars="200" w:firstLine="420"/>
      </w:pPr>
    </w:p>
    <w:p w:rsidR="002C166D" w:rsidRPr="006874F4" w:rsidRDefault="00D44F8C" w:rsidP="00D44F8C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6874F4">
        <w:rPr>
          <w:rFonts w:hint="eastAsia"/>
          <w:b/>
        </w:rPr>
        <w:t>适用投资者范围</w:t>
      </w:r>
    </w:p>
    <w:p w:rsidR="00D44F8C" w:rsidRDefault="00D44F8C" w:rsidP="00D44F8C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通过</w:t>
      </w:r>
      <w:r w:rsidR="005B211F">
        <w:rPr>
          <w:rFonts w:hint="eastAsia"/>
        </w:rPr>
        <w:t>盈米</w:t>
      </w:r>
      <w:r>
        <w:rPr>
          <w:rFonts w:hint="eastAsia"/>
        </w:rPr>
        <w:t>基金</w:t>
      </w:r>
      <w:r w:rsidRPr="00D44F8C">
        <w:rPr>
          <w:rFonts w:hint="eastAsia"/>
        </w:rPr>
        <w:t>的基金销售系统</w:t>
      </w:r>
      <w:r>
        <w:rPr>
          <w:rFonts w:hint="eastAsia"/>
        </w:rPr>
        <w:t>交易</w:t>
      </w:r>
      <w:r w:rsidRPr="00D44F8C">
        <w:rPr>
          <w:rFonts w:hint="eastAsia"/>
        </w:rPr>
        <w:t>基金的投资者。</w:t>
      </w:r>
    </w:p>
    <w:p w:rsidR="003C50C5" w:rsidRDefault="003C50C5" w:rsidP="00D44F8C">
      <w:pPr>
        <w:spacing w:line="360" w:lineRule="auto"/>
        <w:ind w:left="420"/>
      </w:pPr>
    </w:p>
    <w:p w:rsidR="00D44F8C" w:rsidRDefault="00D44F8C" w:rsidP="00D44F8C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b/>
        </w:rPr>
      </w:pPr>
      <w:r w:rsidRPr="006874F4">
        <w:rPr>
          <w:rFonts w:hint="eastAsia"/>
          <w:b/>
        </w:rPr>
        <w:t>适用基金</w:t>
      </w:r>
    </w:p>
    <w:tbl>
      <w:tblPr>
        <w:tblpPr w:leftFromText="180" w:rightFromText="180" w:vertAnchor="text" w:horzAnchor="margin" w:tblpXSpec="center" w:tblpY="146"/>
        <w:tblW w:w="9107" w:type="dxa"/>
        <w:tblLook w:val="04A0"/>
      </w:tblPr>
      <w:tblGrid>
        <w:gridCol w:w="4996"/>
        <w:gridCol w:w="2483"/>
        <w:gridCol w:w="1628"/>
      </w:tblGrid>
      <w:tr w:rsidR="001535E6" w:rsidRPr="003969C8" w:rsidTr="003969C8">
        <w:trPr>
          <w:trHeight w:val="288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基金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基金简称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基金代码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农银汇理行业成长混合型证券投资基金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农银行业成长混合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660001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农银汇理恒久增利债券型证券投资基金A类/C类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农银恒久增利债券A/C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660002/660102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农银汇理平衡双利混合型证券投资基金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农银平衡双利混合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660003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农银汇理策略价值混合型证券投资基金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农银策略价值混合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660004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农银汇理中小盘混合型证券投资基金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农银中小盘混合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660005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农银汇理大盘蓝筹混合型证券投资基金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农银大盘蓝筹混合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660006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农银汇理沪深300指数证券投资基金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农银沪深300指数A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660008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农银汇理增强收益债券型证券投资基金A类/C类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农银增强收益债券A/C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660009/660109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农银汇理策略精选混合型证券投资基金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农银策略精选混合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660010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农银汇理中证500指数证券投资基金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农银中证500指数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660011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农银汇理消费主题混合型证券投资基金A类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农银消费主题混合A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660012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农银汇理信用添利债券型证券投资基金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农银信用添利债券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660013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农银汇理行业轮动混合型证券投资基金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农银行业轮动混合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660015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农银汇理7天理财债券型证券投资基金A类/B类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农银7</w:t>
            </w:r>
            <w:r w:rsidR="003969C8">
              <w:rPr>
                <w:rFonts w:ascii="宋体" w:hAnsi="宋体" w:cs="Arial" w:hint="eastAsia"/>
                <w:kern w:val="0"/>
                <w:szCs w:val="21"/>
              </w:rPr>
              <w:t>天理财</w:t>
            </w:r>
            <w:r w:rsidRPr="003969C8">
              <w:rPr>
                <w:rFonts w:ascii="宋体" w:hAnsi="宋体" w:cs="Arial" w:hint="eastAsia"/>
                <w:kern w:val="0"/>
                <w:szCs w:val="21"/>
              </w:rPr>
              <w:t>A/B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660016</w:t>
            </w:r>
            <w:r w:rsidR="00337B02" w:rsidRPr="003969C8">
              <w:rPr>
                <w:rFonts w:ascii="宋体" w:hAnsi="宋体" w:cs="Arial"/>
                <w:kern w:val="0"/>
                <w:szCs w:val="21"/>
              </w:rPr>
              <w:t>/660116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农银汇理低估值高增长混合型证券投资基金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农银高增长混合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000039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农银汇理行业领先混合型证券投资基金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农银行业领先混合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000127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农银汇理区间收益灵活配置混合型证券投资基金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农银区间收益混合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000259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农银汇理14天理财债券型证券投资基金A类/B类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农银14</w:t>
            </w:r>
            <w:r w:rsidR="003969C8">
              <w:rPr>
                <w:rFonts w:ascii="宋体" w:hAnsi="宋体" w:cs="Arial" w:hint="eastAsia"/>
                <w:kern w:val="0"/>
                <w:szCs w:val="21"/>
              </w:rPr>
              <w:t>天理财</w:t>
            </w:r>
            <w:r w:rsidRPr="003969C8">
              <w:rPr>
                <w:rFonts w:ascii="宋体" w:hAnsi="宋体" w:cs="Arial" w:hint="eastAsia"/>
                <w:kern w:val="0"/>
                <w:szCs w:val="21"/>
              </w:rPr>
              <w:t>A/B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000322/000323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农银汇理研究精选灵活配置混合型证券投资基金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农银研究精选混合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000336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农银汇理医疗保健主题股票型证券投资基金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农银医疗保健股票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000913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农银汇理主题轮动灵活配置混合型证券投资基金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农银主题轮动混合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000462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lastRenderedPageBreak/>
              <w:t>农银汇理信息传媒主题股票型证券投资基金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农银信息传媒股票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001319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农银汇理工业4.0灵活配置混合型证券投资基金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农银工业4.0混合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001606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农银汇理现代农业加灵活配置混合型证券投资基金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农银现代农业加</w:t>
            </w:r>
            <w:r w:rsidR="00CF13CE">
              <w:rPr>
                <w:rFonts w:ascii="宋体" w:hAnsi="宋体" w:cs="Arial" w:hint="eastAsia"/>
                <w:kern w:val="0"/>
                <w:szCs w:val="21"/>
              </w:rPr>
              <w:t>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001940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农银汇理新能源主题灵活配置混合型证券投资基金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CF13CE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农银新能源混合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002190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农银汇理物联网主题灵活配置混合型证券投资基金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农银物联网混合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002191</w:t>
            </w:r>
          </w:p>
        </w:tc>
      </w:tr>
      <w:tr w:rsidR="001535E6" w:rsidRPr="003969C8" w:rsidTr="003969C8">
        <w:trPr>
          <w:trHeight w:val="28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农银汇理国企改革灵活配置混合型证券投资基金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农银汇理国企改革混合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E6" w:rsidRPr="003969C8" w:rsidRDefault="001535E6" w:rsidP="001535E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3969C8">
              <w:rPr>
                <w:rFonts w:ascii="宋体" w:hAnsi="宋体" w:cs="Arial" w:hint="eastAsia"/>
                <w:kern w:val="0"/>
                <w:szCs w:val="21"/>
              </w:rPr>
              <w:t>002189</w:t>
            </w:r>
          </w:p>
        </w:tc>
      </w:tr>
    </w:tbl>
    <w:p w:rsidR="002C30A4" w:rsidRPr="003969C8" w:rsidRDefault="002C30A4" w:rsidP="002C30A4">
      <w:pPr>
        <w:pStyle w:val="a3"/>
        <w:spacing w:line="360" w:lineRule="auto"/>
        <w:ind w:firstLineChars="0"/>
        <w:rPr>
          <w:rFonts w:hint="eastAsia"/>
          <w:b/>
          <w:szCs w:val="21"/>
        </w:rPr>
      </w:pPr>
    </w:p>
    <w:p w:rsidR="006874F4" w:rsidRPr="006874F4" w:rsidRDefault="006874F4" w:rsidP="006874F4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6874F4">
        <w:rPr>
          <w:rFonts w:hint="eastAsia"/>
          <w:b/>
        </w:rPr>
        <w:t>调整方案</w:t>
      </w:r>
    </w:p>
    <w:p w:rsidR="006874F4" w:rsidRDefault="006874F4" w:rsidP="006874F4">
      <w:pPr>
        <w:spacing w:line="360" w:lineRule="auto"/>
        <w:ind w:firstLineChars="200" w:firstLine="420"/>
      </w:pPr>
      <w:r>
        <w:rPr>
          <w:rFonts w:hint="eastAsia"/>
        </w:rPr>
        <w:t>自</w:t>
      </w:r>
      <w:r w:rsidR="00A546FB">
        <w:rPr>
          <w:rFonts w:hint="eastAsia"/>
        </w:rPr>
        <w:t>2020</w:t>
      </w:r>
      <w:r>
        <w:rPr>
          <w:rFonts w:hint="eastAsia"/>
        </w:rPr>
        <w:t>年</w:t>
      </w:r>
      <w:r w:rsidR="00A546FB">
        <w:rPr>
          <w:rFonts w:hint="eastAsia"/>
        </w:rPr>
        <w:t>6</w:t>
      </w:r>
      <w:r>
        <w:rPr>
          <w:rFonts w:hint="eastAsia"/>
        </w:rPr>
        <w:t>月</w:t>
      </w:r>
      <w:r w:rsidR="00655259">
        <w:rPr>
          <w:rFonts w:hint="eastAsia"/>
        </w:rPr>
        <w:t>22</w:t>
      </w:r>
      <w:r>
        <w:rPr>
          <w:rFonts w:hint="eastAsia"/>
        </w:rPr>
        <w:t>日起，上述基金的最低申购金额调整为</w:t>
      </w:r>
      <w:r>
        <w:rPr>
          <w:rFonts w:hint="eastAsia"/>
        </w:rPr>
        <w:t>1</w:t>
      </w:r>
      <w:r w:rsidR="003C50C5">
        <w:rPr>
          <w:rFonts w:hint="eastAsia"/>
        </w:rPr>
        <w:t>元</w:t>
      </w:r>
      <w:r w:rsidR="003C50C5" w:rsidRPr="003C50C5">
        <w:rPr>
          <w:rFonts w:hint="eastAsia"/>
        </w:rPr>
        <w:t>、最低追加金额</w:t>
      </w:r>
      <w:r w:rsidR="003C50C5">
        <w:rPr>
          <w:rFonts w:hint="eastAsia"/>
        </w:rPr>
        <w:t>为</w:t>
      </w:r>
      <w:r w:rsidR="003C50C5">
        <w:rPr>
          <w:rFonts w:hint="eastAsia"/>
        </w:rPr>
        <w:t>0.01</w:t>
      </w:r>
      <w:r w:rsidR="003C50C5">
        <w:rPr>
          <w:rFonts w:hint="eastAsia"/>
        </w:rPr>
        <w:t>元，</w:t>
      </w:r>
      <w:r>
        <w:rPr>
          <w:rFonts w:hint="eastAsia"/>
        </w:rPr>
        <w:t>最低赎回份额及最低保留份额调整为</w:t>
      </w:r>
      <w:r w:rsidR="002F2C8F">
        <w:rPr>
          <w:rFonts w:hint="eastAsia"/>
        </w:rPr>
        <w:t>0.0</w:t>
      </w:r>
      <w:r w:rsidR="003C50C5">
        <w:rPr>
          <w:rFonts w:hint="eastAsia"/>
        </w:rPr>
        <w:t>1</w:t>
      </w:r>
      <w:r>
        <w:rPr>
          <w:rFonts w:hint="eastAsia"/>
        </w:rPr>
        <w:t>份。以上调整方案同样适用于本公司今后在</w:t>
      </w:r>
      <w:r w:rsidR="00A546FB">
        <w:rPr>
          <w:rFonts w:hint="eastAsia"/>
        </w:rPr>
        <w:t>盈米</w:t>
      </w:r>
      <w:r w:rsidR="00456773">
        <w:rPr>
          <w:rFonts w:hint="eastAsia"/>
        </w:rPr>
        <w:t>基金新发行</w:t>
      </w:r>
      <w:r>
        <w:rPr>
          <w:rFonts w:hint="eastAsia"/>
        </w:rPr>
        <w:t>的其它代销基金，届时将不再另行公告。</w:t>
      </w:r>
    </w:p>
    <w:p w:rsidR="006874F4" w:rsidRDefault="006874F4" w:rsidP="006874F4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本次调整方案所涉及的招募说明书相关内容</w:t>
      </w:r>
      <w:r w:rsidR="000D73E7">
        <w:rPr>
          <w:rFonts w:hint="eastAsia"/>
        </w:rPr>
        <w:t>，</w:t>
      </w:r>
      <w:r>
        <w:rPr>
          <w:rFonts w:hint="eastAsia"/>
        </w:rPr>
        <w:t>将在更新招募说明书时一并予以调整。</w:t>
      </w:r>
      <w:r>
        <w:rPr>
          <w:rFonts w:hint="eastAsia"/>
        </w:rPr>
        <w:t xml:space="preserve"> </w:t>
      </w:r>
    </w:p>
    <w:p w:rsidR="003C50C5" w:rsidRDefault="003C50C5" w:rsidP="006874F4">
      <w:pPr>
        <w:spacing w:line="360" w:lineRule="auto"/>
        <w:ind w:firstLineChars="200" w:firstLine="420"/>
      </w:pPr>
    </w:p>
    <w:p w:rsidR="006874F4" w:rsidRDefault="006874F4" w:rsidP="006874F4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6874F4">
        <w:rPr>
          <w:b/>
        </w:rPr>
        <w:t>投资者可通过以下途径了解或咨询相关情况</w:t>
      </w:r>
    </w:p>
    <w:p w:rsidR="002C30A4" w:rsidRPr="002C30A4" w:rsidRDefault="002C30A4" w:rsidP="002C30A4">
      <w:pPr>
        <w:spacing w:line="360" w:lineRule="auto"/>
        <w:ind w:firstLineChars="200" w:firstLine="420"/>
        <w:rPr>
          <w:rFonts w:ascii="Times New Roman" w:hAnsi="Times New Roman"/>
        </w:rPr>
      </w:pPr>
      <w:r w:rsidRPr="002C30A4">
        <w:rPr>
          <w:rFonts w:ascii="Times New Roman" w:hAnsi="Times New Roman" w:hint="eastAsia"/>
        </w:rPr>
        <w:t>1</w:t>
      </w:r>
      <w:r w:rsidRPr="002C30A4">
        <w:rPr>
          <w:rFonts w:ascii="Times New Roman" w:hAnsi="Times New Roman" w:hint="eastAsia"/>
        </w:rPr>
        <w:t>、</w:t>
      </w:r>
      <w:r w:rsidR="00A546FB" w:rsidRPr="00A546FB">
        <w:rPr>
          <w:rFonts w:ascii="Times New Roman" w:hAnsi="Times New Roman" w:hint="eastAsia"/>
        </w:rPr>
        <w:t>珠海盈米基金销售有限公司</w:t>
      </w:r>
    </w:p>
    <w:p w:rsidR="002C30A4" w:rsidRPr="002C30A4" w:rsidRDefault="002C30A4" w:rsidP="002C30A4">
      <w:pPr>
        <w:spacing w:line="360" w:lineRule="auto"/>
        <w:ind w:firstLineChars="200" w:firstLine="420"/>
        <w:rPr>
          <w:rFonts w:ascii="Times New Roman" w:hAnsi="Times New Roman" w:hint="eastAsia"/>
        </w:rPr>
      </w:pPr>
      <w:r w:rsidRPr="002C30A4">
        <w:rPr>
          <w:rFonts w:ascii="Times New Roman" w:hAnsi="Times New Roman" w:hint="eastAsia"/>
        </w:rPr>
        <w:t>客服电话：</w:t>
      </w:r>
      <w:r w:rsidR="00A546FB" w:rsidRPr="00A546FB">
        <w:rPr>
          <w:rFonts w:ascii="Times New Roman" w:hAnsi="Times New Roman"/>
        </w:rPr>
        <w:t>020-89629066</w:t>
      </w:r>
    </w:p>
    <w:p w:rsidR="002C30A4" w:rsidRPr="002C30A4" w:rsidRDefault="002C30A4" w:rsidP="002C30A4">
      <w:pPr>
        <w:spacing w:line="360" w:lineRule="auto"/>
        <w:ind w:firstLineChars="200" w:firstLine="420"/>
        <w:rPr>
          <w:rFonts w:ascii="Times New Roman" w:hAnsi="Times New Roman" w:hint="eastAsia"/>
        </w:rPr>
      </w:pPr>
      <w:r w:rsidRPr="002C30A4">
        <w:rPr>
          <w:rFonts w:ascii="Times New Roman" w:hAnsi="Times New Roman" w:hint="eastAsia"/>
        </w:rPr>
        <w:t>网站：</w:t>
      </w:r>
      <w:r w:rsidRPr="002C30A4">
        <w:rPr>
          <w:rFonts w:ascii="Times New Roman" w:hAnsi="Times New Roman" w:hint="eastAsia"/>
        </w:rPr>
        <w:t xml:space="preserve"> </w:t>
      </w:r>
      <w:r w:rsidR="00A546FB" w:rsidRPr="00A546FB">
        <w:rPr>
          <w:rFonts w:ascii="Times New Roman" w:hAnsi="Times New Roman" w:hint="eastAsia"/>
        </w:rPr>
        <w:t>www.</w:t>
      </w:r>
      <w:r w:rsidR="00A546FB" w:rsidRPr="00A546FB">
        <w:rPr>
          <w:rFonts w:ascii="Times New Roman" w:hAnsi="Times New Roman"/>
        </w:rPr>
        <w:t>yingmi</w:t>
      </w:r>
      <w:r w:rsidR="00A546FB">
        <w:rPr>
          <w:rFonts w:ascii="Times New Roman" w:hAnsi="Times New Roman" w:hint="eastAsia"/>
        </w:rPr>
        <w:t>.</w:t>
      </w:r>
      <w:r w:rsidR="00A546FB">
        <w:rPr>
          <w:rFonts w:ascii="Times New Roman" w:hAnsi="Times New Roman"/>
        </w:rPr>
        <w:t>cn</w:t>
      </w:r>
      <w:r w:rsidRPr="002C30A4">
        <w:rPr>
          <w:rFonts w:ascii="Times New Roman" w:hAnsi="Times New Roman" w:hint="eastAsia"/>
        </w:rPr>
        <w:t xml:space="preserve"> </w:t>
      </w:r>
    </w:p>
    <w:p w:rsidR="00680682" w:rsidRPr="00680682" w:rsidRDefault="00680682" w:rsidP="00680682">
      <w:pPr>
        <w:spacing w:line="360" w:lineRule="auto"/>
        <w:ind w:firstLineChars="200" w:firstLine="420"/>
        <w:rPr>
          <w:rFonts w:ascii="Times New Roman" w:hAnsi="Times New Roman"/>
        </w:rPr>
      </w:pPr>
      <w:r w:rsidRPr="00680682">
        <w:rPr>
          <w:rFonts w:ascii="Times New Roman" w:hAnsi="Times New Roman" w:hint="eastAsia"/>
        </w:rPr>
        <w:t>2</w:t>
      </w:r>
      <w:r w:rsidRPr="00680682">
        <w:rPr>
          <w:rFonts w:ascii="Times New Roman" w:hAnsi="Times New Roman" w:hint="eastAsia"/>
        </w:rPr>
        <w:t>、农银汇理基金管理有限公司</w:t>
      </w:r>
    </w:p>
    <w:p w:rsidR="00680682" w:rsidRPr="00680682" w:rsidRDefault="00680682" w:rsidP="00680682">
      <w:pPr>
        <w:spacing w:line="360" w:lineRule="auto"/>
        <w:ind w:firstLineChars="200" w:firstLine="420"/>
        <w:rPr>
          <w:rFonts w:ascii="Times New Roman" w:hAnsi="Times New Roman"/>
        </w:rPr>
      </w:pPr>
      <w:r w:rsidRPr="00680682">
        <w:rPr>
          <w:rFonts w:ascii="Times New Roman" w:hAnsi="Times New Roman" w:hint="eastAsia"/>
        </w:rPr>
        <w:t>客户服务中心电话：</w:t>
      </w:r>
      <w:r w:rsidRPr="00680682">
        <w:rPr>
          <w:rFonts w:ascii="Times New Roman" w:hAnsi="Times New Roman" w:hint="eastAsia"/>
        </w:rPr>
        <w:t>4006895599</w:t>
      </w:r>
    </w:p>
    <w:p w:rsidR="006874F4" w:rsidRDefault="00680682" w:rsidP="00680682">
      <w:pPr>
        <w:spacing w:line="360" w:lineRule="auto"/>
        <w:ind w:firstLineChars="200" w:firstLine="420"/>
        <w:rPr>
          <w:rFonts w:ascii="Times New Roman" w:hAnsi="Times New Roman"/>
        </w:rPr>
      </w:pPr>
      <w:r w:rsidRPr="00680682">
        <w:rPr>
          <w:rFonts w:ascii="Times New Roman" w:hAnsi="Times New Roman" w:hint="eastAsia"/>
        </w:rPr>
        <w:t>网址：</w:t>
      </w:r>
      <w:r w:rsidRPr="00680682">
        <w:rPr>
          <w:rFonts w:ascii="Times New Roman" w:hAnsi="Times New Roman" w:hint="eastAsia"/>
        </w:rPr>
        <w:t>www.abc-ca.com</w:t>
      </w:r>
    </w:p>
    <w:p w:rsidR="00680682" w:rsidRPr="00680682" w:rsidRDefault="00680682" w:rsidP="00680682">
      <w:pPr>
        <w:spacing w:line="360" w:lineRule="auto"/>
        <w:ind w:firstLineChars="200" w:firstLine="420"/>
      </w:pPr>
    </w:p>
    <w:p w:rsidR="006874F4" w:rsidRDefault="006874F4" w:rsidP="004B193B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风险提示：本公司承诺以诚实信用、勤勉尽责的原则管理和运用基金资产，但不保证基金一定盈利，也不保证最低收益。敬请投资人注意投资风险。投资者投资于上述基金前应认真阅读基金的基金合同、更新的招募说明书。</w:t>
      </w:r>
    </w:p>
    <w:p w:rsidR="006874F4" w:rsidRDefault="006874F4" w:rsidP="006874F4">
      <w:pPr>
        <w:spacing w:line="360" w:lineRule="auto"/>
        <w:ind w:firstLineChars="236" w:firstLine="496"/>
        <w:rPr>
          <w:rFonts w:ascii="宋体" w:hAnsi="宋体"/>
          <w:szCs w:val="21"/>
        </w:rPr>
      </w:pPr>
      <w:r w:rsidRPr="003B4CE9">
        <w:rPr>
          <w:rFonts w:ascii="宋体" w:hAnsi="宋体"/>
          <w:szCs w:val="21"/>
        </w:rPr>
        <w:t xml:space="preserve">特此公告。 </w:t>
      </w:r>
    </w:p>
    <w:p w:rsidR="00A30AA0" w:rsidRDefault="00A30AA0" w:rsidP="006874F4">
      <w:pPr>
        <w:spacing w:line="360" w:lineRule="auto"/>
        <w:ind w:firstLineChars="236" w:firstLine="496"/>
        <w:rPr>
          <w:rFonts w:ascii="宋体" w:hAnsi="宋体"/>
          <w:szCs w:val="21"/>
        </w:rPr>
      </w:pPr>
    </w:p>
    <w:p w:rsidR="00A30AA0" w:rsidRPr="002D45BC" w:rsidRDefault="00A30AA0" w:rsidP="00A30AA0">
      <w:pPr>
        <w:spacing w:line="360" w:lineRule="auto"/>
        <w:ind w:firstLine="420"/>
        <w:jc w:val="right"/>
        <w:rPr>
          <w:szCs w:val="21"/>
        </w:rPr>
      </w:pPr>
      <w:r w:rsidRPr="002D45BC">
        <w:rPr>
          <w:rFonts w:hint="eastAsia"/>
          <w:szCs w:val="21"/>
        </w:rPr>
        <w:t>农银汇理基金管理有限公司</w:t>
      </w:r>
    </w:p>
    <w:p w:rsidR="00A30AA0" w:rsidRDefault="00A546FB" w:rsidP="00A30AA0">
      <w:pPr>
        <w:wordWrap w:val="0"/>
        <w:spacing w:line="360" w:lineRule="auto"/>
        <w:ind w:right="120" w:firstLine="420"/>
        <w:jc w:val="right"/>
      </w:pPr>
      <w:r>
        <w:rPr>
          <w:rFonts w:hint="eastAsia"/>
          <w:szCs w:val="21"/>
        </w:rPr>
        <w:t>20</w:t>
      </w:r>
      <w:r>
        <w:rPr>
          <w:szCs w:val="21"/>
        </w:rPr>
        <w:t>20</w:t>
      </w:r>
      <w:r w:rsidR="00A30AA0" w:rsidRPr="002D45BC">
        <w:rPr>
          <w:rFonts w:hint="eastAsia"/>
          <w:szCs w:val="21"/>
        </w:rPr>
        <w:t>年</w:t>
      </w:r>
      <w:r>
        <w:rPr>
          <w:szCs w:val="21"/>
        </w:rPr>
        <w:t>6</w:t>
      </w:r>
      <w:r w:rsidR="00A30AA0" w:rsidRPr="002D45BC">
        <w:rPr>
          <w:rFonts w:hint="eastAsia"/>
          <w:szCs w:val="21"/>
        </w:rPr>
        <w:t>月</w:t>
      </w:r>
      <w:r w:rsidR="00655259">
        <w:rPr>
          <w:rFonts w:hint="eastAsia"/>
          <w:szCs w:val="21"/>
        </w:rPr>
        <w:t>19</w:t>
      </w:r>
      <w:r w:rsidR="00A30AA0" w:rsidRPr="002D45BC">
        <w:rPr>
          <w:rFonts w:hint="eastAsia"/>
          <w:szCs w:val="21"/>
        </w:rPr>
        <w:t>日</w:t>
      </w:r>
    </w:p>
    <w:p w:rsidR="00A30AA0" w:rsidRDefault="00A30AA0" w:rsidP="00A30AA0"/>
    <w:p w:rsidR="00F236A9" w:rsidRPr="002C166D" w:rsidRDefault="00F236A9"/>
    <w:sectPr w:rsidR="00F236A9" w:rsidRPr="002C166D" w:rsidSect="009A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1C" w:rsidRDefault="003E491C" w:rsidP="004B193B">
      <w:r>
        <w:separator/>
      </w:r>
    </w:p>
  </w:endnote>
  <w:endnote w:type="continuationSeparator" w:id="0">
    <w:p w:rsidR="003E491C" w:rsidRDefault="003E491C" w:rsidP="004B1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1C" w:rsidRDefault="003E491C" w:rsidP="004B193B">
      <w:r>
        <w:separator/>
      </w:r>
    </w:p>
  </w:footnote>
  <w:footnote w:type="continuationSeparator" w:id="0">
    <w:p w:rsidR="003E491C" w:rsidRDefault="003E491C" w:rsidP="004B1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6567"/>
    <w:multiLevelType w:val="hybridMultilevel"/>
    <w:tmpl w:val="A28E9470"/>
    <w:lvl w:ilvl="0" w:tplc="9606D7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66D"/>
    <w:rsid w:val="0005141F"/>
    <w:rsid w:val="000C7628"/>
    <w:rsid w:val="000D73E7"/>
    <w:rsid w:val="0014763C"/>
    <w:rsid w:val="001535E6"/>
    <w:rsid w:val="001E6451"/>
    <w:rsid w:val="002874BB"/>
    <w:rsid w:val="002C166D"/>
    <w:rsid w:val="002C30A4"/>
    <w:rsid w:val="002F2C8F"/>
    <w:rsid w:val="00337B02"/>
    <w:rsid w:val="00347DC2"/>
    <w:rsid w:val="003969C8"/>
    <w:rsid w:val="003C50C5"/>
    <w:rsid w:val="003E491C"/>
    <w:rsid w:val="00456773"/>
    <w:rsid w:val="00477CA2"/>
    <w:rsid w:val="004B193B"/>
    <w:rsid w:val="004F23E1"/>
    <w:rsid w:val="00583769"/>
    <w:rsid w:val="005B211F"/>
    <w:rsid w:val="005C10AD"/>
    <w:rsid w:val="00655259"/>
    <w:rsid w:val="00680682"/>
    <w:rsid w:val="006874F4"/>
    <w:rsid w:val="006B07FD"/>
    <w:rsid w:val="007D7DFB"/>
    <w:rsid w:val="007F4A4E"/>
    <w:rsid w:val="00856B70"/>
    <w:rsid w:val="008C0E47"/>
    <w:rsid w:val="008E2918"/>
    <w:rsid w:val="008F4134"/>
    <w:rsid w:val="009376AF"/>
    <w:rsid w:val="009A2D5F"/>
    <w:rsid w:val="009A4A49"/>
    <w:rsid w:val="009B0C9C"/>
    <w:rsid w:val="00A30AA0"/>
    <w:rsid w:val="00A546FB"/>
    <w:rsid w:val="00A63D0B"/>
    <w:rsid w:val="00B23C19"/>
    <w:rsid w:val="00B464D0"/>
    <w:rsid w:val="00B74D6C"/>
    <w:rsid w:val="00C00317"/>
    <w:rsid w:val="00C411F3"/>
    <w:rsid w:val="00C70911"/>
    <w:rsid w:val="00C74679"/>
    <w:rsid w:val="00CC0DF8"/>
    <w:rsid w:val="00CF13CE"/>
    <w:rsid w:val="00D44F8C"/>
    <w:rsid w:val="00D76394"/>
    <w:rsid w:val="00F236A9"/>
    <w:rsid w:val="00F24F48"/>
    <w:rsid w:val="00F80735"/>
    <w:rsid w:val="00FA11F3"/>
    <w:rsid w:val="00FD4315"/>
    <w:rsid w:val="00FF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8C"/>
    <w:pPr>
      <w:ind w:firstLineChars="200" w:firstLine="420"/>
    </w:pPr>
  </w:style>
  <w:style w:type="character" w:styleId="a4">
    <w:name w:val="Hyperlink"/>
    <w:uiPriority w:val="99"/>
    <w:unhideWhenUsed/>
    <w:rsid w:val="00680682"/>
    <w:rPr>
      <w:color w:val="0563C1"/>
      <w:u w:val="single"/>
    </w:rPr>
  </w:style>
  <w:style w:type="paragraph" w:styleId="a5">
    <w:name w:val="header"/>
    <w:basedOn w:val="a"/>
    <w:link w:val="Char"/>
    <w:uiPriority w:val="99"/>
    <w:unhideWhenUsed/>
    <w:rsid w:val="004B1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4B193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1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4B193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11F3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FA11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4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麦嘉胤</dc:creator>
  <cp:keywords/>
  <cp:lastModifiedBy>ZHONGM</cp:lastModifiedBy>
  <cp:revision>2</cp:revision>
  <dcterms:created xsi:type="dcterms:W3CDTF">2020-06-18T16:01:00Z</dcterms:created>
  <dcterms:modified xsi:type="dcterms:W3CDTF">2020-06-18T16:01:00Z</dcterms:modified>
</cp:coreProperties>
</file>