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BD" w:rsidRDefault="00453FA8">
      <w:pPr>
        <w:spacing w:line="360" w:lineRule="auto"/>
        <w:jc w:val="center"/>
        <w:rPr>
          <w:rFonts w:ascii="宋体" w:hAnsi="宋体" w:cs="宋体"/>
          <w:b/>
          <w:color w:val="000000"/>
          <w:sz w:val="28"/>
        </w:rPr>
      </w:pPr>
      <w:bookmarkStart w:id="0" w:name="_GoBack"/>
      <w:bookmarkEnd w:id="0"/>
      <w:r>
        <w:rPr>
          <w:rFonts w:ascii="宋体" w:hAnsi="宋体" w:cs="宋体" w:hint="eastAsia"/>
          <w:b/>
          <w:color w:val="000000"/>
          <w:sz w:val="28"/>
        </w:rPr>
        <w:t>嘉合基金管理</w:t>
      </w:r>
      <w:r>
        <w:rPr>
          <w:rFonts w:ascii="宋体" w:hAnsi="宋体" w:cs="宋体"/>
          <w:b/>
          <w:color w:val="000000"/>
          <w:sz w:val="28"/>
        </w:rPr>
        <w:t>有限公司</w:t>
      </w:r>
    </w:p>
    <w:p w:rsidR="00B269BD" w:rsidRDefault="00453FA8">
      <w:pPr>
        <w:spacing w:after="240" w:line="360" w:lineRule="auto"/>
        <w:jc w:val="center"/>
        <w:rPr>
          <w:rFonts w:ascii="宋体" w:hAnsi="宋体" w:cs="宋体"/>
          <w:b/>
          <w:color w:val="000000"/>
          <w:sz w:val="28"/>
        </w:rPr>
      </w:pPr>
      <w:r>
        <w:rPr>
          <w:rFonts w:ascii="宋体" w:hAnsi="宋体" w:cs="宋体"/>
          <w:b/>
          <w:color w:val="000000"/>
          <w:sz w:val="28"/>
        </w:rPr>
        <w:t>关于旗下</w:t>
      </w:r>
      <w:r>
        <w:rPr>
          <w:rFonts w:ascii="宋体" w:hAnsi="宋体" w:cs="宋体" w:hint="eastAsia"/>
          <w:b/>
          <w:color w:val="000000"/>
          <w:sz w:val="28"/>
        </w:rPr>
        <w:t>部分基金参加恒泰证券</w:t>
      </w:r>
      <w:r>
        <w:rPr>
          <w:rFonts w:ascii="宋体" w:hAnsi="宋体" w:cs="宋体"/>
          <w:b/>
          <w:color w:val="000000"/>
          <w:sz w:val="28"/>
        </w:rPr>
        <w:t>费率优惠</w:t>
      </w:r>
      <w:r>
        <w:rPr>
          <w:rFonts w:ascii="宋体" w:hAnsi="宋体" w:cs="宋体" w:hint="eastAsia"/>
          <w:b/>
          <w:color w:val="000000"/>
          <w:sz w:val="28"/>
        </w:rPr>
        <w:t>活动的公告</w:t>
      </w:r>
    </w:p>
    <w:p w:rsidR="00B269BD" w:rsidRDefault="00453FA8">
      <w:pPr>
        <w:spacing w:line="360" w:lineRule="auto"/>
        <w:ind w:firstLineChars="200" w:firstLine="420"/>
        <w:rPr>
          <w:rFonts w:ascii="宋体" w:hAnsi="宋体" w:cs="宋体"/>
          <w:color w:val="000000"/>
        </w:rPr>
      </w:pPr>
      <w:r>
        <w:rPr>
          <w:rFonts w:ascii="宋体" w:hAnsi="宋体" w:cs="宋体"/>
          <w:color w:val="000000"/>
        </w:rPr>
        <w:t>为答谢广大客户长期以来给予的信任与支持，经与</w:t>
      </w:r>
      <w:r>
        <w:rPr>
          <w:rFonts w:ascii="Arial" w:eastAsia="宋体" w:hAnsi="Arial" w:cs="Arial" w:hint="eastAsia"/>
          <w:bCs/>
          <w:kern w:val="0"/>
          <w:szCs w:val="21"/>
        </w:rPr>
        <w:t>恒泰证券股份有限公司</w:t>
      </w:r>
      <w:r>
        <w:rPr>
          <w:rFonts w:ascii="Arial" w:eastAsia="宋体" w:hAnsi="Arial" w:cs="Arial" w:hint="eastAsia"/>
          <w:kern w:val="0"/>
          <w:szCs w:val="21"/>
        </w:rPr>
        <w:t>（</w:t>
      </w:r>
      <w:r>
        <w:rPr>
          <w:rFonts w:ascii="Arial" w:eastAsia="宋体" w:hAnsi="Arial" w:cs="Arial"/>
          <w:kern w:val="0"/>
          <w:szCs w:val="21"/>
        </w:rPr>
        <w:t>以下简称</w:t>
      </w:r>
      <w:r>
        <w:rPr>
          <w:rFonts w:ascii="Arial" w:eastAsia="宋体" w:hAnsi="Arial" w:cs="Arial" w:hint="eastAsia"/>
          <w:kern w:val="0"/>
          <w:szCs w:val="21"/>
        </w:rPr>
        <w:t>“恒泰证券”）</w:t>
      </w:r>
      <w:r>
        <w:rPr>
          <w:rFonts w:ascii="宋体" w:hAnsi="宋体" w:cs="宋体"/>
          <w:color w:val="000000"/>
        </w:rPr>
        <w:t>协商一致，</w:t>
      </w:r>
      <w:r>
        <w:rPr>
          <w:rFonts w:ascii="宋体" w:hAnsi="宋体" w:cs="宋体" w:hint="eastAsia"/>
          <w:color w:val="000000"/>
        </w:rPr>
        <w:t>嘉合基金管理有限公司</w:t>
      </w:r>
      <w:r>
        <w:rPr>
          <w:rFonts w:ascii="宋体" w:hAnsi="宋体" w:cs="宋体"/>
          <w:color w:val="000000"/>
        </w:rPr>
        <w:t>（以下简称</w:t>
      </w:r>
      <w:r>
        <w:rPr>
          <w:rFonts w:ascii="宋体" w:hAnsi="宋体" w:cs="宋体"/>
          <w:color w:val="000000"/>
        </w:rPr>
        <w:t>“</w:t>
      </w:r>
      <w:r>
        <w:rPr>
          <w:rFonts w:ascii="宋体" w:hAnsi="宋体" w:cs="宋体" w:hint="eastAsia"/>
          <w:color w:val="000000"/>
        </w:rPr>
        <w:t>本公司</w:t>
      </w:r>
      <w:r>
        <w:rPr>
          <w:rFonts w:ascii="宋体" w:hAnsi="宋体" w:cs="宋体"/>
          <w:color w:val="000000"/>
        </w:rPr>
        <w:t>”</w:t>
      </w:r>
      <w:r>
        <w:rPr>
          <w:rFonts w:ascii="宋体" w:hAnsi="宋体" w:cs="宋体"/>
          <w:color w:val="000000"/>
        </w:rPr>
        <w:t>）</w:t>
      </w:r>
      <w:r>
        <w:rPr>
          <w:rFonts w:ascii="宋体" w:hAnsi="宋体" w:cs="宋体" w:hint="eastAsia"/>
          <w:color w:val="000000"/>
        </w:rPr>
        <w:t>决定旗下部分</w:t>
      </w:r>
      <w:r>
        <w:rPr>
          <w:rFonts w:ascii="宋体" w:hAnsi="宋体" w:cs="宋体"/>
          <w:color w:val="000000"/>
        </w:rPr>
        <w:t>基金</w:t>
      </w:r>
      <w:r>
        <w:rPr>
          <w:rFonts w:ascii="宋体" w:hAnsi="宋体" w:cs="宋体" w:hint="eastAsia"/>
          <w:color w:val="000000"/>
        </w:rPr>
        <w:t>参加恒泰证券</w:t>
      </w:r>
      <w:r>
        <w:rPr>
          <w:rFonts w:ascii="宋体" w:hAnsi="宋体" w:cs="宋体"/>
          <w:color w:val="000000"/>
        </w:rPr>
        <w:t>的费率优惠活动。现将具体费率优惠情况公告如下：</w:t>
      </w:r>
    </w:p>
    <w:p w:rsidR="00B269BD" w:rsidRDefault="00453FA8">
      <w:pPr>
        <w:numPr>
          <w:ilvl w:val="0"/>
          <w:numId w:val="1"/>
        </w:numPr>
        <w:spacing w:line="360" w:lineRule="auto"/>
        <w:rPr>
          <w:rFonts w:ascii="宋体" w:hAnsi="宋体" w:cs="宋体"/>
          <w:color w:val="000000"/>
        </w:rPr>
      </w:pPr>
      <w:r>
        <w:rPr>
          <w:rFonts w:ascii="宋体" w:hAnsi="宋体" w:cs="宋体" w:hint="eastAsia"/>
          <w:color w:val="000000"/>
        </w:rPr>
        <w:t>适用基金和业务范围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5"/>
        <w:gridCol w:w="1575"/>
        <w:gridCol w:w="4374"/>
      </w:tblGrid>
      <w:tr w:rsidR="00B269BD">
        <w:trPr>
          <w:trHeight w:val="438"/>
          <w:jc w:val="center"/>
        </w:trPr>
        <w:tc>
          <w:tcPr>
            <w:tcW w:w="8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编号</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基金代码</w:t>
            </w:r>
          </w:p>
        </w:tc>
        <w:tc>
          <w:tcPr>
            <w:tcW w:w="4374"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基金名称</w:t>
            </w:r>
          </w:p>
        </w:tc>
      </w:tr>
      <w:tr w:rsidR="00B269BD">
        <w:trPr>
          <w:trHeight w:val="453"/>
          <w:jc w:val="center"/>
        </w:trPr>
        <w:tc>
          <w:tcPr>
            <w:tcW w:w="8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1</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kern w:val="0"/>
                <w:szCs w:val="21"/>
              </w:rPr>
              <w:t>001232</w:t>
            </w:r>
          </w:p>
        </w:tc>
        <w:tc>
          <w:tcPr>
            <w:tcW w:w="4374"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嘉合货币市场基金</w:t>
            </w:r>
            <w:r>
              <w:rPr>
                <w:rFonts w:ascii="Times New Roman" w:hAnsi="Times New Roman"/>
                <w:kern w:val="0"/>
                <w:szCs w:val="21"/>
              </w:rPr>
              <w:t>A</w:t>
            </w:r>
          </w:p>
        </w:tc>
      </w:tr>
      <w:tr w:rsidR="00B269BD">
        <w:trPr>
          <w:trHeight w:val="453"/>
          <w:jc w:val="center"/>
        </w:trPr>
        <w:tc>
          <w:tcPr>
            <w:tcW w:w="8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2</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kern w:val="0"/>
                <w:szCs w:val="21"/>
              </w:rPr>
              <w:t>00123</w:t>
            </w:r>
            <w:r>
              <w:rPr>
                <w:rFonts w:ascii="Times New Roman" w:hAnsi="Times New Roman" w:hint="eastAsia"/>
                <w:kern w:val="0"/>
                <w:szCs w:val="21"/>
              </w:rPr>
              <w:t>3</w:t>
            </w:r>
          </w:p>
        </w:tc>
        <w:tc>
          <w:tcPr>
            <w:tcW w:w="4374"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嘉合货币市场基金</w:t>
            </w:r>
            <w:r>
              <w:rPr>
                <w:rFonts w:ascii="Times New Roman" w:hAnsi="Times New Roman" w:hint="eastAsia"/>
                <w:kern w:val="0"/>
                <w:szCs w:val="21"/>
              </w:rPr>
              <w:t>B</w:t>
            </w:r>
          </w:p>
        </w:tc>
      </w:tr>
      <w:tr w:rsidR="00B269BD">
        <w:trPr>
          <w:trHeight w:val="453"/>
          <w:jc w:val="center"/>
        </w:trPr>
        <w:tc>
          <w:tcPr>
            <w:tcW w:w="8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3</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kern w:val="0"/>
                <w:szCs w:val="21"/>
              </w:rPr>
              <w:t>001571</w:t>
            </w:r>
          </w:p>
        </w:tc>
        <w:tc>
          <w:tcPr>
            <w:tcW w:w="4374"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嘉合磐石混合型证券投资基金</w:t>
            </w:r>
            <w:r>
              <w:rPr>
                <w:rFonts w:ascii="Times New Roman" w:hAnsi="Times New Roman"/>
                <w:kern w:val="0"/>
                <w:szCs w:val="21"/>
              </w:rPr>
              <w:t>A</w:t>
            </w:r>
          </w:p>
        </w:tc>
      </w:tr>
      <w:tr w:rsidR="00B269BD">
        <w:trPr>
          <w:trHeight w:val="453"/>
          <w:jc w:val="center"/>
        </w:trPr>
        <w:tc>
          <w:tcPr>
            <w:tcW w:w="8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4</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kern w:val="0"/>
                <w:szCs w:val="21"/>
              </w:rPr>
              <w:t>001572</w:t>
            </w:r>
          </w:p>
        </w:tc>
        <w:tc>
          <w:tcPr>
            <w:tcW w:w="4374" w:type="dxa"/>
          </w:tcPr>
          <w:p w:rsidR="00B269BD" w:rsidRDefault="00453FA8">
            <w:pPr>
              <w:widowControl/>
              <w:spacing w:line="360" w:lineRule="auto"/>
              <w:jc w:val="center"/>
              <w:rPr>
                <w:rFonts w:ascii="Times New Roman" w:hAnsi="Times New Roman"/>
                <w:b/>
                <w:kern w:val="0"/>
                <w:szCs w:val="21"/>
              </w:rPr>
            </w:pPr>
            <w:r>
              <w:rPr>
                <w:rFonts w:ascii="Times New Roman" w:hAnsi="Times New Roman" w:hint="eastAsia"/>
                <w:kern w:val="0"/>
                <w:szCs w:val="21"/>
              </w:rPr>
              <w:t>嘉合磐石混合型证券投资基金</w:t>
            </w:r>
            <w:r>
              <w:rPr>
                <w:rFonts w:ascii="Times New Roman" w:hAnsi="Times New Roman" w:hint="eastAsia"/>
                <w:kern w:val="0"/>
                <w:szCs w:val="21"/>
              </w:rPr>
              <w:t>C</w:t>
            </w:r>
          </w:p>
        </w:tc>
      </w:tr>
      <w:tr w:rsidR="00B269BD">
        <w:trPr>
          <w:trHeight w:val="453"/>
          <w:jc w:val="center"/>
        </w:trPr>
        <w:tc>
          <w:tcPr>
            <w:tcW w:w="8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5</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kern w:val="0"/>
                <w:szCs w:val="21"/>
              </w:rPr>
              <w:t>001</w:t>
            </w:r>
            <w:r>
              <w:rPr>
                <w:rFonts w:ascii="Times New Roman" w:hAnsi="Times New Roman" w:hint="eastAsia"/>
                <w:kern w:val="0"/>
                <w:szCs w:val="21"/>
              </w:rPr>
              <w:t>957</w:t>
            </w:r>
          </w:p>
        </w:tc>
        <w:tc>
          <w:tcPr>
            <w:tcW w:w="4374"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嘉合磐通债券型证券投资基金</w:t>
            </w:r>
            <w:r>
              <w:rPr>
                <w:rFonts w:ascii="Times New Roman" w:hAnsi="Times New Roman"/>
                <w:kern w:val="0"/>
                <w:szCs w:val="21"/>
              </w:rPr>
              <w:t>A</w:t>
            </w:r>
          </w:p>
        </w:tc>
      </w:tr>
      <w:tr w:rsidR="00B269BD">
        <w:trPr>
          <w:trHeight w:val="453"/>
          <w:jc w:val="center"/>
        </w:trPr>
        <w:tc>
          <w:tcPr>
            <w:tcW w:w="8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6</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kern w:val="0"/>
                <w:szCs w:val="21"/>
              </w:rPr>
              <w:t>001</w:t>
            </w:r>
            <w:r>
              <w:rPr>
                <w:rFonts w:ascii="Times New Roman" w:hAnsi="Times New Roman" w:hint="eastAsia"/>
                <w:kern w:val="0"/>
                <w:szCs w:val="21"/>
              </w:rPr>
              <w:t>958</w:t>
            </w:r>
          </w:p>
        </w:tc>
        <w:tc>
          <w:tcPr>
            <w:tcW w:w="4374" w:type="dxa"/>
          </w:tcPr>
          <w:p w:rsidR="00B269BD" w:rsidRDefault="00453FA8">
            <w:pPr>
              <w:widowControl/>
              <w:spacing w:line="360" w:lineRule="auto"/>
              <w:jc w:val="center"/>
              <w:rPr>
                <w:rFonts w:ascii="Times New Roman" w:hAnsi="Times New Roman"/>
                <w:b/>
                <w:kern w:val="0"/>
                <w:szCs w:val="21"/>
              </w:rPr>
            </w:pPr>
            <w:r>
              <w:rPr>
                <w:rFonts w:ascii="Times New Roman" w:hAnsi="Times New Roman" w:hint="eastAsia"/>
                <w:kern w:val="0"/>
                <w:szCs w:val="21"/>
              </w:rPr>
              <w:t>嘉合磐通债券型证券投资基金</w:t>
            </w:r>
            <w:r>
              <w:rPr>
                <w:rFonts w:ascii="Times New Roman" w:hAnsi="Times New Roman" w:hint="eastAsia"/>
                <w:kern w:val="0"/>
                <w:szCs w:val="21"/>
              </w:rPr>
              <w:t>C</w:t>
            </w:r>
          </w:p>
        </w:tc>
      </w:tr>
      <w:tr w:rsidR="00B269BD">
        <w:trPr>
          <w:trHeight w:val="453"/>
          <w:jc w:val="center"/>
        </w:trPr>
        <w:tc>
          <w:tcPr>
            <w:tcW w:w="8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7</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006422</w:t>
            </w:r>
          </w:p>
        </w:tc>
        <w:tc>
          <w:tcPr>
            <w:tcW w:w="4374" w:type="dxa"/>
          </w:tcPr>
          <w:p w:rsidR="00B269BD" w:rsidRDefault="00453FA8">
            <w:pPr>
              <w:widowControl/>
              <w:spacing w:line="360" w:lineRule="auto"/>
              <w:jc w:val="center"/>
              <w:rPr>
                <w:rFonts w:ascii="Times New Roman" w:hAnsi="Times New Roman"/>
                <w:kern w:val="0"/>
                <w:szCs w:val="21"/>
              </w:rPr>
            </w:pPr>
            <w:r>
              <w:t>嘉合磐稳纯债债券型证券投资基金</w:t>
            </w:r>
            <w:r>
              <w:rPr>
                <w:rFonts w:ascii="Times New Roman" w:hAnsi="Times New Roman"/>
                <w:kern w:val="0"/>
                <w:szCs w:val="21"/>
              </w:rPr>
              <w:t>A</w:t>
            </w:r>
          </w:p>
        </w:tc>
      </w:tr>
      <w:tr w:rsidR="00B269BD">
        <w:trPr>
          <w:trHeight w:val="438"/>
          <w:jc w:val="center"/>
        </w:trPr>
        <w:tc>
          <w:tcPr>
            <w:tcW w:w="8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8</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006423</w:t>
            </w:r>
          </w:p>
        </w:tc>
        <w:tc>
          <w:tcPr>
            <w:tcW w:w="4374" w:type="dxa"/>
          </w:tcPr>
          <w:p w:rsidR="00B269BD" w:rsidRDefault="00453FA8">
            <w:pPr>
              <w:widowControl/>
              <w:spacing w:line="360" w:lineRule="auto"/>
              <w:jc w:val="center"/>
              <w:rPr>
                <w:rFonts w:ascii="Times New Roman" w:hAnsi="Times New Roman"/>
                <w:kern w:val="0"/>
                <w:szCs w:val="21"/>
              </w:rPr>
            </w:pPr>
            <w:r>
              <w:t>嘉合磐稳纯债债券型证券投资基金</w:t>
            </w:r>
            <w:r>
              <w:rPr>
                <w:rFonts w:ascii="Times New Roman" w:hAnsi="Times New Roman"/>
                <w:kern w:val="0"/>
                <w:szCs w:val="21"/>
              </w:rPr>
              <w:t>C</w:t>
            </w:r>
          </w:p>
        </w:tc>
      </w:tr>
      <w:tr w:rsidR="00B269BD">
        <w:trPr>
          <w:trHeight w:val="458"/>
          <w:jc w:val="center"/>
        </w:trPr>
        <w:tc>
          <w:tcPr>
            <w:tcW w:w="8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9</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006424</w:t>
            </w:r>
          </w:p>
        </w:tc>
        <w:tc>
          <w:tcPr>
            <w:tcW w:w="4374" w:type="dxa"/>
          </w:tcPr>
          <w:p w:rsidR="00B269BD" w:rsidRDefault="00453FA8">
            <w:pPr>
              <w:widowControl/>
              <w:spacing w:line="360" w:lineRule="auto"/>
              <w:jc w:val="center"/>
            </w:pPr>
            <w:r>
              <w:rPr>
                <w:rFonts w:ascii="Times New Roman" w:hAnsi="Times New Roman" w:hint="eastAsia"/>
                <w:kern w:val="0"/>
                <w:szCs w:val="21"/>
              </w:rPr>
              <w:t>嘉合锦程价值精选混合型证券投资基金</w:t>
            </w:r>
            <w:r>
              <w:rPr>
                <w:rFonts w:ascii="Times New Roman" w:hAnsi="Times New Roman" w:hint="eastAsia"/>
                <w:kern w:val="0"/>
                <w:szCs w:val="21"/>
              </w:rPr>
              <w:t>A</w:t>
            </w:r>
          </w:p>
        </w:tc>
      </w:tr>
      <w:tr w:rsidR="00B269BD">
        <w:trPr>
          <w:trHeight w:val="467"/>
          <w:jc w:val="center"/>
        </w:trPr>
        <w:tc>
          <w:tcPr>
            <w:tcW w:w="8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10</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006425</w:t>
            </w:r>
          </w:p>
        </w:tc>
        <w:tc>
          <w:tcPr>
            <w:tcW w:w="4374" w:type="dxa"/>
          </w:tcPr>
          <w:p w:rsidR="00B269BD" w:rsidRDefault="00453FA8">
            <w:pPr>
              <w:widowControl/>
              <w:spacing w:line="360" w:lineRule="auto"/>
              <w:jc w:val="center"/>
            </w:pPr>
            <w:r>
              <w:rPr>
                <w:rFonts w:ascii="Times New Roman" w:hAnsi="Times New Roman" w:hint="eastAsia"/>
                <w:kern w:val="0"/>
                <w:szCs w:val="21"/>
              </w:rPr>
              <w:t>嘉合锦程价值精选混合型证券投资基金</w:t>
            </w:r>
            <w:r>
              <w:rPr>
                <w:rFonts w:ascii="Times New Roman" w:hAnsi="Times New Roman" w:hint="eastAsia"/>
                <w:kern w:val="0"/>
                <w:szCs w:val="21"/>
              </w:rPr>
              <w:t>C</w:t>
            </w:r>
          </w:p>
        </w:tc>
      </w:tr>
      <w:tr w:rsidR="00B269BD">
        <w:trPr>
          <w:trHeight w:val="467"/>
          <w:jc w:val="center"/>
        </w:trPr>
        <w:tc>
          <w:tcPr>
            <w:tcW w:w="8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11</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006992</w:t>
            </w:r>
          </w:p>
        </w:tc>
        <w:tc>
          <w:tcPr>
            <w:tcW w:w="4374"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嘉合</w:t>
            </w:r>
            <w:r>
              <w:rPr>
                <w:rFonts w:ascii="Times New Roman" w:hAnsi="Times New Roman"/>
                <w:kern w:val="0"/>
                <w:szCs w:val="21"/>
              </w:rPr>
              <w:t>锦创</w:t>
            </w:r>
            <w:r>
              <w:rPr>
                <w:rFonts w:ascii="Times New Roman" w:hAnsi="Times New Roman" w:hint="eastAsia"/>
                <w:kern w:val="0"/>
                <w:szCs w:val="21"/>
              </w:rPr>
              <w:t>优势</w:t>
            </w:r>
            <w:r>
              <w:rPr>
                <w:rFonts w:ascii="Times New Roman" w:hAnsi="Times New Roman"/>
                <w:kern w:val="0"/>
                <w:szCs w:val="21"/>
              </w:rPr>
              <w:t>精选混合</w:t>
            </w:r>
            <w:r>
              <w:rPr>
                <w:rFonts w:ascii="Times New Roman" w:hAnsi="Times New Roman" w:hint="eastAsia"/>
                <w:kern w:val="0"/>
                <w:szCs w:val="21"/>
              </w:rPr>
              <w:t>型</w:t>
            </w:r>
            <w:r>
              <w:rPr>
                <w:rFonts w:ascii="Times New Roman" w:hAnsi="Times New Roman"/>
                <w:kern w:val="0"/>
                <w:szCs w:val="21"/>
              </w:rPr>
              <w:t>证券投资基金</w:t>
            </w:r>
          </w:p>
        </w:tc>
      </w:tr>
      <w:tr w:rsidR="00B269BD">
        <w:trPr>
          <w:trHeight w:val="467"/>
          <w:jc w:val="center"/>
        </w:trPr>
        <w:tc>
          <w:tcPr>
            <w:tcW w:w="8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1</w:t>
            </w:r>
            <w:r>
              <w:rPr>
                <w:rFonts w:ascii="Times New Roman" w:hAnsi="Times New Roman"/>
                <w:kern w:val="0"/>
                <w:szCs w:val="21"/>
              </w:rPr>
              <w:t>2</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005090</w:t>
            </w:r>
          </w:p>
        </w:tc>
        <w:tc>
          <w:tcPr>
            <w:tcW w:w="4374"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嘉合睿金混合型发起式证券投资基金</w:t>
            </w:r>
            <w:r>
              <w:rPr>
                <w:rFonts w:ascii="Times New Roman" w:hAnsi="Times New Roman"/>
                <w:kern w:val="0"/>
                <w:szCs w:val="21"/>
              </w:rPr>
              <w:t>A</w:t>
            </w:r>
          </w:p>
        </w:tc>
      </w:tr>
      <w:tr w:rsidR="00B269BD">
        <w:trPr>
          <w:trHeight w:val="467"/>
          <w:jc w:val="center"/>
        </w:trPr>
        <w:tc>
          <w:tcPr>
            <w:tcW w:w="8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13</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005091</w:t>
            </w:r>
          </w:p>
        </w:tc>
        <w:tc>
          <w:tcPr>
            <w:tcW w:w="4374"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嘉合睿金混合型发起式证券投资基金</w:t>
            </w:r>
            <w:r>
              <w:rPr>
                <w:rFonts w:ascii="Times New Roman" w:hAnsi="Times New Roman"/>
                <w:kern w:val="0"/>
                <w:szCs w:val="21"/>
              </w:rPr>
              <w:t>C</w:t>
            </w:r>
          </w:p>
        </w:tc>
      </w:tr>
      <w:tr w:rsidR="00B269BD">
        <w:trPr>
          <w:trHeight w:val="467"/>
          <w:jc w:val="center"/>
        </w:trPr>
        <w:tc>
          <w:tcPr>
            <w:tcW w:w="8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14</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007014</w:t>
            </w:r>
          </w:p>
        </w:tc>
        <w:tc>
          <w:tcPr>
            <w:tcW w:w="4374" w:type="dxa"/>
          </w:tcPr>
          <w:p w:rsidR="00B269BD" w:rsidRDefault="00453FA8">
            <w:pPr>
              <w:widowControl/>
              <w:spacing w:line="360" w:lineRule="auto"/>
              <w:jc w:val="center"/>
              <w:rPr>
                <w:rFonts w:ascii="宋体" w:hAnsi="宋体"/>
                <w:kern w:val="0"/>
                <w:szCs w:val="21"/>
              </w:rPr>
            </w:pPr>
            <w:r>
              <w:rPr>
                <w:rFonts w:ascii="宋体" w:hAnsi="宋体" w:hint="eastAsia"/>
                <w:kern w:val="0"/>
                <w:szCs w:val="21"/>
              </w:rPr>
              <w:t>嘉合磐泰短债</w:t>
            </w:r>
            <w:r>
              <w:rPr>
                <w:rFonts w:ascii="宋体" w:hAnsi="宋体"/>
                <w:kern w:val="0"/>
                <w:szCs w:val="21"/>
              </w:rPr>
              <w:t>债券型证券投资基金</w:t>
            </w:r>
            <w:r>
              <w:rPr>
                <w:rFonts w:ascii="Times New Roman" w:hAnsi="Times New Roman"/>
                <w:kern w:val="0"/>
                <w:szCs w:val="21"/>
              </w:rPr>
              <w:t>A</w:t>
            </w:r>
          </w:p>
        </w:tc>
      </w:tr>
      <w:tr w:rsidR="00B269BD">
        <w:trPr>
          <w:trHeight w:val="467"/>
          <w:jc w:val="center"/>
        </w:trPr>
        <w:tc>
          <w:tcPr>
            <w:tcW w:w="8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15</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007015</w:t>
            </w:r>
          </w:p>
        </w:tc>
        <w:tc>
          <w:tcPr>
            <w:tcW w:w="4374" w:type="dxa"/>
          </w:tcPr>
          <w:p w:rsidR="00B269BD" w:rsidRDefault="00453FA8">
            <w:pPr>
              <w:widowControl/>
              <w:spacing w:line="360" w:lineRule="auto"/>
              <w:jc w:val="center"/>
              <w:rPr>
                <w:rFonts w:ascii="宋体" w:hAnsi="宋体"/>
                <w:kern w:val="0"/>
                <w:szCs w:val="21"/>
              </w:rPr>
            </w:pPr>
            <w:r>
              <w:rPr>
                <w:rFonts w:ascii="宋体" w:hAnsi="宋体" w:hint="eastAsia"/>
                <w:kern w:val="0"/>
                <w:szCs w:val="21"/>
              </w:rPr>
              <w:t>嘉合磐泰短债</w:t>
            </w:r>
            <w:r>
              <w:rPr>
                <w:rFonts w:ascii="宋体" w:hAnsi="宋体"/>
                <w:kern w:val="0"/>
                <w:szCs w:val="21"/>
              </w:rPr>
              <w:t>债券型证券投资基金</w:t>
            </w:r>
            <w:r>
              <w:rPr>
                <w:rFonts w:ascii="Times New Roman" w:hAnsi="Times New Roman"/>
                <w:kern w:val="0"/>
                <w:szCs w:val="21"/>
              </w:rPr>
              <w:t>C</w:t>
            </w:r>
          </w:p>
        </w:tc>
      </w:tr>
      <w:tr w:rsidR="00B269BD">
        <w:trPr>
          <w:trHeight w:val="467"/>
          <w:jc w:val="center"/>
        </w:trPr>
        <w:tc>
          <w:tcPr>
            <w:tcW w:w="8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16</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007613</w:t>
            </w:r>
          </w:p>
        </w:tc>
        <w:tc>
          <w:tcPr>
            <w:tcW w:w="4374" w:type="dxa"/>
          </w:tcPr>
          <w:p w:rsidR="00B269BD" w:rsidRDefault="00453FA8">
            <w:pPr>
              <w:widowControl/>
              <w:spacing w:line="360" w:lineRule="auto"/>
              <w:jc w:val="center"/>
              <w:rPr>
                <w:rFonts w:ascii="宋体" w:hAnsi="宋体"/>
                <w:kern w:val="0"/>
                <w:szCs w:val="21"/>
              </w:rPr>
            </w:pPr>
            <w:r>
              <w:rPr>
                <w:rFonts w:ascii="宋体" w:hAnsi="宋体" w:hint="eastAsia"/>
                <w:kern w:val="0"/>
                <w:szCs w:val="21"/>
              </w:rPr>
              <w:t>嘉合</w:t>
            </w:r>
            <w:r>
              <w:rPr>
                <w:rFonts w:ascii="宋体" w:hAnsi="宋体"/>
                <w:kern w:val="0"/>
                <w:szCs w:val="21"/>
              </w:rPr>
              <w:t>医疗健康混合型发起式证券投资基金</w:t>
            </w:r>
          </w:p>
        </w:tc>
      </w:tr>
      <w:tr w:rsidR="00B269BD">
        <w:trPr>
          <w:trHeight w:val="467"/>
          <w:jc w:val="center"/>
        </w:trPr>
        <w:tc>
          <w:tcPr>
            <w:tcW w:w="875" w:type="dxa"/>
          </w:tcPr>
          <w:p w:rsidR="00B269BD" w:rsidRDefault="00453FA8">
            <w:pPr>
              <w:widowControl/>
              <w:spacing w:line="360" w:lineRule="auto"/>
              <w:jc w:val="center"/>
              <w:rPr>
                <w:rFonts w:ascii="Times New Roman" w:eastAsia="宋体" w:hAnsi="Times New Roman"/>
                <w:kern w:val="0"/>
                <w:szCs w:val="21"/>
              </w:rPr>
            </w:pPr>
            <w:r>
              <w:rPr>
                <w:rFonts w:ascii="Times New Roman" w:hAnsi="Times New Roman" w:hint="eastAsia"/>
                <w:kern w:val="0"/>
                <w:szCs w:val="21"/>
              </w:rPr>
              <w:t>17</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007281</w:t>
            </w:r>
          </w:p>
        </w:tc>
        <w:tc>
          <w:tcPr>
            <w:tcW w:w="4374" w:type="dxa"/>
          </w:tcPr>
          <w:p w:rsidR="00B269BD" w:rsidRDefault="00453FA8">
            <w:pPr>
              <w:widowControl/>
              <w:spacing w:line="360" w:lineRule="auto"/>
              <w:jc w:val="center"/>
              <w:rPr>
                <w:rFonts w:ascii="宋体" w:hAnsi="宋体"/>
                <w:kern w:val="0"/>
                <w:szCs w:val="21"/>
              </w:rPr>
            </w:pPr>
            <w:r>
              <w:rPr>
                <w:rFonts w:ascii="宋体" w:hAnsi="宋体" w:hint="eastAsia"/>
                <w:kern w:val="0"/>
                <w:szCs w:val="21"/>
              </w:rPr>
              <w:t>嘉合消费升级混合型发起式证券投资基金</w:t>
            </w:r>
          </w:p>
        </w:tc>
      </w:tr>
      <w:tr w:rsidR="00B269BD">
        <w:trPr>
          <w:trHeight w:val="467"/>
          <w:jc w:val="center"/>
        </w:trPr>
        <w:tc>
          <w:tcPr>
            <w:tcW w:w="875" w:type="dxa"/>
          </w:tcPr>
          <w:p w:rsidR="00B269BD" w:rsidRDefault="00453FA8">
            <w:pPr>
              <w:widowControl/>
              <w:spacing w:line="360" w:lineRule="auto"/>
              <w:jc w:val="center"/>
              <w:rPr>
                <w:rFonts w:ascii="Times New Roman" w:eastAsia="宋体" w:hAnsi="Times New Roman"/>
                <w:kern w:val="0"/>
                <w:szCs w:val="21"/>
              </w:rPr>
            </w:pPr>
            <w:r>
              <w:rPr>
                <w:rFonts w:ascii="Times New Roman" w:hAnsi="Times New Roman" w:hint="eastAsia"/>
                <w:kern w:val="0"/>
                <w:szCs w:val="21"/>
              </w:rPr>
              <w:t>18</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007332</w:t>
            </w:r>
          </w:p>
        </w:tc>
        <w:tc>
          <w:tcPr>
            <w:tcW w:w="4374" w:type="dxa"/>
          </w:tcPr>
          <w:p w:rsidR="00B269BD" w:rsidRDefault="00453FA8">
            <w:pPr>
              <w:widowControl/>
              <w:spacing w:line="360" w:lineRule="auto"/>
              <w:jc w:val="center"/>
              <w:rPr>
                <w:rFonts w:ascii="宋体" w:eastAsia="宋体" w:hAnsi="宋体"/>
                <w:kern w:val="0"/>
                <w:szCs w:val="21"/>
              </w:rPr>
            </w:pPr>
            <w:r>
              <w:rPr>
                <w:rFonts w:ascii="宋体" w:hAnsi="宋体" w:hint="eastAsia"/>
                <w:kern w:val="0"/>
                <w:szCs w:val="21"/>
              </w:rPr>
              <w:t>嘉合磐昇纯债债券型证券投资基金</w:t>
            </w:r>
            <w:r>
              <w:rPr>
                <w:rFonts w:ascii="Times New Roman" w:hAnsi="Times New Roman"/>
                <w:kern w:val="0"/>
                <w:szCs w:val="21"/>
              </w:rPr>
              <w:t>A</w:t>
            </w:r>
          </w:p>
        </w:tc>
      </w:tr>
      <w:tr w:rsidR="00B269BD">
        <w:trPr>
          <w:trHeight w:val="467"/>
          <w:jc w:val="center"/>
        </w:trPr>
        <w:tc>
          <w:tcPr>
            <w:tcW w:w="875" w:type="dxa"/>
          </w:tcPr>
          <w:p w:rsidR="00B269BD" w:rsidRDefault="00453FA8">
            <w:pPr>
              <w:widowControl/>
              <w:spacing w:line="360" w:lineRule="auto"/>
              <w:jc w:val="center"/>
              <w:rPr>
                <w:rFonts w:ascii="Times New Roman" w:eastAsia="宋体" w:hAnsi="Times New Roman"/>
                <w:kern w:val="0"/>
                <w:szCs w:val="21"/>
              </w:rPr>
            </w:pPr>
            <w:r>
              <w:rPr>
                <w:rFonts w:ascii="Times New Roman" w:hAnsi="Times New Roman" w:hint="eastAsia"/>
                <w:kern w:val="0"/>
                <w:szCs w:val="21"/>
              </w:rPr>
              <w:t>19</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007333</w:t>
            </w:r>
          </w:p>
        </w:tc>
        <w:tc>
          <w:tcPr>
            <w:tcW w:w="4374" w:type="dxa"/>
          </w:tcPr>
          <w:p w:rsidR="00B269BD" w:rsidRDefault="00453FA8">
            <w:pPr>
              <w:widowControl/>
              <w:spacing w:line="360" w:lineRule="auto"/>
              <w:jc w:val="center"/>
              <w:rPr>
                <w:rFonts w:ascii="宋体" w:eastAsia="宋体" w:hAnsi="宋体"/>
                <w:kern w:val="0"/>
                <w:szCs w:val="21"/>
              </w:rPr>
            </w:pPr>
            <w:r>
              <w:rPr>
                <w:rFonts w:ascii="宋体" w:hAnsi="宋体" w:hint="eastAsia"/>
                <w:kern w:val="0"/>
                <w:szCs w:val="21"/>
              </w:rPr>
              <w:t>嘉合磐昇纯债债券型证券投资基金</w:t>
            </w:r>
            <w:r>
              <w:rPr>
                <w:rFonts w:ascii="Times New Roman" w:hAnsi="Times New Roman"/>
                <w:kern w:val="0"/>
                <w:szCs w:val="21"/>
              </w:rPr>
              <w:t>C</w:t>
            </w:r>
          </w:p>
        </w:tc>
      </w:tr>
      <w:tr w:rsidR="00B269BD">
        <w:trPr>
          <w:trHeight w:val="467"/>
          <w:jc w:val="center"/>
        </w:trPr>
        <w:tc>
          <w:tcPr>
            <w:tcW w:w="875" w:type="dxa"/>
          </w:tcPr>
          <w:p w:rsidR="00B269BD" w:rsidRDefault="00453FA8">
            <w:pPr>
              <w:widowControl/>
              <w:spacing w:line="360" w:lineRule="auto"/>
              <w:jc w:val="center"/>
              <w:rPr>
                <w:rFonts w:ascii="Times New Roman" w:eastAsia="宋体" w:hAnsi="Times New Roman"/>
                <w:kern w:val="0"/>
                <w:szCs w:val="21"/>
              </w:rPr>
            </w:pPr>
            <w:r>
              <w:rPr>
                <w:rFonts w:ascii="Times New Roman" w:hAnsi="Times New Roman" w:hint="eastAsia"/>
                <w:kern w:val="0"/>
                <w:szCs w:val="21"/>
              </w:rPr>
              <w:t>20</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009106</w:t>
            </w:r>
          </w:p>
        </w:tc>
        <w:tc>
          <w:tcPr>
            <w:tcW w:w="4374" w:type="dxa"/>
          </w:tcPr>
          <w:p w:rsidR="00B269BD" w:rsidRDefault="00453FA8">
            <w:pPr>
              <w:widowControl/>
              <w:spacing w:line="360" w:lineRule="auto"/>
              <w:jc w:val="center"/>
              <w:rPr>
                <w:rFonts w:ascii="宋体" w:eastAsia="宋体" w:hAnsi="宋体"/>
                <w:kern w:val="0"/>
                <w:szCs w:val="21"/>
              </w:rPr>
            </w:pPr>
            <w:r>
              <w:rPr>
                <w:rFonts w:ascii="宋体" w:hAnsi="宋体" w:cs="宋体" w:hint="eastAsia"/>
                <w:color w:val="000000"/>
              </w:rPr>
              <w:t>嘉合同顺智选股票型证券投资基金</w:t>
            </w:r>
            <w:r>
              <w:rPr>
                <w:rFonts w:ascii="Times New Roman" w:hAnsi="Times New Roman"/>
                <w:kern w:val="0"/>
                <w:szCs w:val="21"/>
              </w:rPr>
              <w:t>A</w:t>
            </w:r>
          </w:p>
        </w:tc>
      </w:tr>
      <w:tr w:rsidR="00B269BD">
        <w:trPr>
          <w:trHeight w:val="467"/>
          <w:jc w:val="center"/>
        </w:trPr>
        <w:tc>
          <w:tcPr>
            <w:tcW w:w="875" w:type="dxa"/>
          </w:tcPr>
          <w:p w:rsidR="00B269BD" w:rsidRDefault="00453FA8">
            <w:pPr>
              <w:widowControl/>
              <w:spacing w:line="360" w:lineRule="auto"/>
              <w:jc w:val="center"/>
              <w:rPr>
                <w:rFonts w:ascii="Times New Roman" w:eastAsia="宋体" w:hAnsi="Times New Roman"/>
                <w:kern w:val="0"/>
                <w:szCs w:val="21"/>
              </w:rPr>
            </w:pPr>
            <w:r>
              <w:rPr>
                <w:rFonts w:ascii="Times New Roman" w:hAnsi="Times New Roman" w:hint="eastAsia"/>
                <w:kern w:val="0"/>
                <w:szCs w:val="21"/>
              </w:rPr>
              <w:t>21</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009107</w:t>
            </w:r>
          </w:p>
        </w:tc>
        <w:tc>
          <w:tcPr>
            <w:tcW w:w="4374" w:type="dxa"/>
          </w:tcPr>
          <w:p w:rsidR="00B269BD" w:rsidRDefault="00453FA8">
            <w:pPr>
              <w:widowControl/>
              <w:spacing w:line="360" w:lineRule="auto"/>
              <w:jc w:val="center"/>
              <w:rPr>
                <w:rFonts w:ascii="宋体" w:eastAsia="宋体" w:hAnsi="宋体"/>
                <w:kern w:val="0"/>
                <w:szCs w:val="21"/>
              </w:rPr>
            </w:pPr>
            <w:r>
              <w:rPr>
                <w:rFonts w:ascii="宋体" w:hAnsi="宋体" w:cs="宋体" w:hint="eastAsia"/>
                <w:color w:val="000000"/>
              </w:rPr>
              <w:t>嘉合同顺智选股票型证券投资基金</w:t>
            </w:r>
            <w:r>
              <w:rPr>
                <w:rFonts w:ascii="Times New Roman" w:hAnsi="Times New Roman"/>
                <w:kern w:val="0"/>
                <w:szCs w:val="21"/>
              </w:rPr>
              <w:t>C</w:t>
            </w:r>
          </w:p>
        </w:tc>
      </w:tr>
      <w:tr w:rsidR="00B269BD">
        <w:trPr>
          <w:trHeight w:val="467"/>
          <w:jc w:val="center"/>
        </w:trPr>
        <w:tc>
          <w:tcPr>
            <w:tcW w:w="875" w:type="dxa"/>
          </w:tcPr>
          <w:p w:rsidR="00B269BD" w:rsidRDefault="00453FA8">
            <w:pPr>
              <w:widowControl/>
              <w:spacing w:line="360" w:lineRule="auto"/>
              <w:jc w:val="center"/>
              <w:rPr>
                <w:rFonts w:ascii="Times New Roman" w:eastAsia="宋体" w:hAnsi="Times New Roman"/>
                <w:kern w:val="0"/>
                <w:szCs w:val="21"/>
              </w:rPr>
            </w:pPr>
            <w:r>
              <w:rPr>
                <w:rFonts w:ascii="Times New Roman" w:hAnsi="Times New Roman" w:hint="eastAsia"/>
                <w:kern w:val="0"/>
                <w:szCs w:val="21"/>
              </w:rPr>
              <w:lastRenderedPageBreak/>
              <w:t>22</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008905</w:t>
            </w:r>
          </w:p>
        </w:tc>
        <w:tc>
          <w:tcPr>
            <w:tcW w:w="4374" w:type="dxa"/>
          </w:tcPr>
          <w:p w:rsidR="00B269BD" w:rsidRDefault="00453FA8">
            <w:pPr>
              <w:widowControl/>
              <w:spacing w:line="360" w:lineRule="auto"/>
              <w:jc w:val="center"/>
              <w:rPr>
                <w:rFonts w:ascii="宋体" w:eastAsia="宋体" w:hAnsi="宋体" w:cs="宋体"/>
                <w:color w:val="000000"/>
              </w:rPr>
            </w:pPr>
            <w:r>
              <w:rPr>
                <w:rFonts w:ascii="宋体" w:hAnsi="宋体" w:cs="宋体" w:hint="eastAsia"/>
                <w:color w:val="000000"/>
              </w:rPr>
              <w:t>嘉合锦鹏添利混合型证券投资基金</w:t>
            </w:r>
            <w:r>
              <w:rPr>
                <w:rFonts w:ascii="Times New Roman" w:hAnsi="Times New Roman"/>
                <w:kern w:val="0"/>
                <w:szCs w:val="21"/>
              </w:rPr>
              <w:t>A</w:t>
            </w:r>
          </w:p>
        </w:tc>
      </w:tr>
      <w:tr w:rsidR="00B269BD">
        <w:trPr>
          <w:trHeight w:val="467"/>
          <w:jc w:val="center"/>
        </w:trPr>
        <w:tc>
          <w:tcPr>
            <w:tcW w:w="875" w:type="dxa"/>
          </w:tcPr>
          <w:p w:rsidR="00B269BD" w:rsidRDefault="00453FA8">
            <w:pPr>
              <w:widowControl/>
              <w:spacing w:line="360" w:lineRule="auto"/>
              <w:jc w:val="center"/>
              <w:rPr>
                <w:rFonts w:ascii="Times New Roman" w:eastAsia="宋体" w:hAnsi="Times New Roman"/>
                <w:kern w:val="0"/>
                <w:szCs w:val="21"/>
              </w:rPr>
            </w:pPr>
            <w:r>
              <w:rPr>
                <w:rFonts w:ascii="Times New Roman" w:hAnsi="Times New Roman" w:hint="eastAsia"/>
                <w:kern w:val="0"/>
                <w:szCs w:val="21"/>
              </w:rPr>
              <w:t>23</w:t>
            </w:r>
          </w:p>
        </w:tc>
        <w:tc>
          <w:tcPr>
            <w:tcW w:w="1575" w:type="dxa"/>
          </w:tcPr>
          <w:p w:rsidR="00B269BD" w:rsidRDefault="00453FA8">
            <w:pPr>
              <w:widowControl/>
              <w:spacing w:line="360" w:lineRule="auto"/>
              <w:jc w:val="center"/>
              <w:rPr>
                <w:rFonts w:ascii="Times New Roman" w:hAnsi="Times New Roman"/>
                <w:kern w:val="0"/>
                <w:szCs w:val="21"/>
              </w:rPr>
            </w:pPr>
            <w:r>
              <w:rPr>
                <w:rFonts w:ascii="Times New Roman" w:hAnsi="Times New Roman" w:hint="eastAsia"/>
                <w:kern w:val="0"/>
                <w:szCs w:val="21"/>
              </w:rPr>
              <w:t>008906</w:t>
            </w:r>
          </w:p>
        </w:tc>
        <w:tc>
          <w:tcPr>
            <w:tcW w:w="4374" w:type="dxa"/>
          </w:tcPr>
          <w:p w:rsidR="00B269BD" w:rsidRDefault="00453FA8">
            <w:pPr>
              <w:widowControl/>
              <w:spacing w:line="360" w:lineRule="auto"/>
              <w:jc w:val="center"/>
              <w:rPr>
                <w:rFonts w:ascii="宋体" w:eastAsia="宋体" w:hAnsi="宋体" w:cs="宋体"/>
                <w:color w:val="000000"/>
              </w:rPr>
            </w:pPr>
            <w:r>
              <w:rPr>
                <w:rFonts w:ascii="宋体" w:hAnsi="宋体" w:cs="宋体" w:hint="eastAsia"/>
                <w:color w:val="000000"/>
              </w:rPr>
              <w:t>嘉合锦鹏添利混合型证券投资基金</w:t>
            </w:r>
            <w:r>
              <w:rPr>
                <w:rFonts w:ascii="Times New Roman" w:hAnsi="Times New Roman"/>
                <w:kern w:val="0"/>
                <w:szCs w:val="21"/>
              </w:rPr>
              <w:t>C</w:t>
            </w:r>
          </w:p>
        </w:tc>
      </w:tr>
    </w:tbl>
    <w:p w:rsidR="00B269BD" w:rsidRDefault="00B269BD">
      <w:pPr>
        <w:numPr>
          <w:ilvl w:val="255"/>
          <w:numId w:val="0"/>
        </w:numPr>
        <w:spacing w:line="360" w:lineRule="auto"/>
        <w:rPr>
          <w:rFonts w:ascii="宋体" w:hAnsi="宋体" w:cs="宋体"/>
          <w:color w:val="000000"/>
        </w:rPr>
      </w:pPr>
    </w:p>
    <w:p w:rsidR="00B269BD" w:rsidRDefault="00453FA8">
      <w:pPr>
        <w:spacing w:before="240" w:line="360" w:lineRule="auto"/>
        <w:rPr>
          <w:rFonts w:ascii="宋体" w:hAnsi="宋体" w:cs="宋体"/>
          <w:color w:val="000000"/>
        </w:rPr>
      </w:pPr>
      <w:r>
        <w:rPr>
          <w:rFonts w:ascii="宋体" w:hAnsi="宋体" w:cs="宋体" w:hint="eastAsia"/>
          <w:color w:val="000000"/>
        </w:rPr>
        <w:t>二</w:t>
      </w:r>
      <w:r>
        <w:rPr>
          <w:rFonts w:ascii="宋体" w:hAnsi="宋体" w:cs="宋体"/>
          <w:color w:val="000000"/>
        </w:rPr>
        <w:t>、</w:t>
      </w:r>
      <w:r>
        <w:rPr>
          <w:rFonts w:ascii="宋体" w:hAnsi="宋体" w:cs="宋体" w:hint="eastAsia"/>
          <w:color w:val="000000"/>
        </w:rPr>
        <w:t>费率优惠活动具体安排</w:t>
      </w:r>
    </w:p>
    <w:p w:rsidR="00B269BD" w:rsidRDefault="00453FA8">
      <w:pPr>
        <w:pStyle w:val="ab"/>
        <w:numPr>
          <w:ilvl w:val="0"/>
          <w:numId w:val="2"/>
        </w:numPr>
        <w:autoSpaceDE w:val="0"/>
        <w:autoSpaceDN w:val="0"/>
        <w:adjustRightInd w:val="0"/>
        <w:spacing w:line="360" w:lineRule="auto"/>
        <w:ind w:firstLineChars="0"/>
        <w:jc w:val="left"/>
        <w:rPr>
          <w:rFonts w:ascii="宋体" w:hAnsi="宋体" w:cs="宋体"/>
          <w:color w:val="000000"/>
        </w:rPr>
      </w:pPr>
      <w:r>
        <w:rPr>
          <w:rFonts w:ascii="宋体" w:hAnsi="宋体" w:cs="宋体" w:hint="eastAsia"/>
          <w:color w:val="000000"/>
        </w:rPr>
        <w:t>费率优惠内容</w:t>
      </w:r>
    </w:p>
    <w:p w:rsidR="00B269BD" w:rsidRDefault="00453FA8">
      <w:pPr>
        <w:autoSpaceDE w:val="0"/>
        <w:autoSpaceDN w:val="0"/>
        <w:adjustRightInd w:val="0"/>
        <w:spacing w:line="360" w:lineRule="auto"/>
        <w:ind w:firstLineChars="200" w:firstLine="420"/>
        <w:jc w:val="left"/>
        <w:rPr>
          <w:rFonts w:ascii="宋体" w:hAnsi="宋体" w:cs="宋体"/>
          <w:color w:val="000000"/>
        </w:rPr>
      </w:pPr>
      <w:r>
        <w:rPr>
          <w:rFonts w:ascii="宋体" w:hAnsi="宋体" w:cs="宋体"/>
          <w:color w:val="000000"/>
        </w:rPr>
        <w:t>自</w:t>
      </w:r>
      <w:r>
        <w:rPr>
          <w:rFonts w:ascii="宋体"/>
          <w:color w:val="000000"/>
        </w:rPr>
        <w:t>2</w:t>
      </w:r>
      <w:r>
        <w:rPr>
          <w:rFonts w:ascii="宋体" w:hint="eastAsia"/>
          <w:color w:val="000000"/>
        </w:rPr>
        <w:t>020</w:t>
      </w:r>
      <w:r>
        <w:rPr>
          <w:rFonts w:ascii="宋体" w:hAnsi="宋体" w:cs="宋体"/>
          <w:color w:val="000000"/>
        </w:rPr>
        <w:t>年</w:t>
      </w:r>
      <w:r>
        <w:rPr>
          <w:rFonts w:ascii="宋体" w:hAnsi="宋体" w:cs="宋体" w:hint="eastAsia"/>
          <w:color w:val="000000"/>
        </w:rPr>
        <w:t>6</w:t>
      </w:r>
      <w:r>
        <w:rPr>
          <w:rFonts w:ascii="宋体" w:hAnsi="宋体" w:cs="宋体"/>
          <w:color w:val="000000"/>
        </w:rPr>
        <w:t>月</w:t>
      </w:r>
      <w:r>
        <w:rPr>
          <w:rFonts w:ascii="宋体" w:hAnsi="宋体" w:cs="宋体" w:hint="eastAsia"/>
          <w:color w:val="000000"/>
        </w:rPr>
        <w:t>18</w:t>
      </w:r>
      <w:r>
        <w:rPr>
          <w:rFonts w:ascii="宋体" w:hAnsi="宋体" w:cs="宋体"/>
          <w:color w:val="000000"/>
        </w:rPr>
        <w:t>日起，投资者通过</w:t>
      </w:r>
      <w:r>
        <w:rPr>
          <w:rFonts w:ascii="宋体" w:hAnsi="宋体" w:cs="宋体" w:hint="eastAsia"/>
          <w:color w:val="000000"/>
        </w:rPr>
        <w:t>恒泰证券申购（含定投）</w:t>
      </w:r>
      <w:r>
        <w:rPr>
          <w:rFonts w:ascii="Times New Roman" w:hAnsi="Times New Roman" w:hint="eastAsia"/>
          <w:kern w:val="0"/>
          <w:szCs w:val="21"/>
        </w:rPr>
        <w:t>上述</w:t>
      </w:r>
      <w:r>
        <w:rPr>
          <w:rFonts w:ascii="宋体" w:hAnsi="宋体" w:cs="宋体"/>
          <w:color w:val="000000"/>
        </w:rPr>
        <w:t>基金，</w:t>
      </w:r>
      <w:r>
        <w:rPr>
          <w:rFonts w:ascii="宋体" w:hAnsi="宋体" w:cs="宋体" w:hint="eastAsia"/>
          <w:color w:val="000000"/>
        </w:rPr>
        <w:t>申购</w:t>
      </w:r>
      <w:r>
        <w:rPr>
          <w:rFonts w:ascii="宋体" w:hAnsi="宋体" w:cs="宋体"/>
          <w:color w:val="000000"/>
        </w:rPr>
        <w:t>费率不设折扣限制，具体折扣费率以</w:t>
      </w:r>
      <w:r>
        <w:rPr>
          <w:rFonts w:ascii="宋体" w:hAnsi="宋体" w:cs="宋体" w:hint="eastAsia"/>
          <w:color w:val="000000"/>
        </w:rPr>
        <w:t>恒泰证券的公告和</w:t>
      </w:r>
      <w:r>
        <w:rPr>
          <w:rFonts w:ascii="宋体" w:hAnsi="宋体" w:cs="宋体"/>
          <w:color w:val="000000"/>
        </w:rPr>
        <w:t>页面公示为准，</w:t>
      </w:r>
      <w:r>
        <w:rPr>
          <w:rFonts w:ascii="宋体" w:hAnsi="宋体" w:hint="eastAsia"/>
          <w:szCs w:val="21"/>
        </w:rPr>
        <w:t>但</w:t>
      </w:r>
      <w:r>
        <w:rPr>
          <w:rFonts w:ascii="宋体" w:hAnsi="宋体"/>
          <w:szCs w:val="21"/>
        </w:rPr>
        <w:t>具体折扣费率需符合相关法律法规及监管</w:t>
      </w:r>
      <w:r>
        <w:rPr>
          <w:rFonts w:ascii="宋体" w:hAnsi="宋体" w:hint="eastAsia"/>
          <w:szCs w:val="21"/>
        </w:rPr>
        <w:t>的</w:t>
      </w:r>
      <w:r>
        <w:rPr>
          <w:rFonts w:ascii="宋体" w:hAnsi="宋体"/>
          <w:szCs w:val="21"/>
        </w:rPr>
        <w:t>规定，不</w:t>
      </w:r>
      <w:r>
        <w:rPr>
          <w:rFonts w:ascii="宋体" w:hAnsi="宋体" w:hint="eastAsia"/>
          <w:szCs w:val="21"/>
        </w:rPr>
        <w:t>得</w:t>
      </w:r>
      <w:r>
        <w:rPr>
          <w:rFonts w:ascii="宋体" w:hAnsi="宋体"/>
          <w:szCs w:val="21"/>
        </w:rPr>
        <w:t>低于成本销售</w:t>
      </w:r>
      <w:r>
        <w:rPr>
          <w:rFonts w:ascii="宋体" w:hAnsi="宋体" w:cs="宋体"/>
          <w:color w:val="000000"/>
        </w:rPr>
        <w:t>。基金原费率请详见基金合同、招募说明书</w:t>
      </w:r>
      <w:r>
        <w:rPr>
          <w:rFonts w:ascii="宋体" w:hAnsi="宋体" w:cs="宋体" w:hint="eastAsia"/>
          <w:color w:val="000000"/>
        </w:rPr>
        <w:t>（更新）</w:t>
      </w:r>
      <w:r>
        <w:rPr>
          <w:rFonts w:ascii="宋体" w:hAnsi="宋体" w:cs="宋体"/>
          <w:color w:val="000000"/>
        </w:rPr>
        <w:t>等法律文件，以及</w:t>
      </w:r>
      <w:r>
        <w:rPr>
          <w:rFonts w:ascii="宋体" w:hAnsi="宋体" w:cs="宋体" w:hint="eastAsia"/>
          <w:color w:val="000000"/>
        </w:rPr>
        <w:t>本公司</w:t>
      </w:r>
      <w:r>
        <w:rPr>
          <w:rFonts w:ascii="宋体" w:hAnsi="宋体" w:cs="宋体"/>
          <w:color w:val="000000"/>
        </w:rPr>
        <w:t>发布的最新业务公告。</w:t>
      </w:r>
    </w:p>
    <w:p w:rsidR="00B269BD" w:rsidRDefault="00453FA8">
      <w:pPr>
        <w:spacing w:line="360" w:lineRule="auto"/>
        <w:ind w:firstLineChars="200" w:firstLine="420"/>
        <w:jc w:val="left"/>
        <w:rPr>
          <w:rFonts w:ascii="宋体" w:hAnsi="宋体" w:cs="宋体"/>
          <w:color w:val="000000"/>
        </w:rPr>
      </w:pPr>
      <w:r>
        <w:rPr>
          <w:rFonts w:hint="eastAsia"/>
          <w:szCs w:val="21"/>
        </w:rPr>
        <w:t>费率优惠期限内，如本公司新增通过</w:t>
      </w:r>
      <w:r>
        <w:rPr>
          <w:rFonts w:ascii="宋体" w:hAnsi="宋体" w:cs="宋体" w:hint="eastAsia"/>
          <w:color w:val="000000"/>
        </w:rPr>
        <w:t>恒泰证券</w:t>
      </w:r>
      <w:r>
        <w:rPr>
          <w:rFonts w:hint="eastAsia"/>
          <w:szCs w:val="21"/>
        </w:rPr>
        <w:t>销售的其他旗下基金，则自该基金在</w:t>
      </w:r>
      <w:r>
        <w:rPr>
          <w:rFonts w:ascii="宋体" w:hAnsi="宋体" w:cs="宋体" w:hint="eastAsia"/>
          <w:color w:val="000000"/>
        </w:rPr>
        <w:t>恒泰证券</w:t>
      </w:r>
      <w:r>
        <w:rPr>
          <w:rFonts w:hint="eastAsia"/>
          <w:szCs w:val="21"/>
        </w:rPr>
        <w:t>开放申购</w:t>
      </w:r>
      <w:r>
        <w:rPr>
          <w:rFonts w:ascii="宋体" w:hAnsi="宋体" w:cs="宋体" w:hint="eastAsia"/>
          <w:color w:val="000000"/>
        </w:rPr>
        <w:t>（含定投）</w:t>
      </w:r>
      <w:r>
        <w:rPr>
          <w:rFonts w:hint="eastAsia"/>
          <w:szCs w:val="21"/>
        </w:rPr>
        <w:t>当日起，将同时开通该基金上述优惠活动。</w:t>
      </w:r>
    </w:p>
    <w:p w:rsidR="00B269BD" w:rsidRDefault="00453FA8">
      <w:pPr>
        <w:pStyle w:val="ab"/>
        <w:numPr>
          <w:ilvl w:val="0"/>
          <w:numId w:val="2"/>
        </w:numPr>
        <w:autoSpaceDE w:val="0"/>
        <w:autoSpaceDN w:val="0"/>
        <w:adjustRightInd w:val="0"/>
        <w:spacing w:line="360" w:lineRule="auto"/>
        <w:ind w:firstLineChars="0"/>
        <w:jc w:val="left"/>
        <w:rPr>
          <w:rFonts w:ascii="宋体" w:hAnsi="宋体" w:cs="宋体"/>
          <w:color w:val="000000"/>
        </w:rPr>
      </w:pPr>
      <w:r>
        <w:rPr>
          <w:rFonts w:ascii="宋体" w:hAnsi="宋体" w:cs="宋体" w:hint="eastAsia"/>
          <w:color w:val="000000"/>
        </w:rPr>
        <w:t>费率优惠期限</w:t>
      </w:r>
    </w:p>
    <w:p w:rsidR="00B269BD" w:rsidRDefault="00453FA8">
      <w:pPr>
        <w:autoSpaceDE w:val="0"/>
        <w:autoSpaceDN w:val="0"/>
        <w:adjustRightInd w:val="0"/>
        <w:spacing w:line="360" w:lineRule="auto"/>
        <w:ind w:firstLineChars="200" w:firstLine="420"/>
        <w:jc w:val="left"/>
        <w:rPr>
          <w:rFonts w:ascii="宋体" w:hAnsi="宋体" w:cs="宋体"/>
          <w:color w:val="000000"/>
        </w:rPr>
      </w:pPr>
      <w:r>
        <w:rPr>
          <w:rFonts w:ascii="宋体" w:hAnsi="宋体" w:cs="宋体"/>
          <w:color w:val="000000"/>
        </w:rPr>
        <w:t>以</w:t>
      </w:r>
      <w:r>
        <w:rPr>
          <w:rFonts w:ascii="宋体" w:hAnsi="宋体" w:cs="宋体" w:hint="eastAsia"/>
          <w:color w:val="000000"/>
        </w:rPr>
        <w:t>恒泰证券</w:t>
      </w:r>
      <w:r>
        <w:rPr>
          <w:rFonts w:ascii="宋体" w:hAnsi="宋体" w:cs="宋体"/>
          <w:color w:val="000000"/>
        </w:rPr>
        <w:t>官方网站所示公告为准。</w:t>
      </w:r>
    </w:p>
    <w:p w:rsidR="00B269BD" w:rsidRDefault="00453FA8">
      <w:pPr>
        <w:pStyle w:val="ab"/>
        <w:autoSpaceDE w:val="0"/>
        <w:autoSpaceDN w:val="0"/>
        <w:adjustRightInd w:val="0"/>
        <w:spacing w:before="240" w:line="360" w:lineRule="auto"/>
        <w:ind w:firstLineChars="0" w:firstLine="0"/>
        <w:jc w:val="left"/>
        <w:rPr>
          <w:rFonts w:ascii="宋体" w:hAnsi="宋体" w:cs="宋体"/>
          <w:color w:val="000000"/>
        </w:rPr>
      </w:pPr>
      <w:r>
        <w:rPr>
          <w:rFonts w:ascii="宋体" w:hAnsi="宋体" w:cs="宋体" w:hint="eastAsia"/>
          <w:color w:val="000000"/>
        </w:rPr>
        <w:t>三、重要提示</w:t>
      </w:r>
    </w:p>
    <w:p w:rsidR="00B269BD" w:rsidRDefault="00453FA8">
      <w:pPr>
        <w:pStyle w:val="ab"/>
        <w:numPr>
          <w:ilvl w:val="0"/>
          <w:numId w:val="3"/>
        </w:numPr>
        <w:autoSpaceDE w:val="0"/>
        <w:autoSpaceDN w:val="0"/>
        <w:adjustRightInd w:val="0"/>
        <w:spacing w:line="360" w:lineRule="auto"/>
        <w:ind w:firstLineChars="0"/>
        <w:jc w:val="left"/>
        <w:rPr>
          <w:rFonts w:ascii="宋体" w:hAnsi="宋体" w:cs="宋体"/>
          <w:color w:val="000000"/>
        </w:rPr>
      </w:pPr>
      <w:r>
        <w:rPr>
          <w:rFonts w:ascii="宋体" w:hAnsi="宋体" w:cs="宋体" w:hint="eastAsia"/>
          <w:color w:val="000000"/>
        </w:rPr>
        <w:t>本优惠活动仅适用于本公司旗下基金在恒泰证券处于正常申购期的基金的前端收费模式的申购（含定投）手续费，不包括基金认购、赎回、转换业务等其他业务的手续费。</w:t>
      </w:r>
    </w:p>
    <w:p w:rsidR="00B269BD" w:rsidRDefault="00453FA8">
      <w:pPr>
        <w:pStyle w:val="ab"/>
        <w:numPr>
          <w:ilvl w:val="0"/>
          <w:numId w:val="3"/>
        </w:numPr>
        <w:autoSpaceDE w:val="0"/>
        <w:autoSpaceDN w:val="0"/>
        <w:adjustRightInd w:val="0"/>
        <w:spacing w:line="360" w:lineRule="auto"/>
        <w:ind w:firstLineChars="0"/>
        <w:jc w:val="left"/>
        <w:rPr>
          <w:rFonts w:ascii="宋体" w:hAnsi="宋体" w:cs="宋体"/>
          <w:color w:val="000000"/>
        </w:rPr>
      </w:pPr>
      <w:r>
        <w:rPr>
          <w:rFonts w:ascii="宋体" w:hAnsi="宋体" w:cs="宋体"/>
          <w:color w:val="000000"/>
        </w:rPr>
        <w:t>费率优惠</w:t>
      </w:r>
      <w:r>
        <w:rPr>
          <w:rFonts w:ascii="宋体" w:hAnsi="宋体" w:cs="宋体" w:hint="eastAsia"/>
          <w:color w:val="000000"/>
        </w:rPr>
        <w:t>活动</w:t>
      </w:r>
      <w:r>
        <w:rPr>
          <w:rFonts w:ascii="宋体" w:hAnsi="宋体" w:cs="宋体"/>
          <w:color w:val="000000"/>
        </w:rPr>
        <w:t>解释权归</w:t>
      </w:r>
      <w:r>
        <w:rPr>
          <w:rFonts w:ascii="宋体" w:hAnsi="宋体" w:cs="宋体" w:hint="eastAsia"/>
          <w:color w:val="000000"/>
        </w:rPr>
        <w:t>恒泰证券</w:t>
      </w:r>
      <w:r>
        <w:rPr>
          <w:rFonts w:ascii="宋体" w:hAnsi="宋体" w:cs="宋体"/>
          <w:color w:val="000000"/>
        </w:rPr>
        <w:t>所有，有关费率优惠的具体规定如有变化，敬请投资者留意</w:t>
      </w:r>
      <w:r>
        <w:rPr>
          <w:rFonts w:ascii="宋体" w:hAnsi="宋体" w:cs="宋体" w:hint="eastAsia"/>
          <w:color w:val="000000"/>
        </w:rPr>
        <w:t>恒泰证券</w:t>
      </w:r>
      <w:r>
        <w:rPr>
          <w:rFonts w:ascii="宋体" w:hAnsi="宋体" w:cs="宋体"/>
          <w:color w:val="000000"/>
        </w:rPr>
        <w:t>的</w:t>
      </w:r>
      <w:r>
        <w:rPr>
          <w:rFonts w:ascii="Times New Roman" w:hAnsi="Times New Roman"/>
          <w:kern w:val="0"/>
          <w:szCs w:val="21"/>
        </w:rPr>
        <w:t>有关公告</w:t>
      </w:r>
      <w:r>
        <w:rPr>
          <w:rFonts w:ascii="宋体" w:hAnsi="宋体" w:cs="宋体" w:hint="eastAsia"/>
          <w:color w:val="000000"/>
        </w:rPr>
        <w:t>。</w:t>
      </w:r>
    </w:p>
    <w:p w:rsidR="00B269BD" w:rsidRDefault="00453FA8">
      <w:pPr>
        <w:pStyle w:val="ab"/>
        <w:numPr>
          <w:ilvl w:val="0"/>
          <w:numId w:val="3"/>
        </w:numPr>
        <w:autoSpaceDE w:val="0"/>
        <w:autoSpaceDN w:val="0"/>
        <w:adjustRightInd w:val="0"/>
        <w:spacing w:line="360" w:lineRule="auto"/>
        <w:ind w:firstLineChars="0"/>
        <w:jc w:val="left"/>
        <w:rPr>
          <w:rFonts w:ascii="宋体" w:hAnsi="宋体" w:cs="宋体"/>
          <w:color w:val="000000"/>
        </w:rPr>
      </w:pPr>
      <w:r>
        <w:rPr>
          <w:rFonts w:ascii="宋体" w:hAnsi="宋体" w:cs="宋体"/>
          <w:color w:val="000000"/>
        </w:rPr>
        <w:t>费率优惠期间，业务办理的流程以</w:t>
      </w:r>
      <w:r>
        <w:rPr>
          <w:rFonts w:ascii="宋体" w:hAnsi="宋体" w:cs="宋体" w:hint="eastAsia"/>
          <w:color w:val="000000"/>
        </w:rPr>
        <w:t>恒泰证券</w:t>
      </w:r>
      <w:r>
        <w:rPr>
          <w:rFonts w:ascii="宋体" w:hAnsi="宋体" w:cs="宋体"/>
          <w:color w:val="000000"/>
        </w:rPr>
        <w:t>的规定为准。投资者欲了解基金产品的详细情况，请仔细阅读基金的基金合同、招募说明书</w:t>
      </w:r>
      <w:r>
        <w:rPr>
          <w:rFonts w:ascii="宋体" w:hAnsi="宋体" w:cs="宋体" w:hint="eastAsia"/>
          <w:color w:val="000000"/>
        </w:rPr>
        <w:t>（更新）</w:t>
      </w:r>
      <w:r>
        <w:rPr>
          <w:rFonts w:ascii="宋体" w:hAnsi="宋体" w:cs="宋体"/>
          <w:color w:val="000000"/>
        </w:rPr>
        <w:t>等法律文件</w:t>
      </w:r>
      <w:r>
        <w:rPr>
          <w:rFonts w:ascii="宋体" w:hAnsi="宋体" w:cs="宋体" w:hint="eastAsia"/>
          <w:color w:val="000000"/>
        </w:rPr>
        <w:t>。</w:t>
      </w:r>
    </w:p>
    <w:p w:rsidR="00B269BD" w:rsidRDefault="00453FA8">
      <w:pPr>
        <w:autoSpaceDE w:val="0"/>
        <w:autoSpaceDN w:val="0"/>
        <w:adjustRightInd w:val="0"/>
        <w:spacing w:before="240" w:line="360" w:lineRule="auto"/>
        <w:jc w:val="left"/>
        <w:rPr>
          <w:rFonts w:ascii="宋体" w:hAnsi="宋体" w:cs="宋体"/>
          <w:color w:val="000000"/>
        </w:rPr>
      </w:pPr>
      <w:r>
        <w:rPr>
          <w:rFonts w:ascii="宋体" w:hAnsi="宋体" w:cs="宋体" w:hint="eastAsia"/>
          <w:color w:val="000000"/>
        </w:rPr>
        <w:t>四</w:t>
      </w:r>
      <w:r>
        <w:rPr>
          <w:rFonts w:ascii="宋体" w:hAnsi="宋体" w:cs="宋体"/>
          <w:color w:val="000000"/>
        </w:rPr>
        <w:t>、</w:t>
      </w:r>
      <w:r>
        <w:rPr>
          <w:rFonts w:ascii="宋体" w:hAnsi="宋体" w:cs="宋体" w:hint="eastAsia"/>
          <w:color w:val="000000"/>
        </w:rPr>
        <w:t>投资者可通过以下途径了解或咨询相关情况</w:t>
      </w:r>
    </w:p>
    <w:tbl>
      <w:tblPr>
        <w:tblStyle w:val="a8"/>
        <w:tblW w:w="0" w:type="auto"/>
        <w:tblLook w:val="04A0"/>
      </w:tblPr>
      <w:tblGrid>
        <w:gridCol w:w="3174"/>
        <w:gridCol w:w="3210"/>
        <w:gridCol w:w="2138"/>
      </w:tblGrid>
      <w:tr w:rsidR="00B269BD">
        <w:tc>
          <w:tcPr>
            <w:tcW w:w="3174" w:type="dxa"/>
            <w:tcBorders>
              <w:top w:val="single" w:sz="4" w:space="0" w:color="auto"/>
              <w:left w:val="single" w:sz="4" w:space="0" w:color="auto"/>
              <w:bottom w:val="single" w:sz="4" w:space="0" w:color="auto"/>
              <w:right w:val="single" w:sz="4" w:space="0" w:color="auto"/>
            </w:tcBorders>
          </w:tcPr>
          <w:p w:rsidR="00B269BD" w:rsidRDefault="00453FA8">
            <w:pPr>
              <w:autoSpaceDE w:val="0"/>
              <w:autoSpaceDN w:val="0"/>
              <w:adjustRightInd w:val="0"/>
              <w:spacing w:line="360" w:lineRule="auto"/>
              <w:jc w:val="left"/>
              <w:rPr>
                <w:rFonts w:ascii="宋体" w:hAnsi="宋体" w:cs="宋体"/>
                <w:color w:val="000000"/>
              </w:rPr>
            </w:pPr>
            <w:r>
              <w:rPr>
                <w:rFonts w:ascii="宋体" w:hAnsi="宋体" w:cs="宋体" w:hint="eastAsia"/>
                <w:color w:val="000000"/>
              </w:rPr>
              <w:t>机构名称</w:t>
            </w:r>
          </w:p>
        </w:tc>
        <w:tc>
          <w:tcPr>
            <w:tcW w:w="3210" w:type="dxa"/>
            <w:tcBorders>
              <w:top w:val="single" w:sz="4" w:space="0" w:color="auto"/>
              <w:left w:val="single" w:sz="4" w:space="0" w:color="auto"/>
              <w:bottom w:val="single" w:sz="4" w:space="0" w:color="auto"/>
              <w:right w:val="single" w:sz="4" w:space="0" w:color="auto"/>
            </w:tcBorders>
          </w:tcPr>
          <w:p w:rsidR="00B269BD" w:rsidRDefault="00453FA8">
            <w:pPr>
              <w:autoSpaceDE w:val="0"/>
              <w:autoSpaceDN w:val="0"/>
              <w:adjustRightInd w:val="0"/>
              <w:spacing w:line="360" w:lineRule="auto"/>
              <w:jc w:val="left"/>
              <w:rPr>
                <w:rFonts w:ascii="宋体" w:hAnsi="宋体" w:cs="宋体"/>
                <w:color w:val="000000"/>
              </w:rPr>
            </w:pPr>
            <w:r>
              <w:rPr>
                <w:rFonts w:ascii="宋体" w:hAnsi="宋体" w:cs="宋体" w:hint="eastAsia"/>
                <w:color w:val="000000"/>
              </w:rPr>
              <w:t>网址</w:t>
            </w:r>
          </w:p>
        </w:tc>
        <w:tc>
          <w:tcPr>
            <w:tcW w:w="2138" w:type="dxa"/>
            <w:tcBorders>
              <w:top w:val="single" w:sz="4" w:space="0" w:color="auto"/>
              <w:left w:val="single" w:sz="4" w:space="0" w:color="auto"/>
              <w:bottom w:val="single" w:sz="4" w:space="0" w:color="auto"/>
              <w:right w:val="single" w:sz="4" w:space="0" w:color="auto"/>
            </w:tcBorders>
          </w:tcPr>
          <w:p w:rsidR="00B269BD" w:rsidRDefault="00453FA8">
            <w:pPr>
              <w:autoSpaceDE w:val="0"/>
              <w:autoSpaceDN w:val="0"/>
              <w:adjustRightInd w:val="0"/>
              <w:spacing w:line="360" w:lineRule="auto"/>
              <w:jc w:val="left"/>
              <w:rPr>
                <w:rFonts w:ascii="宋体" w:hAnsi="宋体" w:cs="宋体"/>
                <w:color w:val="000000"/>
              </w:rPr>
            </w:pPr>
            <w:r>
              <w:rPr>
                <w:rFonts w:ascii="宋体" w:hAnsi="宋体" w:cs="宋体" w:hint="eastAsia"/>
                <w:color w:val="000000"/>
              </w:rPr>
              <w:t>客服热线</w:t>
            </w:r>
          </w:p>
        </w:tc>
      </w:tr>
      <w:tr w:rsidR="00B269BD">
        <w:tc>
          <w:tcPr>
            <w:tcW w:w="3174" w:type="dxa"/>
            <w:tcBorders>
              <w:top w:val="single" w:sz="4" w:space="0" w:color="auto"/>
              <w:left w:val="single" w:sz="4" w:space="0" w:color="auto"/>
              <w:bottom w:val="single" w:sz="4" w:space="0" w:color="auto"/>
              <w:right w:val="single" w:sz="4" w:space="0" w:color="auto"/>
            </w:tcBorders>
          </w:tcPr>
          <w:p w:rsidR="00B269BD" w:rsidRDefault="00453FA8">
            <w:pPr>
              <w:autoSpaceDE w:val="0"/>
              <w:autoSpaceDN w:val="0"/>
              <w:adjustRightInd w:val="0"/>
              <w:spacing w:line="360" w:lineRule="auto"/>
              <w:jc w:val="left"/>
              <w:rPr>
                <w:rFonts w:ascii="Arial" w:eastAsia="宋体" w:hAnsi="Arial" w:cs="Arial"/>
                <w:bCs/>
                <w:kern w:val="0"/>
                <w:szCs w:val="21"/>
              </w:rPr>
            </w:pPr>
            <w:r>
              <w:rPr>
                <w:rFonts w:ascii="Arial" w:eastAsia="宋体" w:hAnsi="Arial" w:cs="Arial" w:hint="eastAsia"/>
                <w:bCs/>
                <w:kern w:val="0"/>
                <w:szCs w:val="21"/>
              </w:rPr>
              <w:t>恒泰证券股份有限公司</w:t>
            </w:r>
          </w:p>
        </w:tc>
        <w:tc>
          <w:tcPr>
            <w:tcW w:w="3210" w:type="dxa"/>
            <w:tcBorders>
              <w:top w:val="single" w:sz="4" w:space="0" w:color="auto"/>
              <w:left w:val="single" w:sz="4" w:space="0" w:color="auto"/>
              <w:bottom w:val="single" w:sz="4" w:space="0" w:color="auto"/>
              <w:right w:val="single" w:sz="4" w:space="0" w:color="auto"/>
            </w:tcBorders>
          </w:tcPr>
          <w:p w:rsidR="00B269BD" w:rsidRDefault="00453FA8">
            <w:pPr>
              <w:autoSpaceDE w:val="0"/>
              <w:autoSpaceDN w:val="0"/>
              <w:adjustRightInd w:val="0"/>
              <w:spacing w:line="360" w:lineRule="auto"/>
              <w:jc w:val="left"/>
              <w:rPr>
                <w:rFonts w:ascii="Times New Roman" w:hAnsi="Times New Roman"/>
                <w:kern w:val="0"/>
                <w:szCs w:val="21"/>
              </w:rPr>
            </w:pPr>
            <w:r>
              <w:rPr>
                <w:rFonts w:ascii="Times New Roman" w:hAnsi="Times New Roman"/>
                <w:kern w:val="0"/>
                <w:szCs w:val="21"/>
              </w:rPr>
              <w:t>www.cnht.com.cn</w:t>
            </w:r>
          </w:p>
        </w:tc>
        <w:tc>
          <w:tcPr>
            <w:tcW w:w="2138" w:type="dxa"/>
            <w:tcBorders>
              <w:top w:val="single" w:sz="4" w:space="0" w:color="auto"/>
              <w:left w:val="single" w:sz="4" w:space="0" w:color="auto"/>
              <w:bottom w:val="single" w:sz="4" w:space="0" w:color="auto"/>
              <w:right w:val="single" w:sz="4" w:space="0" w:color="auto"/>
            </w:tcBorders>
          </w:tcPr>
          <w:p w:rsidR="00B269BD" w:rsidRDefault="00453FA8">
            <w:pPr>
              <w:autoSpaceDE w:val="0"/>
              <w:autoSpaceDN w:val="0"/>
              <w:adjustRightInd w:val="0"/>
              <w:spacing w:line="360" w:lineRule="auto"/>
              <w:jc w:val="left"/>
              <w:rPr>
                <w:rFonts w:ascii="Times New Roman" w:hAnsi="Times New Roman"/>
                <w:kern w:val="0"/>
                <w:szCs w:val="21"/>
              </w:rPr>
            </w:pPr>
            <w:r>
              <w:rPr>
                <w:rFonts w:ascii="Times New Roman" w:hAnsi="Times New Roman"/>
                <w:kern w:val="0"/>
                <w:szCs w:val="21"/>
              </w:rPr>
              <w:t>956088</w:t>
            </w:r>
          </w:p>
        </w:tc>
      </w:tr>
      <w:tr w:rsidR="00B269BD">
        <w:tc>
          <w:tcPr>
            <w:tcW w:w="3174" w:type="dxa"/>
            <w:tcBorders>
              <w:top w:val="single" w:sz="4" w:space="0" w:color="auto"/>
              <w:left w:val="single" w:sz="4" w:space="0" w:color="auto"/>
              <w:bottom w:val="single" w:sz="4" w:space="0" w:color="auto"/>
              <w:right w:val="single" w:sz="4" w:space="0" w:color="auto"/>
            </w:tcBorders>
          </w:tcPr>
          <w:p w:rsidR="00B269BD" w:rsidRDefault="00453FA8">
            <w:pPr>
              <w:autoSpaceDE w:val="0"/>
              <w:autoSpaceDN w:val="0"/>
              <w:adjustRightInd w:val="0"/>
              <w:spacing w:line="360" w:lineRule="auto"/>
              <w:jc w:val="left"/>
              <w:rPr>
                <w:rFonts w:ascii="宋体" w:hAnsi="宋体" w:cs="宋体"/>
                <w:color w:val="000000"/>
              </w:rPr>
            </w:pPr>
            <w:r>
              <w:rPr>
                <w:rFonts w:ascii="宋体" w:hAnsi="宋体" w:cs="宋体" w:hint="eastAsia"/>
                <w:color w:val="000000"/>
              </w:rPr>
              <w:t>嘉合基金管理有限公司</w:t>
            </w:r>
          </w:p>
        </w:tc>
        <w:tc>
          <w:tcPr>
            <w:tcW w:w="3210" w:type="dxa"/>
            <w:tcBorders>
              <w:top w:val="single" w:sz="4" w:space="0" w:color="auto"/>
              <w:left w:val="single" w:sz="4" w:space="0" w:color="auto"/>
              <w:bottom w:val="single" w:sz="4" w:space="0" w:color="auto"/>
              <w:right w:val="single" w:sz="4" w:space="0" w:color="auto"/>
            </w:tcBorders>
          </w:tcPr>
          <w:p w:rsidR="00B269BD" w:rsidRDefault="00453FA8">
            <w:pPr>
              <w:autoSpaceDE w:val="0"/>
              <w:autoSpaceDN w:val="0"/>
              <w:adjustRightInd w:val="0"/>
              <w:spacing w:line="360" w:lineRule="auto"/>
              <w:jc w:val="left"/>
              <w:rPr>
                <w:rFonts w:ascii="Times New Roman" w:hAnsi="Times New Roman"/>
                <w:kern w:val="0"/>
                <w:szCs w:val="21"/>
              </w:rPr>
            </w:pPr>
            <w:r>
              <w:rPr>
                <w:rFonts w:ascii="Times New Roman" w:hAnsi="Times New Roman"/>
                <w:kern w:val="0"/>
                <w:szCs w:val="21"/>
              </w:rPr>
              <w:t>www.haoamc.com</w:t>
            </w:r>
          </w:p>
        </w:tc>
        <w:tc>
          <w:tcPr>
            <w:tcW w:w="2138" w:type="dxa"/>
            <w:tcBorders>
              <w:top w:val="single" w:sz="4" w:space="0" w:color="auto"/>
              <w:left w:val="single" w:sz="4" w:space="0" w:color="auto"/>
              <w:bottom w:val="single" w:sz="4" w:space="0" w:color="auto"/>
              <w:right w:val="single" w:sz="4" w:space="0" w:color="auto"/>
            </w:tcBorders>
          </w:tcPr>
          <w:p w:rsidR="00B269BD" w:rsidRDefault="00453FA8">
            <w:pPr>
              <w:autoSpaceDE w:val="0"/>
              <w:autoSpaceDN w:val="0"/>
              <w:adjustRightInd w:val="0"/>
              <w:spacing w:line="360" w:lineRule="auto"/>
              <w:jc w:val="left"/>
              <w:rPr>
                <w:rFonts w:ascii="Times New Roman" w:hAnsi="Times New Roman"/>
                <w:kern w:val="0"/>
                <w:szCs w:val="21"/>
              </w:rPr>
            </w:pPr>
            <w:r>
              <w:rPr>
                <w:rFonts w:ascii="Times New Roman" w:hAnsi="Times New Roman"/>
                <w:kern w:val="0"/>
                <w:szCs w:val="21"/>
              </w:rPr>
              <w:t>400-0603-299</w:t>
            </w:r>
          </w:p>
        </w:tc>
      </w:tr>
    </w:tbl>
    <w:p w:rsidR="00B269BD" w:rsidRDefault="00B269BD">
      <w:pPr>
        <w:autoSpaceDE w:val="0"/>
        <w:autoSpaceDN w:val="0"/>
        <w:adjustRightInd w:val="0"/>
        <w:spacing w:line="360" w:lineRule="auto"/>
        <w:jc w:val="left"/>
        <w:rPr>
          <w:rFonts w:ascii="宋体" w:hAnsi="宋体" w:cs="宋体"/>
          <w:color w:val="000000"/>
        </w:rPr>
      </w:pPr>
    </w:p>
    <w:p w:rsidR="00B269BD" w:rsidRDefault="00453FA8">
      <w:pPr>
        <w:autoSpaceDE w:val="0"/>
        <w:autoSpaceDN w:val="0"/>
        <w:adjustRightInd w:val="0"/>
        <w:spacing w:line="360" w:lineRule="auto"/>
        <w:ind w:firstLineChars="200" w:firstLine="420"/>
        <w:jc w:val="left"/>
        <w:rPr>
          <w:rFonts w:ascii="宋体" w:hAnsi="宋体" w:cs="宋体"/>
          <w:color w:val="000000"/>
        </w:rPr>
      </w:pPr>
      <w:r>
        <w:rPr>
          <w:rFonts w:ascii="宋体" w:hAnsi="宋体" w:cs="宋体"/>
          <w:color w:val="000000"/>
        </w:rPr>
        <w:t>风险提示：本公司</w:t>
      </w:r>
      <w:r>
        <w:rPr>
          <w:rFonts w:ascii="宋体" w:hAnsi="宋体" w:cs="宋体" w:hint="eastAsia"/>
          <w:color w:val="000000"/>
        </w:rPr>
        <w:t>依照</w:t>
      </w:r>
      <w:r>
        <w:rPr>
          <w:rFonts w:ascii="宋体" w:hAnsi="宋体" w:cs="宋体"/>
          <w:color w:val="000000"/>
        </w:rPr>
        <w:t>恪尽职守</w:t>
      </w:r>
      <w:r>
        <w:rPr>
          <w:rFonts w:ascii="宋体" w:hAnsi="宋体" w:cs="宋体" w:hint="eastAsia"/>
          <w:color w:val="000000"/>
        </w:rPr>
        <w:t>、</w:t>
      </w:r>
      <w:r>
        <w:rPr>
          <w:rFonts w:ascii="宋体" w:hAnsi="宋体" w:cs="宋体"/>
          <w:color w:val="000000"/>
        </w:rPr>
        <w:t>诚实信用、勤勉尽责的原则管理和运用基金资产</w:t>
      </w:r>
      <w:r>
        <w:rPr>
          <w:rFonts w:ascii="宋体" w:hAnsi="宋体" w:cs="宋体" w:hint="eastAsia"/>
          <w:color w:val="000000"/>
        </w:rPr>
        <w:t>，</w:t>
      </w:r>
      <w:r>
        <w:rPr>
          <w:rFonts w:ascii="宋体" w:hAnsi="宋体" w:cs="宋体"/>
          <w:color w:val="000000"/>
        </w:rPr>
        <w:t>但不保证基金一定盈利</w:t>
      </w:r>
      <w:r>
        <w:rPr>
          <w:rFonts w:ascii="宋体" w:hAnsi="宋体" w:cs="宋体" w:hint="eastAsia"/>
          <w:color w:val="000000"/>
        </w:rPr>
        <w:t>，</w:t>
      </w:r>
      <w:r>
        <w:rPr>
          <w:rFonts w:ascii="宋体" w:hAnsi="宋体" w:cs="宋体"/>
          <w:color w:val="000000"/>
        </w:rPr>
        <w:t>也不保证最低收益。基金的过往业绩并不预示其未来表现</w:t>
      </w:r>
      <w:r>
        <w:rPr>
          <w:rFonts w:ascii="宋体" w:hAnsi="宋体" w:cs="宋体" w:hint="eastAsia"/>
          <w:color w:val="000000"/>
        </w:rPr>
        <w:t>。</w:t>
      </w:r>
      <w:r>
        <w:rPr>
          <w:rFonts w:ascii="Arial" w:hAnsi="Arial" w:cs="Arial"/>
          <w:kern w:val="0"/>
          <w:szCs w:val="21"/>
        </w:rPr>
        <w:t>购买货币市场基金并不等于将资金作为存款存放在银行或者存款类金融机构</w:t>
      </w:r>
      <w:r>
        <w:rPr>
          <w:rFonts w:ascii="Arial" w:hAnsi="Arial" w:cs="Arial" w:hint="eastAsia"/>
          <w:kern w:val="0"/>
          <w:szCs w:val="21"/>
        </w:rPr>
        <w:t>。</w:t>
      </w:r>
      <w:r>
        <w:rPr>
          <w:rFonts w:ascii="宋体" w:hAnsi="宋体" w:cs="宋体"/>
          <w:color w:val="000000"/>
        </w:rPr>
        <w:t>投资者投资于本公司基</w:t>
      </w:r>
      <w:r>
        <w:rPr>
          <w:rFonts w:ascii="宋体" w:hAnsi="宋体" w:cs="宋体"/>
          <w:color w:val="000000"/>
        </w:rPr>
        <w:lastRenderedPageBreak/>
        <w:t>金时应认真阅读相关基金合同、招募说明书</w:t>
      </w:r>
      <w:r>
        <w:rPr>
          <w:rFonts w:hint="eastAsia"/>
          <w:szCs w:val="21"/>
        </w:rPr>
        <w:t>（</w:t>
      </w:r>
      <w:r>
        <w:rPr>
          <w:szCs w:val="21"/>
        </w:rPr>
        <w:t>更新</w:t>
      </w:r>
      <w:r>
        <w:rPr>
          <w:rFonts w:hint="eastAsia"/>
          <w:szCs w:val="21"/>
        </w:rPr>
        <w:t>）</w:t>
      </w:r>
      <w:r>
        <w:rPr>
          <w:rFonts w:ascii="宋体" w:hAnsi="宋体" w:cs="宋体"/>
          <w:color w:val="000000"/>
        </w:rPr>
        <w:t>等信息披露文件</w:t>
      </w:r>
      <w:r>
        <w:rPr>
          <w:rFonts w:ascii="宋体" w:hAnsi="宋体" w:cs="宋体" w:hint="eastAsia"/>
          <w:color w:val="000000"/>
        </w:rPr>
        <w:t>，全面认识基金的风险收益特征和产品特性，并充分考虑自身的风险承受能力，理性判断市场，谨慎做出投资决策，并自行承担投资风险。</w:t>
      </w:r>
    </w:p>
    <w:p w:rsidR="00B269BD" w:rsidRDefault="00B269BD">
      <w:pPr>
        <w:autoSpaceDE w:val="0"/>
        <w:autoSpaceDN w:val="0"/>
        <w:adjustRightInd w:val="0"/>
        <w:spacing w:line="360" w:lineRule="auto"/>
        <w:jc w:val="left"/>
        <w:rPr>
          <w:rFonts w:ascii="宋体" w:hAnsi="宋体" w:cs="宋体"/>
          <w:color w:val="000000"/>
        </w:rPr>
      </w:pPr>
    </w:p>
    <w:p w:rsidR="00B269BD" w:rsidRDefault="00453FA8">
      <w:pPr>
        <w:autoSpaceDE w:val="0"/>
        <w:autoSpaceDN w:val="0"/>
        <w:adjustRightInd w:val="0"/>
        <w:spacing w:line="360" w:lineRule="auto"/>
        <w:ind w:firstLineChars="200" w:firstLine="420"/>
        <w:jc w:val="left"/>
        <w:rPr>
          <w:rFonts w:ascii="宋体" w:hAnsi="宋体" w:cs="宋体"/>
          <w:color w:val="000000"/>
        </w:rPr>
      </w:pPr>
      <w:r>
        <w:rPr>
          <w:rFonts w:ascii="宋体" w:hAnsi="宋体" w:cs="宋体" w:hint="eastAsia"/>
          <w:color w:val="000000"/>
        </w:rPr>
        <w:t>特此公告。</w:t>
      </w:r>
    </w:p>
    <w:p w:rsidR="00B269BD" w:rsidRDefault="00B269BD">
      <w:pPr>
        <w:autoSpaceDE w:val="0"/>
        <w:autoSpaceDN w:val="0"/>
        <w:adjustRightInd w:val="0"/>
        <w:spacing w:line="360" w:lineRule="auto"/>
        <w:jc w:val="left"/>
        <w:rPr>
          <w:rFonts w:ascii="宋体" w:hAnsi="宋体" w:cs="宋体"/>
          <w:color w:val="000000"/>
        </w:rPr>
      </w:pPr>
    </w:p>
    <w:p w:rsidR="00B269BD" w:rsidRDefault="00453FA8">
      <w:pPr>
        <w:autoSpaceDE w:val="0"/>
        <w:autoSpaceDN w:val="0"/>
        <w:adjustRightInd w:val="0"/>
        <w:spacing w:line="360" w:lineRule="auto"/>
        <w:jc w:val="right"/>
        <w:rPr>
          <w:rFonts w:ascii="宋体" w:hAnsi="宋体" w:cs="宋体"/>
          <w:color w:val="000000"/>
        </w:rPr>
      </w:pPr>
      <w:r>
        <w:rPr>
          <w:rFonts w:ascii="宋体" w:hAnsi="宋体" w:cs="宋体" w:hint="eastAsia"/>
          <w:color w:val="000000"/>
        </w:rPr>
        <w:t>嘉合基金管理有限公司</w:t>
      </w:r>
    </w:p>
    <w:p w:rsidR="00B269BD" w:rsidRDefault="00453FA8">
      <w:pPr>
        <w:autoSpaceDE w:val="0"/>
        <w:autoSpaceDN w:val="0"/>
        <w:adjustRightInd w:val="0"/>
        <w:spacing w:line="360" w:lineRule="auto"/>
        <w:jc w:val="right"/>
        <w:rPr>
          <w:rFonts w:ascii="宋体" w:hAnsi="宋体" w:cs="宋体"/>
          <w:color w:val="000000"/>
        </w:rPr>
      </w:pPr>
      <w:r>
        <w:rPr>
          <w:rFonts w:ascii="Times New Roman" w:hAnsi="Times New Roman"/>
          <w:kern w:val="0"/>
          <w:szCs w:val="21"/>
        </w:rPr>
        <w:t>2020</w:t>
      </w:r>
      <w:r>
        <w:rPr>
          <w:rFonts w:ascii="Times New Roman" w:hAnsi="Times New Roman" w:hint="eastAsia"/>
          <w:kern w:val="0"/>
          <w:szCs w:val="21"/>
        </w:rPr>
        <w:t>年</w:t>
      </w:r>
      <w:r>
        <w:rPr>
          <w:rFonts w:ascii="Times New Roman" w:hAnsi="Times New Roman"/>
          <w:kern w:val="0"/>
          <w:szCs w:val="21"/>
        </w:rPr>
        <w:t>6</w:t>
      </w:r>
      <w:r>
        <w:rPr>
          <w:rFonts w:ascii="Times New Roman" w:hAnsi="Times New Roman" w:hint="eastAsia"/>
          <w:kern w:val="0"/>
          <w:szCs w:val="21"/>
        </w:rPr>
        <w:t>月</w:t>
      </w:r>
      <w:r>
        <w:rPr>
          <w:rFonts w:ascii="Times New Roman" w:hAnsi="Times New Roman"/>
          <w:kern w:val="0"/>
          <w:szCs w:val="21"/>
        </w:rPr>
        <w:t>18</w:t>
      </w:r>
      <w:r>
        <w:rPr>
          <w:rFonts w:ascii="宋体" w:hAnsi="宋体" w:cs="宋体" w:hint="eastAsia"/>
          <w:color w:val="000000"/>
        </w:rPr>
        <w:t>日</w:t>
      </w:r>
    </w:p>
    <w:p w:rsidR="00B269BD" w:rsidRDefault="00B269BD">
      <w:pPr>
        <w:autoSpaceDE w:val="0"/>
        <w:autoSpaceDN w:val="0"/>
        <w:adjustRightInd w:val="0"/>
        <w:spacing w:line="460" w:lineRule="exact"/>
        <w:jc w:val="left"/>
        <w:rPr>
          <w:rFonts w:ascii="宋体" w:hAnsi="宋体" w:cs="宋体"/>
          <w:color w:val="000000"/>
        </w:rPr>
      </w:pPr>
    </w:p>
    <w:p w:rsidR="00B269BD" w:rsidRDefault="00B269BD">
      <w:pPr>
        <w:pStyle w:val="ab"/>
        <w:ind w:left="840" w:firstLineChars="0" w:firstLine="0"/>
      </w:pPr>
    </w:p>
    <w:sectPr w:rsidR="00B269BD" w:rsidSect="00B269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FA8" w:rsidRDefault="00453FA8" w:rsidP="00453FA8">
      <w:r>
        <w:separator/>
      </w:r>
    </w:p>
  </w:endnote>
  <w:endnote w:type="continuationSeparator" w:id="0">
    <w:p w:rsidR="00453FA8" w:rsidRDefault="00453FA8" w:rsidP="00453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FA8" w:rsidRDefault="00453FA8" w:rsidP="00453FA8">
      <w:r>
        <w:separator/>
      </w:r>
    </w:p>
  </w:footnote>
  <w:footnote w:type="continuationSeparator" w:id="0">
    <w:p w:rsidR="00453FA8" w:rsidRDefault="00453FA8" w:rsidP="00453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9018"/>
    <w:multiLevelType w:val="singleLevel"/>
    <w:tmpl w:val="024F9018"/>
    <w:lvl w:ilvl="0">
      <w:start w:val="1"/>
      <w:numFmt w:val="chineseCounting"/>
      <w:suff w:val="nothing"/>
      <w:lvlText w:val="%1、"/>
      <w:lvlJc w:val="left"/>
      <w:rPr>
        <w:rFonts w:hint="eastAsia"/>
      </w:rPr>
    </w:lvl>
  </w:abstractNum>
  <w:abstractNum w:abstractNumId="1">
    <w:nsid w:val="46660994"/>
    <w:multiLevelType w:val="multilevel"/>
    <w:tmpl w:val="46660994"/>
    <w:lvl w:ilvl="0">
      <w:start w:val="1"/>
      <w:numFmt w:val="decimal"/>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EB02E97"/>
    <w:multiLevelType w:val="multilevel"/>
    <w:tmpl w:val="6EB02E97"/>
    <w:lvl w:ilvl="0">
      <w:start w:val="1"/>
      <w:numFmt w:val="decimal"/>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0081"/>
    <w:rsid w:val="00030322"/>
    <w:rsid w:val="000356C3"/>
    <w:rsid w:val="00043A9D"/>
    <w:rsid w:val="00044FE2"/>
    <w:rsid w:val="00071D28"/>
    <w:rsid w:val="000A642B"/>
    <w:rsid w:val="000B148B"/>
    <w:rsid w:val="000B703F"/>
    <w:rsid w:val="001210BF"/>
    <w:rsid w:val="00160D87"/>
    <w:rsid w:val="001972AC"/>
    <w:rsid w:val="001A47BF"/>
    <w:rsid w:val="001D5921"/>
    <w:rsid w:val="001F5D8B"/>
    <w:rsid w:val="00233EBA"/>
    <w:rsid w:val="00257E55"/>
    <w:rsid w:val="00267F59"/>
    <w:rsid w:val="002B7624"/>
    <w:rsid w:val="003229CE"/>
    <w:rsid w:val="00332F3E"/>
    <w:rsid w:val="00336555"/>
    <w:rsid w:val="003421E8"/>
    <w:rsid w:val="003539CF"/>
    <w:rsid w:val="00354249"/>
    <w:rsid w:val="00360081"/>
    <w:rsid w:val="003A7F11"/>
    <w:rsid w:val="003B170A"/>
    <w:rsid w:val="003C1642"/>
    <w:rsid w:val="003E13C2"/>
    <w:rsid w:val="003F5CD9"/>
    <w:rsid w:val="003F7120"/>
    <w:rsid w:val="004132BF"/>
    <w:rsid w:val="00422590"/>
    <w:rsid w:val="004310DA"/>
    <w:rsid w:val="00433B18"/>
    <w:rsid w:val="00453FA8"/>
    <w:rsid w:val="00455CBE"/>
    <w:rsid w:val="004A08D9"/>
    <w:rsid w:val="004A5D1D"/>
    <w:rsid w:val="004C5C78"/>
    <w:rsid w:val="004F6484"/>
    <w:rsid w:val="00516F20"/>
    <w:rsid w:val="005414C7"/>
    <w:rsid w:val="005447DA"/>
    <w:rsid w:val="00553A6A"/>
    <w:rsid w:val="00594ED2"/>
    <w:rsid w:val="005A5744"/>
    <w:rsid w:val="005B0CFB"/>
    <w:rsid w:val="005C07C2"/>
    <w:rsid w:val="005E2CF2"/>
    <w:rsid w:val="005E7363"/>
    <w:rsid w:val="00612E58"/>
    <w:rsid w:val="00631FDD"/>
    <w:rsid w:val="00654AB5"/>
    <w:rsid w:val="0070174D"/>
    <w:rsid w:val="00706CB1"/>
    <w:rsid w:val="00715E1E"/>
    <w:rsid w:val="00720630"/>
    <w:rsid w:val="00731B7F"/>
    <w:rsid w:val="00735049"/>
    <w:rsid w:val="00744109"/>
    <w:rsid w:val="00745F66"/>
    <w:rsid w:val="00751E53"/>
    <w:rsid w:val="00765298"/>
    <w:rsid w:val="007823D0"/>
    <w:rsid w:val="007B313B"/>
    <w:rsid w:val="007B44AE"/>
    <w:rsid w:val="007E7AC2"/>
    <w:rsid w:val="007F6C7E"/>
    <w:rsid w:val="0080048F"/>
    <w:rsid w:val="00814750"/>
    <w:rsid w:val="008244FD"/>
    <w:rsid w:val="00840B64"/>
    <w:rsid w:val="008437EA"/>
    <w:rsid w:val="00852237"/>
    <w:rsid w:val="008609BF"/>
    <w:rsid w:val="00887F97"/>
    <w:rsid w:val="008A066C"/>
    <w:rsid w:val="00923770"/>
    <w:rsid w:val="009353BB"/>
    <w:rsid w:val="0094586F"/>
    <w:rsid w:val="00951B97"/>
    <w:rsid w:val="00951E04"/>
    <w:rsid w:val="00981CE1"/>
    <w:rsid w:val="00983D5B"/>
    <w:rsid w:val="00987B78"/>
    <w:rsid w:val="009B0D57"/>
    <w:rsid w:val="009E5907"/>
    <w:rsid w:val="009E6C9C"/>
    <w:rsid w:val="00A14D46"/>
    <w:rsid w:val="00A21FD9"/>
    <w:rsid w:val="00A5239D"/>
    <w:rsid w:val="00A57337"/>
    <w:rsid w:val="00A82765"/>
    <w:rsid w:val="00A90FE8"/>
    <w:rsid w:val="00AB6ECA"/>
    <w:rsid w:val="00AD7100"/>
    <w:rsid w:val="00B1738D"/>
    <w:rsid w:val="00B269BD"/>
    <w:rsid w:val="00B32F85"/>
    <w:rsid w:val="00B41E34"/>
    <w:rsid w:val="00BB216E"/>
    <w:rsid w:val="00C14791"/>
    <w:rsid w:val="00C17AA3"/>
    <w:rsid w:val="00C367CE"/>
    <w:rsid w:val="00C65B0A"/>
    <w:rsid w:val="00C75F53"/>
    <w:rsid w:val="00C85746"/>
    <w:rsid w:val="00CD1E0B"/>
    <w:rsid w:val="00CD7FB0"/>
    <w:rsid w:val="00CE7CE8"/>
    <w:rsid w:val="00CF37D2"/>
    <w:rsid w:val="00D11B9E"/>
    <w:rsid w:val="00D50ADD"/>
    <w:rsid w:val="00D65C0E"/>
    <w:rsid w:val="00D935D2"/>
    <w:rsid w:val="00D96F9F"/>
    <w:rsid w:val="00DD5E13"/>
    <w:rsid w:val="00DE2A2D"/>
    <w:rsid w:val="00DF5F5D"/>
    <w:rsid w:val="00E00FBD"/>
    <w:rsid w:val="00E1545B"/>
    <w:rsid w:val="00E81336"/>
    <w:rsid w:val="00E83214"/>
    <w:rsid w:val="00E87B81"/>
    <w:rsid w:val="00E96C1F"/>
    <w:rsid w:val="00EC1539"/>
    <w:rsid w:val="00ED7781"/>
    <w:rsid w:val="00F1074D"/>
    <w:rsid w:val="00F355A2"/>
    <w:rsid w:val="00F53191"/>
    <w:rsid w:val="00F65674"/>
    <w:rsid w:val="00F8755A"/>
    <w:rsid w:val="00F878FF"/>
    <w:rsid w:val="00FA0685"/>
    <w:rsid w:val="00FA113E"/>
    <w:rsid w:val="00FB2219"/>
    <w:rsid w:val="00FB2293"/>
    <w:rsid w:val="00FC4F34"/>
    <w:rsid w:val="16147E05"/>
    <w:rsid w:val="1AD40D18"/>
    <w:rsid w:val="20D95E9A"/>
    <w:rsid w:val="4AB26D47"/>
    <w:rsid w:val="6DC33353"/>
    <w:rsid w:val="766919A8"/>
    <w:rsid w:val="7DB011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B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269BD"/>
    <w:pPr>
      <w:jc w:val="left"/>
    </w:pPr>
  </w:style>
  <w:style w:type="paragraph" w:styleId="a4">
    <w:name w:val="Balloon Text"/>
    <w:basedOn w:val="a"/>
    <w:link w:val="Char0"/>
    <w:uiPriority w:val="99"/>
    <w:semiHidden/>
    <w:unhideWhenUsed/>
    <w:qFormat/>
    <w:rsid w:val="00B269BD"/>
    <w:rPr>
      <w:sz w:val="18"/>
      <w:szCs w:val="18"/>
    </w:rPr>
  </w:style>
  <w:style w:type="paragraph" w:styleId="a5">
    <w:name w:val="footer"/>
    <w:basedOn w:val="a"/>
    <w:link w:val="Char1"/>
    <w:uiPriority w:val="99"/>
    <w:unhideWhenUsed/>
    <w:qFormat/>
    <w:rsid w:val="00B269B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269B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B269BD"/>
    <w:rPr>
      <w:b/>
      <w:bCs/>
    </w:rPr>
  </w:style>
  <w:style w:type="table" w:styleId="a8">
    <w:name w:val="Table Grid"/>
    <w:basedOn w:val="a1"/>
    <w:uiPriority w:val="59"/>
    <w:qFormat/>
    <w:rsid w:val="00B26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qFormat/>
    <w:rsid w:val="00B269BD"/>
    <w:rPr>
      <w:color w:val="0000FF"/>
      <w:u w:val="single"/>
    </w:rPr>
  </w:style>
  <w:style w:type="character" w:styleId="aa">
    <w:name w:val="annotation reference"/>
    <w:basedOn w:val="a0"/>
    <w:uiPriority w:val="99"/>
    <w:semiHidden/>
    <w:unhideWhenUsed/>
    <w:qFormat/>
    <w:rsid w:val="00B269BD"/>
    <w:rPr>
      <w:sz w:val="21"/>
      <w:szCs w:val="21"/>
    </w:rPr>
  </w:style>
  <w:style w:type="paragraph" w:styleId="ab">
    <w:name w:val="List Paragraph"/>
    <w:basedOn w:val="a"/>
    <w:uiPriority w:val="34"/>
    <w:qFormat/>
    <w:rsid w:val="00B269BD"/>
    <w:pPr>
      <w:ind w:firstLineChars="200" w:firstLine="420"/>
    </w:pPr>
  </w:style>
  <w:style w:type="character" w:customStyle="1" w:styleId="Char2">
    <w:name w:val="页眉 Char"/>
    <w:basedOn w:val="a0"/>
    <w:link w:val="a6"/>
    <w:uiPriority w:val="99"/>
    <w:qFormat/>
    <w:rsid w:val="00B269BD"/>
    <w:rPr>
      <w:sz w:val="18"/>
      <w:szCs w:val="18"/>
    </w:rPr>
  </w:style>
  <w:style w:type="character" w:customStyle="1" w:styleId="Char1">
    <w:name w:val="页脚 Char"/>
    <w:basedOn w:val="a0"/>
    <w:link w:val="a5"/>
    <w:uiPriority w:val="99"/>
    <w:qFormat/>
    <w:rsid w:val="00B269BD"/>
    <w:rPr>
      <w:sz w:val="18"/>
      <w:szCs w:val="18"/>
    </w:rPr>
  </w:style>
  <w:style w:type="character" w:customStyle="1" w:styleId="Char0">
    <w:name w:val="批注框文本 Char"/>
    <w:basedOn w:val="a0"/>
    <w:link w:val="a4"/>
    <w:uiPriority w:val="99"/>
    <w:semiHidden/>
    <w:qFormat/>
    <w:rsid w:val="00B269BD"/>
    <w:rPr>
      <w:sz w:val="18"/>
      <w:szCs w:val="18"/>
    </w:rPr>
  </w:style>
  <w:style w:type="character" w:customStyle="1" w:styleId="Char">
    <w:name w:val="批注文字 Char"/>
    <w:basedOn w:val="a0"/>
    <w:link w:val="a3"/>
    <w:uiPriority w:val="99"/>
    <w:semiHidden/>
    <w:qFormat/>
    <w:rsid w:val="00B269BD"/>
  </w:style>
  <w:style w:type="character" w:customStyle="1" w:styleId="Char3">
    <w:name w:val="批注主题 Char"/>
    <w:basedOn w:val="Char"/>
    <w:link w:val="a7"/>
    <w:uiPriority w:val="99"/>
    <w:semiHidden/>
    <w:qFormat/>
    <w:rsid w:val="00B269BD"/>
    <w:rPr>
      <w:b/>
      <w:bCs/>
    </w:rPr>
  </w:style>
  <w:style w:type="paragraph" w:customStyle="1" w:styleId="1">
    <w:name w:val="修订1"/>
    <w:hidden/>
    <w:uiPriority w:val="99"/>
    <w:semiHidden/>
    <w:qFormat/>
    <w:rsid w:val="00B269BD"/>
    <w:rPr>
      <w:rFonts w:asciiTheme="minorHAnsi" w:eastAsiaTheme="minorEastAsia" w:hAnsiTheme="minorHAnsi" w:cstheme="minorBidi"/>
      <w:kern w:val="2"/>
      <w:sz w:val="21"/>
      <w:szCs w:val="22"/>
    </w:rPr>
  </w:style>
  <w:style w:type="paragraph" w:customStyle="1" w:styleId="2">
    <w:name w:val="修订2"/>
    <w:hidden/>
    <w:uiPriority w:val="99"/>
    <w:semiHidden/>
    <w:qFormat/>
    <w:rsid w:val="00B269BD"/>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14FD11-FE9F-4B11-8AE3-510571D3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1367</Characters>
  <Application>Microsoft Office Word</Application>
  <DocSecurity>4</DocSecurity>
  <Lines>11</Lines>
  <Paragraphs>3</Paragraphs>
  <ScaleCrop>false</ScaleCrop>
  <Company>CNSTOCK</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min.lu</dc:creator>
  <cp:lastModifiedBy>ZHONGM</cp:lastModifiedBy>
  <cp:revision>2</cp:revision>
  <dcterms:created xsi:type="dcterms:W3CDTF">2020-06-17T16:02:00Z</dcterms:created>
  <dcterms:modified xsi:type="dcterms:W3CDTF">2020-06-17T16:02:00Z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