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4D" w:rsidRPr="006C0B9A" w:rsidRDefault="0026264D" w:rsidP="006C0B9A">
      <w:pPr>
        <w:spacing w:line="360" w:lineRule="auto"/>
        <w:jc w:val="center"/>
        <w:rPr>
          <w:rFonts w:asciiTheme="minorEastAsia" w:hAnsiTheme="minorEastAsia"/>
          <w:b/>
          <w:sz w:val="28"/>
          <w:szCs w:val="28"/>
        </w:rPr>
      </w:pPr>
      <w:bookmarkStart w:id="0" w:name="_GoBack"/>
      <w:bookmarkEnd w:id="0"/>
      <w:r w:rsidRPr="006C0B9A">
        <w:rPr>
          <w:rFonts w:asciiTheme="minorEastAsia" w:hAnsiTheme="minorEastAsia" w:hint="eastAsia"/>
          <w:b/>
          <w:sz w:val="28"/>
          <w:szCs w:val="28"/>
        </w:rPr>
        <w:t>信诚新双盈分级债券型证券投资基金赎回选择期及开放赎回、转换转出业务的</w:t>
      </w:r>
      <w:r w:rsidR="005072CB">
        <w:rPr>
          <w:rFonts w:asciiTheme="minorEastAsia" w:hAnsiTheme="minorEastAsia" w:hint="eastAsia"/>
          <w:b/>
          <w:sz w:val="28"/>
          <w:szCs w:val="28"/>
        </w:rPr>
        <w:t>第</w:t>
      </w:r>
      <w:r w:rsidR="0002151D">
        <w:rPr>
          <w:rFonts w:asciiTheme="minorEastAsia" w:hAnsiTheme="minorEastAsia" w:hint="eastAsia"/>
          <w:b/>
          <w:sz w:val="28"/>
          <w:szCs w:val="28"/>
        </w:rPr>
        <w:t>二</w:t>
      </w:r>
      <w:r w:rsidR="005072CB">
        <w:rPr>
          <w:rFonts w:asciiTheme="minorEastAsia" w:hAnsiTheme="minorEastAsia" w:hint="eastAsia"/>
          <w:b/>
          <w:sz w:val="28"/>
          <w:szCs w:val="28"/>
        </w:rPr>
        <w:t>次</w:t>
      </w:r>
      <w:r w:rsidRPr="006C0B9A">
        <w:rPr>
          <w:rFonts w:asciiTheme="minorEastAsia" w:hAnsiTheme="minorEastAsia" w:hint="eastAsia"/>
          <w:b/>
          <w:sz w:val="28"/>
          <w:szCs w:val="28"/>
        </w:rPr>
        <w:t>提示性公告</w:t>
      </w:r>
    </w:p>
    <w:p w:rsidR="0026264D" w:rsidRDefault="0026264D" w:rsidP="0026264D">
      <w:pPr>
        <w:spacing w:line="360" w:lineRule="auto"/>
        <w:rPr>
          <w:rFonts w:asciiTheme="minorEastAsia" w:hAnsiTheme="minorEastAsia"/>
        </w:rPr>
      </w:pPr>
    </w:p>
    <w:p w:rsidR="006C0B9A" w:rsidRPr="006C0B9A" w:rsidRDefault="006C0B9A" w:rsidP="006C0B9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中信保诚</w:t>
      </w:r>
      <w:r w:rsidRPr="006C0B9A">
        <w:rPr>
          <w:rFonts w:asciiTheme="minorEastAsia" w:hAnsiTheme="minorEastAsia" w:hint="eastAsia"/>
          <w:sz w:val="24"/>
          <w:szCs w:val="24"/>
        </w:rPr>
        <w:t>基金管理有限公司（以下简称“本基金管理人”）旗下信诚新双盈分级债券型证券投资基金（以下简称“本基金”）以通讯方式召开了基金份额持有人大会。本次基金份额持有人大会于2020年</w:t>
      </w:r>
      <w:r>
        <w:rPr>
          <w:rFonts w:asciiTheme="minorEastAsia" w:hAnsiTheme="minorEastAsia" w:hint="eastAsia"/>
          <w:sz w:val="24"/>
          <w:szCs w:val="24"/>
        </w:rPr>
        <w:t>6</w:t>
      </w:r>
      <w:r w:rsidRPr="006C0B9A">
        <w:rPr>
          <w:rFonts w:asciiTheme="minorEastAsia" w:hAnsiTheme="minorEastAsia" w:hint="eastAsia"/>
          <w:sz w:val="24"/>
          <w:szCs w:val="24"/>
        </w:rPr>
        <w:t>月1</w:t>
      </w:r>
      <w:r>
        <w:rPr>
          <w:rFonts w:asciiTheme="minorEastAsia" w:hAnsiTheme="minorEastAsia" w:hint="eastAsia"/>
          <w:sz w:val="24"/>
          <w:szCs w:val="24"/>
        </w:rPr>
        <w:t>5</w:t>
      </w:r>
      <w:r w:rsidRPr="006C0B9A">
        <w:rPr>
          <w:rFonts w:asciiTheme="minorEastAsia" w:hAnsiTheme="minorEastAsia" w:hint="eastAsia"/>
          <w:sz w:val="24"/>
          <w:szCs w:val="24"/>
        </w:rPr>
        <w:t>日表决通过了《关于终止信诚新双盈分级债券型证券投资基金基金合同有关事项的议案》，本次大会决议自该日起生效。</w:t>
      </w:r>
    </w:p>
    <w:p w:rsidR="006C0B9A" w:rsidRDefault="006C0B9A" w:rsidP="006C0B9A">
      <w:pPr>
        <w:spacing w:line="360" w:lineRule="auto"/>
        <w:ind w:firstLineChars="200" w:firstLine="480"/>
        <w:rPr>
          <w:rFonts w:asciiTheme="minorEastAsia" w:hAnsiTheme="minorEastAsia"/>
          <w:sz w:val="24"/>
          <w:szCs w:val="24"/>
        </w:rPr>
      </w:pPr>
      <w:r w:rsidRPr="006C0B9A">
        <w:rPr>
          <w:rFonts w:asciiTheme="minorEastAsia" w:hAnsiTheme="minorEastAsia" w:hint="eastAsia"/>
          <w:sz w:val="24"/>
          <w:szCs w:val="24"/>
        </w:rPr>
        <w:t>基金份额持有人大会表决结果暨决议生效的公告详见2020年</w:t>
      </w:r>
      <w:r>
        <w:rPr>
          <w:rFonts w:asciiTheme="minorEastAsia" w:hAnsiTheme="minorEastAsia" w:hint="eastAsia"/>
          <w:sz w:val="24"/>
          <w:szCs w:val="24"/>
        </w:rPr>
        <w:t>6</w:t>
      </w:r>
      <w:r w:rsidRPr="006C0B9A">
        <w:rPr>
          <w:rFonts w:asciiTheme="minorEastAsia" w:hAnsiTheme="minorEastAsia" w:hint="eastAsia"/>
          <w:sz w:val="24"/>
          <w:szCs w:val="24"/>
        </w:rPr>
        <w:t>月1</w:t>
      </w:r>
      <w:r>
        <w:rPr>
          <w:rFonts w:asciiTheme="minorEastAsia" w:hAnsiTheme="minorEastAsia" w:hint="eastAsia"/>
          <w:sz w:val="24"/>
          <w:szCs w:val="24"/>
        </w:rPr>
        <w:t>6</w:t>
      </w:r>
      <w:r w:rsidRPr="006C0B9A">
        <w:rPr>
          <w:rFonts w:asciiTheme="minorEastAsia" w:hAnsiTheme="minorEastAsia" w:hint="eastAsia"/>
          <w:sz w:val="24"/>
          <w:szCs w:val="24"/>
        </w:rPr>
        <w:t>日刊登在</w:t>
      </w:r>
      <w:r w:rsidRPr="00ED605A">
        <w:rPr>
          <w:rFonts w:asciiTheme="minorEastAsia" w:hAnsiTheme="minorEastAsia" w:hint="eastAsia"/>
          <w:sz w:val="24"/>
          <w:szCs w:val="24"/>
        </w:rPr>
        <w:t>《上海证券报》</w:t>
      </w:r>
      <w:r w:rsidRPr="006C0B9A">
        <w:rPr>
          <w:rFonts w:asciiTheme="minorEastAsia" w:hAnsiTheme="minorEastAsia" w:hint="eastAsia"/>
          <w:sz w:val="24"/>
          <w:szCs w:val="24"/>
        </w:rPr>
        <w:t>及基金管理人网站（</w:t>
      </w:r>
      <w:r w:rsidR="005072CB" w:rsidRPr="005072CB">
        <w:rPr>
          <w:rFonts w:ascii="Times New Roman" w:eastAsia="宋体" w:hAnsi="Times New Roman" w:cs="Times New Roman" w:hint="eastAsia"/>
          <w:sz w:val="24"/>
          <w:szCs w:val="24"/>
        </w:rPr>
        <w:t>http://www.citicprufunds.com.cn/</w:t>
      </w:r>
      <w:r w:rsidRPr="006C0B9A">
        <w:rPr>
          <w:rFonts w:asciiTheme="minorEastAsia" w:hAnsiTheme="minorEastAsia" w:hint="eastAsia"/>
          <w:sz w:val="24"/>
          <w:szCs w:val="24"/>
        </w:rPr>
        <w:t>）上的《中信保诚基金管理有限公司关于信诚新双盈分级债券型证券投资基金基金份额持有人大会表决结果暨决议生效的公告》。</w:t>
      </w:r>
      <w:r w:rsidR="00555416">
        <w:rPr>
          <w:rFonts w:asciiTheme="minorEastAsia" w:hAnsiTheme="minorEastAsia" w:hint="eastAsia"/>
          <w:sz w:val="24"/>
          <w:szCs w:val="24"/>
        </w:rPr>
        <w:t>《</w:t>
      </w:r>
      <w:r w:rsidR="00555416" w:rsidRPr="00555416">
        <w:rPr>
          <w:rFonts w:asciiTheme="minorEastAsia" w:hAnsiTheme="minorEastAsia" w:hint="eastAsia"/>
          <w:sz w:val="24"/>
          <w:szCs w:val="24"/>
        </w:rPr>
        <w:t>信诚新双盈分级债券型证券投资基金赎回选择期及开放赎回、转换转出业务的第一次提示性公告</w:t>
      </w:r>
      <w:r w:rsidR="00555416">
        <w:rPr>
          <w:rFonts w:asciiTheme="minorEastAsia" w:hAnsiTheme="minorEastAsia" w:hint="eastAsia"/>
          <w:sz w:val="24"/>
          <w:szCs w:val="24"/>
        </w:rPr>
        <w:t>》已刊登在</w:t>
      </w:r>
      <w:r w:rsidR="00555416" w:rsidRPr="006C0B9A">
        <w:rPr>
          <w:rFonts w:asciiTheme="minorEastAsia" w:hAnsiTheme="minorEastAsia" w:hint="eastAsia"/>
          <w:sz w:val="24"/>
          <w:szCs w:val="24"/>
        </w:rPr>
        <w:t>2020年</w:t>
      </w:r>
      <w:r w:rsidR="00555416">
        <w:rPr>
          <w:rFonts w:asciiTheme="minorEastAsia" w:hAnsiTheme="minorEastAsia" w:hint="eastAsia"/>
          <w:sz w:val="24"/>
          <w:szCs w:val="24"/>
        </w:rPr>
        <w:t>6</w:t>
      </w:r>
      <w:r w:rsidR="00555416" w:rsidRPr="006C0B9A">
        <w:rPr>
          <w:rFonts w:asciiTheme="minorEastAsia" w:hAnsiTheme="minorEastAsia" w:hint="eastAsia"/>
          <w:sz w:val="24"/>
          <w:szCs w:val="24"/>
        </w:rPr>
        <w:t>月1</w:t>
      </w:r>
      <w:r w:rsidR="00555416">
        <w:rPr>
          <w:rFonts w:asciiTheme="minorEastAsia" w:hAnsiTheme="minorEastAsia" w:hint="eastAsia"/>
          <w:sz w:val="24"/>
          <w:szCs w:val="24"/>
        </w:rPr>
        <w:t>7</w:t>
      </w:r>
      <w:r w:rsidR="00555416" w:rsidRPr="006C0B9A">
        <w:rPr>
          <w:rFonts w:asciiTheme="minorEastAsia" w:hAnsiTheme="minorEastAsia" w:hint="eastAsia"/>
          <w:sz w:val="24"/>
          <w:szCs w:val="24"/>
        </w:rPr>
        <w:t>日</w:t>
      </w:r>
      <w:r w:rsidR="00555416" w:rsidRPr="00ED605A">
        <w:rPr>
          <w:rFonts w:asciiTheme="minorEastAsia" w:hAnsiTheme="minorEastAsia" w:hint="eastAsia"/>
          <w:sz w:val="24"/>
          <w:szCs w:val="24"/>
        </w:rPr>
        <w:t>《上海证券报》</w:t>
      </w:r>
      <w:r w:rsidR="00555416" w:rsidRPr="006C0B9A">
        <w:rPr>
          <w:rFonts w:asciiTheme="minorEastAsia" w:hAnsiTheme="minorEastAsia" w:hint="eastAsia"/>
          <w:sz w:val="24"/>
          <w:szCs w:val="24"/>
        </w:rPr>
        <w:t>及基金管理人网站（</w:t>
      </w:r>
      <w:r w:rsidR="00555416" w:rsidRPr="005072CB">
        <w:rPr>
          <w:rFonts w:ascii="Times New Roman" w:eastAsia="宋体" w:hAnsi="Times New Roman" w:cs="Times New Roman" w:hint="eastAsia"/>
          <w:sz w:val="24"/>
          <w:szCs w:val="24"/>
        </w:rPr>
        <w:t>http://www.citicprufunds.com.cn/</w:t>
      </w:r>
      <w:r w:rsidR="00555416" w:rsidRPr="006C0B9A">
        <w:rPr>
          <w:rFonts w:asciiTheme="minorEastAsia" w:hAnsiTheme="minorEastAsia" w:hint="eastAsia"/>
          <w:sz w:val="24"/>
          <w:szCs w:val="24"/>
        </w:rPr>
        <w:t>）</w:t>
      </w:r>
      <w:r w:rsidR="00555416">
        <w:rPr>
          <w:rFonts w:asciiTheme="minorEastAsia" w:hAnsiTheme="minorEastAsia" w:hint="eastAsia"/>
          <w:sz w:val="24"/>
          <w:szCs w:val="24"/>
        </w:rPr>
        <w:t>。现</w:t>
      </w:r>
      <w:r w:rsidR="00555416" w:rsidRPr="002152D2">
        <w:rPr>
          <w:rFonts w:asciiTheme="minorEastAsia" w:hAnsiTheme="minorEastAsia" w:hint="eastAsia"/>
          <w:sz w:val="24"/>
          <w:szCs w:val="24"/>
        </w:rPr>
        <w:t>发布赎回选择期及开放赎回、转换转出业务的第</w:t>
      </w:r>
      <w:r w:rsidR="00555416">
        <w:rPr>
          <w:rFonts w:asciiTheme="minorEastAsia" w:hAnsiTheme="minorEastAsia" w:hint="eastAsia"/>
          <w:sz w:val="24"/>
          <w:szCs w:val="24"/>
        </w:rPr>
        <w:t>二</w:t>
      </w:r>
      <w:r w:rsidR="00555416" w:rsidRPr="002152D2">
        <w:rPr>
          <w:rFonts w:asciiTheme="minorEastAsia" w:hAnsiTheme="minorEastAsia" w:hint="eastAsia"/>
          <w:sz w:val="24"/>
          <w:szCs w:val="24"/>
        </w:rPr>
        <w:t>次提示性公告。</w:t>
      </w:r>
    </w:p>
    <w:p w:rsidR="0026264D" w:rsidRPr="003B3549" w:rsidRDefault="0026264D" w:rsidP="003B3549">
      <w:pPr>
        <w:spacing w:line="360" w:lineRule="auto"/>
        <w:ind w:firstLineChars="200" w:firstLine="482"/>
        <w:rPr>
          <w:rFonts w:asciiTheme="minorEastAsia" w:hAnsiTheme="minorEastAsia"/>
          <w:b/>
          <w:sz w:val="24"/>
          <w:szCs w:val="24"/>
        </w:rPr>
      </w:pPr>
      <w:r w:rsidRPr="003B3549">
        <w:rPr>
          <w:rFonts w:asciiTheme="minorEastAsia" w:hAnsiTheme="minorEastAsia" w:hint="eastAsia"/>
          <w:b/>
          <w:sz w:val="24"/>
          <w:szCs w:val="24"/>
        </w:rPr>
        <w:t>1、赎回选择期赎回及转换转出业务的办理时间</w:t>
      </w:r>
    </w:p>
    <w:p w:rsidR="00DA6FA1" w:rsidRPr="0026264D" w:rsidRDefault="0026264D" w:rsidP="0026264D">
      <w:pPr>
        <w:spacing w:line="360" w:lineRule="auto"/>
        <w:ind w:firstLineChars="200" w:firstLine="480"/>
        <w:rPr>
          <w:rFonts w:asciiTheme="minorEastAsia" w:hAnsiTheme="minorEastAsia"/>
          <w:sz w:val="24"/>
          <w:szCs w:val="24"/>
        </w:rPr>
      </w:pPr>
      <w:r w:rsidRPr="0026264D">
        <w:rPr>
          <w:rFonts w:asciiTheme="minorEastAsia" w:hAnsiTheme="minorEastAsia" w:hint="eastAsia"/>
          <w:sz w:val="24"/>
          <w:szCs w:val="24"/>
        </w:rPr>
        <w:t>根据《关于信诚新双盈分级债券型证券投资基金基金份额持有人大会表决结果暨决议生效的公告》约定，本次基金份额持有人大会决议生效后，本基金安排5个工作日的赎回选择期，即自2020年6月16日起至2020年6月22日止。在赎回选择期期间，本基金份额持有人仅可办理赎回及转换转出业务，不可以办理申购和转换转入业务。赎回场所为基金管理人的直销网点及基金非直销销售机构的销售网点，具体办理时间为上海证券交易所、深圳证券交易所的正常交易日的交易时间，但基金管理人根据法律法规、中国证监会的要求或基金合同的规定公告暂停本基金的赎回时除外。</w:t>
      </w:r>
    </w:p>
    <w:p w:rsidR="003B3549" w:rsidRPr="003B3549" w:rsidRDefault="003B3549" w:rsidP="003B3549">
      <w:pPr>
        <w:spacing w:line="360" w:lineRule="auto"/>
        <w:ind w:firstLineChars="200" w:firstLine="482"/>
        <w:rPr>
          <w:rFonts w:asciiTheme="minorEastAsia" w:hAnsiTheme="minorEastAsia"/>
          <w:b/>
          <w:sz w:val="24"/>
          <w:szCs w:val="24"/>
        </w:rPr>
      </w:pPr>
      <w:r w:rsidRPr="003B3549">
        <w:rPr>
          <w:rFonts w:asciiTheme="minorEastAsia" w:hAnsiTheme="minorEastAsia" w:hint="eastAsia"/>
          <w:b/>
          <w:sz w:val="24"/>
          <w:szCs w:val="24"/>
        </w:rPr>
        <w:t>2、赎回的原则</w:t>
      </w:r>
    </w:p>
    <w:p w:rsidR="003B3549" w:rsidRPr="003B3549" w:rsidRDefault="003B3549" w:rsidP="003B354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Pr="003B3549">
        <w:rPr>
          <w:rFonts w:asciiTheme="minorEastAsia" w:hAnsiTheme="minorEastAsia" w:hint="eastAsia"/>
          <w:sz w:val="24"/>
          <w:szCs w:val="24"/>
        </w:rPr>
        <w:t>新双盈A</w:t>
      </w:r>
      <w:r w:rsidR="00F031D4">
        <w:rPr>
          <w:rFonts w:asciiTheme="minorEastAsia" w:hAnsiTheme="minorEastAsia" w:hint="eastAsia"/>
          <w:sz w:val="24"/>
          <w:szCs w:val="24"/>
        </w:rPr>
        <w:t>和</w:t>
      </w:r>
      <w:r w:rsidRPr="003B3549">
        <w:rPr>
          <w:rFonts w:asciiTheme="minorEastAsia" w:hAnsiTheme="minorEastAsia" w:hint="eastAsia"/>
          <w:sz w:val="24"/>
          <w:szCs w:val="24"/>
        </w:rPr>
        <w:t>新双盈B</w:t>
      </w:r>
      <w:r w:rsidR="00F031D4">
        <w:rPr>
          <w:rFonts w:asciiTheme="minorEastAsia" w:hAnsiTheme="minorEastAsia" w:hint="eastAsia"/>
          <w:sz w:val="24"/>
          <w:szCs w:val="24"/>
        </w:rPr>
        <w:t>均</w:t>
      </w:r>
      <w:r w:rsidRPr="003B3549">
        <w:rPr>
          <w:rFonts w:asciiTheme="minorEastAsia" w:hAnsiTheme="minorEastAsia" w:hint="eastAsia"/>
          <w:sz w:val="24"/>
          <w:szCs w:val="24"/>
        </w:rPr>
        <w:t>采用 “未知价”原则，即基金份额的赎回价格以受理申请当日基金份额净值为基准进行计算；</w:t>
      </w:r>
    </w:p>
    <w:p w:rsidR="003B3549" w:rsidRPr="003B3549" w:rsidRDefault="003B3549" w:rsidP="003B354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Pr="003B3549">
        <w:rPr>
          <w:rFonts w:asciiTheme="minorEastAsia" w:hAnsiTheme="minorEastAsia" w:hint="eastAsia"/>
          <w:sz w:val="24"/>
          <w:szCs w:val="24"/>
        </w:rPr>
        <w:t>采用份额赎回的方式，即赎回以份额申请；</w:t>
      </w:r>
    </w:p>
    <w:p w:rsidR="003B3549" w:rsidRPr="003B3549" w:rsidRDefault="003B3549" w:rsidP="003B354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Pr="003B3549">
        <w:rPr>
          <w:rFonts w:asciiTheme="minorEastAsia" w:hAnsiTheme="minorEastAsia" w:hint="eastAsia"/>
          <w:sz w:val="24"/>
          <w:szCs w:val="24"/>
        </w:rPr>
        <w:t>赎回遵循“先进先出”原则，即按照投资人认购、申购的先后次序进</w:t>
      </w:r>
      <w:r w:rsidRPr="003B3549">
        <w:rPr>
          <w:rFonts w:asciiTheme="minorEastAsia" w:hAnsiTheme="minorEastAsia" w:hint="eastAsia"/>
          <w:sz w:val="24"/>
          <w:szCs w:val="24"/>
        </w:rPr>
        <w:lastRenderedPageBreak/>
        <w:t>行顺序赎回；</w:t>
      </w:r>
    </w:p>
    <w:p w:rsidR="003B3549" w:rsidRDefault="003B3549" w:rsidP="003B354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Pr="003B3549">
        <w:rPr>
          <w:rFonts w:asciiTheme="minorEastAsia" w:hAnsiTheme="minorEastAsia" w:hint="eastAsia"/>
          <w:sz w:val="24"/>
          <w:szCs w:val="24"/>
        </w:rPr>
        <w:t>当日的赎回申请可以在当日业务办理时间结束前撤销，在当日的业务办理时间结束后不得撤销；基金管理人、基金注册登记机构另有规定的，从其规定；</w:t>
      </w:r>
    </w:p>
    <w:p w:rsidR="003B3549" w:rsidRPr="003B3549" w:rsidRDefault="003B3549" w:rsidP="003B3549">
      <w:pPr>
        <w:spacing w:line="360" w:lineRule="auto"/>
        <w:ind w:firstLineChars="200" w:firstLine="480"/>
        <w:rPr>
          <w:rFonts w:asciiTheme="minorEastAsia" w:hAnsiTheme="minorEastAsia"/>
          <w:sz w:val="24"/>
          <w:szCs w:val="24"/>
        </w:rPr>
      </w:pPr>
      <w:r w:rsidRPr="003B3549">
        <w:rPr>
          <w:rFonts w:asciiTheme="minorEastAsia" w:hAnsiTheme="minorEastAsia" w:hint="eastAsia"/>
          <w:sz w:val="24"/>
          <w:szCs w:val="24"/>
        </w:rPr>
        <w:t>基金管理人可根据基金运作的实际情况依法对上述原则进行调整。基金管理人必须在新规则开始实施前依照《信息披露办法》的有关规定在指定媒介上公告。</w:t>
      </w:r>
    </w:p>
    <w:p w:rsidR="0026264D" w:rsidRPr="003B3549" w:rsidRDefault="00B016F2" w:rsidP="003B3549">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3</w:t>
      </w:r>
      <w:r w:rsidR="0026264D" w:rsidRPr="003B3549">
        <w:rPr>
          <w:rFonts w:asciiTheme="minorEastAsia" w:hAnsiTheme="minorEastAsia" w:hint="eastAsia"/>
          <w:b/>
          <w:sz w:val="24"/>
          <w:szCs w:val="24"/>
        </w:rPr>
        <w:t>、赎回份额限制</w:t>
      </w:r>
    </w:p>
    <w:p w:rsidR="0026264D" w:rsidRPr="001F3913" w:rsidRDefault="003B3549" w:rsidP="003B3549">
      <w:pPr>
        <w:spacing w:line="360" w:lineRule="auto"/>
        <w:ind w:firstLineChars="200" w:firstLine="480"/>
        <w:rPr>
          <w:rFonts w:asciiTheme="minorEastAsia" w:hAnsiTheme="minorEastAsia"/>
          <w:sz w:val="24"/>
          <w:szCs w:val="24"/>
        </w:rPr>
      </w:pPr>
      <w:r w:rsidRPr="003B3549">
        <w:rPr>
          <w:rFonts w:asciiTheme="minorEastAsia" w:hAnsiTheme="minorEastAsia" w:hint="eastAsia"/>
          <w:sz w:val="24"/>
          <w:szCs w:val="24"/>
        </w:rPr>
        <w:t>新双盈</w:t>
      </w:r>
      <w:r w:rsidRPr="001F3913">
        <w:rPr>
          <w:rFonts w:asciiTheme="minorEastAsia" w:hAnsiTheme="minorEastAsia" w:hint="eastAsia"/>
          <w:sz w:val="24"/>
          <w:szCs w:val="24"/>
        </w:rPr>
        <w:t>A或新双盈B按照份额进行赎回，申请赎回份额精确到小数点后两位，单笔赎回份额不得低于100 份。基金持有人赎回时或赎回后在销售机构（网点）保留的基金份额余额不足100 份的，在赎回时需一次全部赎回。</w:t>
      </w:r>
    </w:p>
    <w:p w:rsidR="003B3549" w:rsidRPr="0026264D" w:rsidRDefault="003B3549" w:rsidP="003B3549">
      <w:pPr>
        <w:spacing w:line="360" w:lineRule="auto"/>
        <w:ind w:firstLineChars="200" w:firstLine="480"/>
        <w:rPr>
          <w:rFonts w:asciiTheme="minorEastAsia" w:hAnsiTheme="minorEastAsia"/>
          <w:sz w:val="24"/>
          <w:szCs w:val="24"/>
        </w:rPr>
      </w:pPr>
      <w:r w:rsidRPr="001F3913">
        <w:rPr>
          <w:rFonts w:asciiTheme="minorEastAsia" w:hAnsiTheme="minorEastAsia" w:hint="eastAsia"/>
          <w:sz w:val="24"/>
          <w:szCs w:val="24"/>
        </w:rPr>
        <w:t>基金管理人可根据市场情况，在法律</w:t>
      </w:r>
      <w:r w:rsidRPr="003B3549">
        <w:rPr>
          <w:rFonts w:asciiTheme="minorEastAsia" w:hAnsiTheme="minorEastAsia" w:hint="eastAsia"/>
          <w:sz w:val="24"/>
          <w:szCs w:val="24"/>
        </w:rPr>
        <w:t>法规允许的情况下，调整对赎回份额的数量限制，基金管理人应在调整实施日前按照《信息披露办法》的有关规定在指定媒介上公告。</w:t>
      </w:r>
    </w:p>
    <w:p w:rsidR="003B3549" w:rsidRDefault="003B3549" w:rsidP="003B3549">
      <w:pPr>
        <w:spacing w:line="360" w:lineRule="auto"/>
        <w:ind w:firstLineChars="200" w:firstLine="480"/>
        <w:rPr>
          <w:rFonts w:asciiTheme="minorEastAsia" w:hAnsiTheme="minorEastAsia"/>
          <w:sz w:val="24"/>
          <w:szCs w:val="24"/>
        </w:rPr>
      </w:pPr>
      <w:r w:rsidRPr="003B3549">
        <w:rPr>
          <w:rFonts w:asciiTheme="minorEastAsia" w:hAnsiTheme="minorEastAsia" w:hint="eastAsia"/>
          <w:sz w:val="24"/>
          <w:szCs w:val="24"/>
        </w:rPr>
        <w:t>在符合法律法规规定的前提下，各销售机构对赎回份额限制有其他规定的，需同时遵循该销售机构的相关规定。</w:t>
      </w:r>
    </w:p>
    <w:p w:rsidR="0026264D" w:rsidRPr="00B016F2" w:rsidRDefault="00B016F2" w:rsidP="00B016F2">
      <w:pPr>
        <w:spacing w:line="360" w:lineRule="auto"/>
        <w:ind w:firstLineChars="200" w:firstLine="482"/>
        <w:rPr>
          <w:rFonts w:asciiTheme="minorEastAsia" w:hAnsiTheme="minorEastAsia"/>
          <w:b/>
          <w:sz w:val="24"/>
          <w:szCs w:val="24"/>
        </w:rPr>
      </w:pPr>
      <w:r w:rsidRPr="00B016F2">
        <w:rPr>
          <w:rFonts w:asciiTheme="minorEastAsia" w:hAnsiTheme="minorEastAsia" w:hint="eastAsia"/>
          <w:b/>
          <w:sz w:val="24"/>
          <w:szCs w:val="24"/>
        </w:rPr>
        <w:t>4</w:t>
      </w:r>
      <w:r w:rsidR="0026264D" w:rsidRPr="00B016F2">
        <w:rPr>
          <w:rFonts w:asciiTheme="minorEastAsia" w:hAnsiTheme="minorEastAsia" w:hint="eastAsia"/>
          <w:b/>
          <w:sz w:val="24"/>
          <w:szCs w:val="24"/>
        </w:rPr>
        <w:t>、赎回费用</w:t>
      </w:r>
    </w:p>
    <w:p w:rsidR="0026264D" w:rsidRPr="0026264D" w:rsidRDefault="0026264D" w:rsidP="0026264D">
      <w:pPr>
        <w:spacing w:line="360" w:lineRule="auto"/>
        <w:ind w:firstLineChars="200" w:firstLine="480"/>
        <w:rPr>
          <w:rFonts w:asciiTheme="minorEastAsia" w:hAnsiTheme="minorEastAsia"/>
          <w:sz w:val="24"/>
          <w:szCs w:val="24"/>
        </w:rPr>
      </w:pPr>
      <w:r w:rsidRPr="0026264D">
        <w:rPr>
          <w:rFonts w:asciiTheme="minorEastAsia" w:hAnsiTheme="minorEastAsia" w:hint="eastAsia"/>
          <w:sz w:val="24"/>
          <w:szCs w:val="24"/>
        </w:rPr>
        <w:t>赎回选择期期间，除对持有期少于7日的投资者收取1.5%的赎回费，并全额计入基金财产外，其余情况基金免收赎回费。</w:t>
      </w:r>
    </w:p>
    <w:p w:rsidR="00B016F2" w:rsidRPr="00B016F2" w:rsidRDefault="00B016F2" w:rsidP="00B016F2">
      <w:pPr>
        <w:spacing w:line="360" w:lineRule="auto"/>
        <w:ind w:firstLineChars="200" w:firstLine="482"/>
        <w:rPr>
          <w:rFonts w:asciiTheme="minorEastAsia" w:hAnsiTheme="minorEastAsia"/>
          <w:b/>
          <w:sz w:val="24"/>
          <w:szCs w:val="24"/>
        </w:rPr>
      </w:pPr>
      <w:r w:rsidRPr="00B016F2">
        <w:rPr>
          <w:rFonts w:asciiTheme="minorEastAsia" w:hAnsiTheme="minorEastAsia" w:hint="eastAsia"/>
          <w:b/>
          <w:sz w:val="24"/>
          <w:szCs w:val="24"/>
        </w:rPr>
        <w:t>5、</w:t>
      </w:r>
      <w:r>
        <w:rPr>
          <w:rFonts w:asciiTheme="minorEastAsia" w:hAnsiTheme="minorEastAsia" w:hint="eastAsia"/>
          <w:b/>
          <w:sz w:val="24"/>
          <w:szCs w:val="24"/>
        </w:rPr>
        <w:t>赎回的程序</w:t>
      </w:r>
    </w:p>
    <w:p w:rsidR="00B016F2" w:rsidRDefault="00B016F2" w:rsidP="00B016F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Pr="00B016F2">
        <w:rPr>
          <w:rFonts w:asciiTheme="minorEastAsia" w:hAnsiTheme="minorEastAsia" w:hint="eastAsia"/>
          <w:sz w:val="24"/>
          <w:szCs w:val="24"/>
        </w:rPr>
        <w:t>投资人须按销售机构规定的手续，在</w:t>
      </w:r>
      <w:r>
        <w:rPr>
          <w:rFonts w:asciiTheme="minorEastAsia" w:hAnsiTheme="minorEastAsia" w:hint="eastAsia"/>
          <w:sz w:val="24"/>
          <w:szCs w:val="24"/>
        </w:rPr>
        <w:t>赎回选择期的业务办理时间内提出赎回</w:t>
      </w:r>
      <w:r w:rsidRPr="00B016F2">
        <w:rPr>
          <w:rFonts w:asciiTheme="minorEastAsia" w:hAnsiTheme="minorEastAsia" w:hint="eastAsia"/>
          <w:sz w:val="24"/>
          <w:szCs w:val="24"/>
        </w:rPr>
        <w:t>申请。</w:t>
      </w:r>
    </w:p>
    <w:p w:rsidR="00B016F2" w:rsidRDefault="00B016F2" w:rsidP="00B016F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Pr="00B016F2">
        <w:rPr>
          <w:rFonts w:asciiTheme="minorEastAsia" w:hAnsiTheme="minorEastAsia" w:hint="eastAsia"/>
          <w:sz w:val="24"/>
          <w:szCs w:val="24"/>
        </w:rPr>
        <w:t>投资人提交赎回申请时，其在销售机构（网点）必须有足够的基金份额余额，否则所提交的赎回申请无效而不予成交。</w:t>
      </w:r>
    </w:p>
    <w:p w:rsidR="00B016F2" w:rsidRDefault="00B016F2" w:rsidP="0026264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Pr="00B016F2">
        <w:rPr>
          <w:rFonts w:asciiTheme="minorEastAsia" w:hAnsiTheme="minorEastAsia" w:hint="eastAsia"/>
          <w:sz w:val="24"/>
          <w:szCs w:val="24"/>
        </w:rPr>
        <w:t>基金管理人应以</w:t>
      </w:r>
      <w:r>
        <w:rPr>
          <w:rFonts w:asciiTheme="minorEastAsia" w:hAnsiTheme="minorEastAsia" w:hint="eastAsia"/>
          <w:sz w:val="24"/>
          <w:szCs w:val="24"/>
        </w:rPr>
        <w:t>赎回选择期</w:t>
      </w:r>
      <w:r w:rsidRPr="00B016F2">
        <w:rPr>
          <w:rFonts w:asciiTheme="minorEastAsia" w:hAnsiTheme="minorEastAsia" w:hint="eastAsia"/>
          <w:sz w:val="24"/>
          <w:szCs w:val="24"/>
        </w:rPr>
        <w:t>交易时间结束前受理赎回申请的当天作为赎回申请日(T日)，在正常情况下，本基金注册登记机构在T+1日内对该交易的有效性进行确认。T日提交的有效申请，投资人可在T+2日后(包括该日)到销售网点柜台或以销售机构规定的其他方式查询申请的确认情况。销售机构对赎回申请的受理并不代表申请一定成功，而仅代表销售机构确实接收到赎回申请。赎回申请的确认以登记机构的确认结果为准。投资人应及时到销售机构柜台或以销售</w:t>
      </w:r>
      <w:r w:rsidRPr="00B016F2">
        <w:rPr>
          <w:rFonts w:asciiTheme="minorEastAsia" w:hAnsiTheme="minorEastAsia" w:hint="eastAsia"/>
          <w:sz w:val="24"/>
          <w:szCs w:val="24"/>
        </w:rPr>
        <w:lastRenderedPageBreak/>
        <w:t>机构规定的其他方式查询申请的确认情况。因投资人怠于履行该项查询等各项义务，致使其相关权益受损的，基金管理人、基金托管人、基金销售机构不承担由此造成的损失或不利后果。</w:t>
      </w:r>
    </w:p>
    <w:p w:rsidR="00B016F2" w:rsidRDefault="00B016F2" w:rsidP="0026264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Pr="00B016F2">
        <w:rPr>
          <w:rFonts w:asciiTheme="minorEastAsia" w:hAnsiTheme="minorEastAsia" w:hint="eastAsia"/>
          <w:sz w:val="24"/>
          <w:szCs w:val="24"/>
        </w:rPr>
        <w:t>投资人赎回申请成功后，基金管理人将在T＋7日(包括该日)内支付赎回款项。在发生巨额赎回时，赎回款项的支付办法按基金合同和有关法律法规规定处理。</w:t>
      </w:r>
    </w:p>
    <w:p w:rsidR="0026264D" w:rsidRPr="00F8376B" w:rsidRDefault="00F8376B" w:rsidP="00F8376B">
      <w:pPr>
        <w:spacing w:line="360" w:lineRule="auto"/>
        <w:ind w:firstLineChars="200" w:firstLine="482"/>
        <w:rPr>
          <w:rFonts w:asciiTheme="minorEastAsia" w:hAnsiTheme="minorEastAsia"/>
          <w:b/>
          <w:sz w:val="24"/>
          <w:szCs w:val="24"/>
        </w:rPr>
      </w:pPr>
      <w:r w:rsidRPr="00F8376B">
        <w:rPr>
          <w:rFonts w:asciiTheme="minorEastAsia" w:hAnsiTheme="minorEastAsia" w:hint="eastAsia"/>
          <w:b/>
          <w:sz w:val="24"/>
          <w:szCs w:val="24"/>
        </w:rPr>
        <w:t>6</w:t>
      </w:r>
      <w:r w:rsidR="0026264D" w:rsidRPr="00F8376B">
        <w:rPr>
          <w:rFonts w:asciiTheme="minorEastAsia" w:hAnsiTheme="minorEastAsia" w:hint="eastAsia"/>
          <w:b/>
          <w:sz w:val="24"/>
          <w:szCs w:val="24"/>
        </w:rPr>
        <w:t>、基金转换</w:t>
      </w:r>
    </w:p>
    <w:p w:rsidR="0026264D" w:rsidRDefault="00847E04" w:rsidP="00847E04">
      <w:pPr>
        <w:spacing w:line="360" w:lineRule="auto"/>
        <w:ind w:firstLineChars="200" w:firstLine="480"/>
        <w:rPr>
          <w:rFonts w:asciiTheme="minorEastAsia" w:hAnsiTheme="minorEastAsia"/>
          <w:sz w:val="24"/>
          <w:szCs w:val="24"/>
        </w:rPr>
      </w:pPr>
      <w:r w:rsidRPr="00847E04">
        <w:rPr>
          <w:rFonts w:asciiTheme="minorEastAsia" w:hAnsiTheme="minorEastAsia" w:hint="eastAsia"/>
          <w:sz w:val="24"/>
          <w:szCs w:val="24"/>
        </w:rPr>
        <w:t>基金管理人可以根据相关法律法规以及</w:t>
      </w:r>
      <w:r w:rsidRPr="00B77BB0">
        <w:rPr>
          <w:rFonts w:asciiTheme="minorEastAsia" w:hAnsiTheme="minorEastAsia" w:hint="eastAsia"/>
          <w:sz w:val="24"/>
          <w:szCs w:val="24"/>
        </w:rPr>
        <w:t>《信诚新双盈分级债券型证券投资基金</w:t>
      </w:r>
      <w:r w:rsidRPr="0026264D">
        <w:rPr>
          <w:rFonts w:asciiTheme="minorEastAsia" w:hAnsiTheme="minorEastAsia" w:hint="eastAsia"/>
          <w:sz w:val="24"/>
          <w:szCs w:val="24"/>
        </w:rPr>
        <w:t>基金合同</w:t>
      </w:r>
      <w:r w:rsidRPr="00B77BB0">
        <w:rPr>
          <w:rFonts w:asciiTheme="minorEastAsia" w:hAnsiTheme="minorEastAsia" w:hint="eastAsia"/>
          <w:sz w:val="24"/>
          <w:szCs w:val="24"/>
        </w:rPr>
        <w:t>》</w:t>
      </w:r>
      <w:r w:rsidRPr="00847E04">
        <w:rPr>
          <w:rFonts w:asciiTheme="minorEastAsia" w:hAnsiTheme="minorEastAsia" w:hint="eastAsia"/>
          <w:sz w:val="24"/>
          <w:szCs w:val="24"/>
        </w:rPr>
        <w:t>的规定决定开办本基金与基金管理人管理的、且由同一注册登记机构办理注册登记的其他基金之间的转换业务，基金转换可以收取一定的转换费，相关规则由基金管理人届时根据相关法律法规及</w:t>
      </w:r>
      <w:r w:rsidRPr="00B77BB0">
        <w:rPr>
          <w:rFonts w:asciiTheme="minorEastAsia" w:hAnsiTheme="minorEastAsia" w:hint="eastAsia"/>
          <w:sz w:val="24"/>
          <w:szCs w:val="24"/>
        </w:rPr>
        <w:t>《信诚新双盈分级债券型证券投资基金</w:t>
      </w:r>
      <w:r w:rsidRPr="0026264D">
        <w:rPr>
          <w:rFonts w:asciiTheme="minorEastAsia" w:hAnsiTheme="minorEastAsia" w:hint="eastAsia"/>
          <w:sz w:val="24"/>
          <w:szCs w:val="24"/>
        </w:rPr>
        <w:t>基金合同</w:t>
      </w:r>
      <w:r w:rsidRPr="00B77BB0">
        <w:rPr>
          <w:rFonts w:asciiTheme="minorEastAsia" w:hAnsiTheme="minorEastAsia" w:hint="eastAsia"/>
          <w:sz w:val="24"/>
          <w:szCs w:val="24"/>
        </w:rPr>
        <w:t>》</w:t>
      </w:r>
      <w:r w:rsidRPr="00847E04">
        <w:rPr>
          <w:rFonts w:asciiTheme="minorEastAsia" w:hAnsiTheme="minorEastAsia" w:hint="eastAsia"/>
          <w:sz w:val="24"/>
          <w:szCs w:val="24"/>
        </w:rPr>
        <w:t>的规定制定并公告，并提前告知基金托管人与相关机构。</w:t>
      </w:r>
    </w:p>
    <w:p w:rsidR="00847E04" w:rsidRPr="0026264D" w:rsidRDefault="00847E04" w:rsidP="00847E0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赎回选择期间，本基金仅开放基金转换转出业务。</w:t>
      </w:r>
    </w:p>
    <w:p w:rsidR="0026264D" w:rsidRPr="00ED605A" w:rsidRDefault="00F8376B" w:rsidP="00F8376B">
      <w:pPr>
        <w:spacing w:line="360" w:lineRule="auto"/>
        <w:ind w:firstLineChars="200" w:firstLine="482"/>
        <w:rPr>
          <w:rFonts w:asciiTheme="minorEastAsia" w:hAnsiTheme="minorEastAsia"/>
          <w:b/>
          <w:sz w:val="24"/>
          <w:szCs w:val="24"/>
        </w:rPr>
      </w:pPr>
      <w:r w:rsidRPr="00ED605A">
        <w:rPr>
          <w:rFonts w:asciiTheme="minorEastAsia" w:hAnsiTheme="minorEastAsia" w:hint="eastAsia"/>
          <w:b/>
          <w:sz w:val="24"/>
          <w:szCs w:val="24"/>
        </w:rPr>
        <w:t>7</w:t>
      </w:r>
      <w:r w:rsidR="0026264D" w:rsidRPr="00ED605A">
        <w:rPr>
          <w:rFonts w:asciiTheme="minorEastAsia" w:hAnsiTheme="minorEastAsia" w:hint="eastAsia"/>
          <w:b/>
          <w:sz w:val="24"/>
          <w:szCs w:val="24"/>
        </w:rPr>
        <w:t>、基金销售机构</w:t>
      </w:r>
    </w:p>
    <w:p w:rsidR="0026264D" w:rsidRPr="00ED605A" w:rsidRDefault="0026264D" w:rsidP="0026264D">
      <w:pPr>
        <w:spacing w:line="360" w:lineRule="auto"/>
        <w:ind w:firstLineChars="200" w:firstLine="480"/>
        <w:rPr>
          <w:rFonts w:asciiTheme="minorEastAsia" w:hAnsiTheme="minorEastAsia"/>
          <w:sz w:val="24"/>
          <w:szCs w:val="24"/>
        </w:rPr>
      </w:pPr>
      <w:r w:rsidRPr="00ED605A">
        <w:rPr>
          <w:rFonts w:asciiTheme="minorEastAsia" w:hAnsiTheme="minorEastAsia" w:hint="eastAsia"/>
          <w:sz w:val="24"/>
          <w:szCs w:val="24"/>
        </w:rPr>
        <w:t>（1）直销机构</w:t>
      </w:r>
    </w:p>
    <w:p w:rsidR="005072CB" w:rsidRPr="00ED605A" w:rsidRDefault="005072CB" w:rsidP="005072CB">
      <w:pPr>
        <w:spacing w:line="360" w:lineRule="auto"/>
        <w:ind w:firstLineChars="200" w:firstLine="480"/>
        <w:rPr>
          <w:rFonts w:asciiTheme="minorEastAsia" w:hAnsiTheme="minorEastAsia"/>
          <w:sz w:val="24"/>
          <w:szCs w:val="24"/>
        </w:rPr>
      </w:pPr>
      <w:r w:rsidRPr="00ED605A">
        <w:rPr>
          <w:rFonts w:asciiTheme="minorEastAsia" w:hAnsiTheme="minorEastAsia" w:hint="eastAsia"/>
          <w:sz w:val="24"/>
          <w:szCs w:val="24"/>
        </w:rPr>
        <w:t>中信保诚基金管理有限公司直销柜台: 中国（上海）自由贸易试验区世纪大道8号上海国金中心汇丰银行大楼</w:t>
      </w:r>
      <w:r w:rsidRPr="00ED605A">
        <w:rPr>
          <w:rFonts w:asciiTheme="minorEastAsia" w:hAnsiTheme="minorEastAsia"/>
          <w:sz w:val="24"/>
          <w:szCs w:val="24"/>
        </w:rPr>
        <w:t>9层,邮编200120,直销传真:021-50120895,客服热线:400-666-0066。</w:t>
      </w:r>
    </w:p>
    <w:p w:rsidR="0026264D" w:rsidRDefault="0026264D" w:rsidP="0026264D">
      <w:pPr>
        <w:spacing w:line="360" w:lineRule="auto"/>
        <w:ind w:firstLineChars="200" w:firstLine="480"/>
        <w:rPr>
          <w:rFonts w:asciiTheme="minorEastAsia" w:hAnsiTheme="minorEastAsia"/>
          <w:sz w:val="24"/>
          <w:szCs w:val="24"/>
        </w:rPr>
      </w:pPr>
      <w:r w:rsidRPr="00ED605A">
        <w:rPr>
          <w:rFonts w:asciiTheme="minorEastAsia" w:hAnsiTheme="minorEastAsia" w:hint="eastAsia"/>
          <w:sz w:val="24"/>
          <w:szCs w:val="24"/>
        </w:rPr>
        <w:t>（2）非直销机构</w:t>
      </w:r>
    </w:p>
    <w:p w:rsidR="005072CB" w:rsidRPr="0026264D" w:rsidRDefault="005072CB" w:rsidP="005072CB">
      <w:pPr>
        <w:spacing w:line="360" w:lineRule="auto"/>
        <w:ind w:firstLineChars="200" w:firstLine="480"/>
        <w:rPr>
          <w:rFonts w:asciiTheme="minorEastAsia" w:hAnsiTheme="minorEastAsia"/>
          <w:sz w:val="24"/>
          <w:szCs w:val="24"/>
        </w:rPr>
      </w:pPr>
      <w:r w:rsidRPr="005072CB">
        <w:rPr>
          <w:rFonts w:asciiTheme="minorEastAsia" w:hAnsiTheme="minorEastAsia" w:hint="eastAsia"/>
          <w:sz w:val="24"/>
          <w:szCs w:val="24"/>
        </w:rPr>
        <w:t>本基金的其他销售机构请详见基金管理人官网公示。</w:t>
      </w:r>
    </w:p>
    <w:p w:rsidR="0026264D" w:rsidRPr="00F8376B" w:rsidRDefault="00F8376B" w:rsidP="00F8376B">
      <w:pPr>
        <w:spacing w:line="360" w:lineRule="auto"/>
        <w:ind w:firstLineChars="200" w:firstLine="482"/>
        <w:rPr>
          <w:rFonts w:asciiTheme="minorEastAsia" w:hAnsiTheme="minorEastAsia"/>
          <w:b/>
          <w:sz w:val="24"/>
          <w:szCs w:val="24"/>
        </w:rPr>
      </w:pPr>
      <w:r w:rsidRPr="00F8376B">
        <w:rPr>
          <w:rFonts w:asciiTheme="minorEastAsia" w:hAnsiTheme="minorEastAsia" w:hint="eastAsia"/>
          <w:b/>
          <w:sz w:val="24"/>
          <w:szCs w:val="24"/>
        </w:rPr>
        <w:t>8</w:t>
      </w:r>
      <w:r w:rsidR="0026264D" w:rsidRPr="00F8376B">
        <w:rPr>
          <w:rFonts w:asciiTheme="minorEastAsia" w:hAnsiTheme="minorEastAsia" w:hint="eastAsia"/>
          <w:b/>
          <w:sz w:val="24"/>
          <w:szCs w:val="24"/>
        </w:rPr>
        <w:t>、其他需要提示的事项</w:t>
      </w:r>
    </w:p>
    <w:p w:rsidR="00B77BB0" w:rsidRDefault="0026264D" w:rsidP="0026264D">
      <w:pPr>
        <w:spacing w:line="360" w:lineRule="auto"/>
        <w:ind w:firstLineChars="200" w:firstLine="480"/>
        <w:rPr>
          <w:rFonts w:asciiTheme="minorEastAsia" w:hAnsiTheme="minorEastAsia"/>
          <w:sz w:val="24"/>
          <w:szCs w:val="24"/>
        </w:rPr>
      </w:pPr>
      <w:r w:rsidRPr="0026264D">
        <w:rPr>
          <w:rFonts w:asciiTheme="minorEastAsia" w:hAnsiTheme="minorEastAsia" w:hint="eastAsia"/>
          <w:sz w:val="24"/>
          <w:szCs w:val="24"/>
        </w:rPr>
        <w:t>（1</w:t>
      </w:r>
      <w:r w:rsidR="00F8376B">
        <w:rPr>
          <w:rFonts w:asciiTheme="minorEastAsia" w:hAnsiTheme="minorEastAsia" w:hint="eastAsia"/>
          <w:sz w:val="24"/>
          <w:szCs w:val="24"/>
        </w:rPr>
        <w:t>）</w:t>
      </w:r>
      <w:r w:rsidR="00B77BB0" w:rsidRPr="00B77BB0">
        <w:rPr>
          <w:rFonts w:asciiTheme="minorEastAsia" w:hAnsiTheme="minorEastAsia" w:hint="eastAsia"/>
          <w:sz w:val="24"/>
          <w:szCs w:val="24"/>
        </w:rPr>
        <w:t>自赎回选择期首日起，新双盈A和新双盈B的份额配比不受7：3的比例限制；</w:t>
      </w:r>
    </w:p>
    <w:p w:rsidR="00B77BB0" w:rsidRDefault="00B77BB0" w:rsidP="0026264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Pr="00B77BB0">
        <w:rPr>
          <w:rFonts w:asciiTheme="minorEastAsia" w:hAnsiTheme="minorEastAsia" w:hint="eastAsia"/>
          <w:sz w:val="24"/>
          <w:szCs w:val="24"/>
        </w:rPr>
        <w:t>自赎回选择期首日起，本基金不受《信诚新双盈分级债券型证券投资基金</w:t>
      </w:r>
      <w:r w:rsidRPr="0026264D">
        <w:rPr>
          <w:rFonts w:asciiTheme="minorEastAsia" w:hAnsiTheme="minorEastAsia" w:hint="eastAsia"/>
          <w:sz w:val="24"/>
          <w:szCs w:val="24"/>
        </w:rPr>
        <w:t>基金合同</w:t>
      </w:r>
      <w:r w:rsidRPr="00B77BB0">
        <w:rPr>
          <w:rFonts w:asciiTheme="minorEastAsia" w:hAnsiTheme="minorEastAsia" w:hint="eastAsia"/>
          <w:sz w:val="24"/>
          <w:szCs w:val="24"/>
        </w:rPr>
        <w:t>》中“本基金投资于固定收益类证券的比例不低于基金资产的80%”的投资比例限制；</w:t>
      </w:r>
    </w:p>
    <w:p w:rsidR="00B77BB0" w:rsidRDefault="00B77BB0" w:rsidP="00B77BB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Pr="00B77BB0">
        <w:rPr>
          <w:rFonts w:asciiTheme="minorEastAsia" w:hAnsiTheme="minorEastAsia" w:hint="eastAsia"/>
          <w:sz w:val="24"/>
          <w:szCs w:val="24"/>
        </w:rPr>
        <w:t>自赎回选择期首日起，新双盈A不再获取约定收益，新双盈B不再内含杠杆机制，两级份额各负盈亏；</w:t>
      </w:r>
    </w:p>
    <w:p w:rsidR="00B77BB0" w:rsidRDefault="00B77BB0" w:rsidP="00B77BB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Pr="00B77BB0">
        <w:rPr>
          <w:rFonts w:asciiTheme="minorEastAsia" w:hAnsiTheme="minorEastAsia" w:hint="eastAsia"/>
          <w:sz w:val="24"/>
          <w:szCs w:val="24"/>
        </w:rPr>
        <w:t>在赎回选择期期间，新双盈A份额、新双盈B份额各自的基金份额净值计算公式为：计算日某类基金份额净值=该计算日该类基金份额的基金资产净值/该计算日该类基金份额总数。新双盈A份额、新双盈B份额的基金份额净值的计算，均保留到小数点后3位，小数点后第4位四舍五入，由此误差产生的收益或损失由基金财产承担。T日的新双盈A和新双盈B的基金份额净值在当天收市后计算，并在T+1日内公告；</w:t>
      </w:r>
    </w:p>
    <w:p w:rsidR="00B77BB0" w:rsidRDefault="00B77BB0" w:rsidP="00B77BB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w:t>
      </w:r>
      <w:r w:rsidRPr="00B77BB0">
        <w:rPr>
          <w:rFonts w:asciiTheme="minorEastAsia" w:hAnsiTheme="minorEastAsia" w:hint="eastAsia"/>
          <w:sz w:val="24"/>
          <w:szCs w:val="24"/>
        </w:rPr>
        <w:t>）自赎回选择期届满的次日起，本基金即进入清算程序，基金管理人不再接收投资人提出的申购、赎回、转换、转托管等业务的申请</w:t>
      </w:r>
      <w:r>
        <w:rPr>
          <w:rFonts w:asciiTheme="minorEastAsia" w:hAnsiTheme="minorEastAsia" w:hint="eastAsia"/>
          <w:sz w:val="24"/>
          <w:szCs w:val="24"/>
        </w:rPr>
        <w:t>，并将对投资者未赎回的基金份额统一进入清算程序</w:t>
      </w:r>
      <w:r w:rsidRPr="00B77BB0">
        <w:rPr>
          <w:rFonts w:asciiTheme="minorEastAsia" w:hAnsiTheme="minorEastAsia" w:hint="eastAsia"/>
          <w:sz w:val="24"/>
          <w:szCs w:val="24"/>
        </w:rPr>
        <w:t>。本基金进入清算程序后，停止收取基金管理费、基金托管费和新双盈A的销售服务费</w:t>
      </w:r>
      <w:r>
        <w:rPr>
          <w:rFonts w:asciiTheme="minorEastAsia" w:hAnsiTheme="minorEastAsia" w:hint="eastAsia"/>
          <w:sz w:val="24"/>
          <w:szCs w:val="24"/>
        </w:rPr>
        <w:t>，并停止披露基金净值</w:t>
      </w:r>
      <w:r w:rsidRPr="00B77BB0">
        <w:rPr>
          <w:rFonts w:asciiTheme="minorEastAsia" w:hAnsiTheme="minorEastAsia" w:hint="eastAsia"/>
          <w:sz w:val="24"/>
          <w:szCs w:val="24"/>
        </w:rPr>
        <w:t>。</w:t>
      </w:r>
    </w:p>
    <w:p w:rsidR="0026264D" w:rsidRPr="0026264D" w:rsidRDefault="0026264D" w:rsidP="0026264D">
      <w:pPr>
        <w:spacing w:line="360" w:lineRule="auto"/>
        <w:ind w:firstLineChars="200" w:firstLine="480"/>
        <w:rPr>
          <w:rFonts w:asciiTheme="minorEastAsia" w:hAnsiTheme="minorEastAsia"/>
          <w:sz w:val="24"/>
          <w:szCs w:val="24"/>
        </w:rPr>
      </w:pPr>
      <w:r w:rsidRPr="0026264D">
        <w:rPr>
          <w:rFonts w:asciiTheme="minorEastAsia" w:hAnsiTheme="minorEastAsia" w:hint="eastAsia"/>
          <w:sz w:val="24"/>
          <w:szCs w:val="24"/>
        </w:rPr>
        <w:t>（</w:t>
      </w:r>
      <w:r w:rsidR="00B77BB0">
        <w:rPr>
          <w:rFonts w:asciiTheme="minorEastAsia" w:hAnsiTheme="minorEastAsia" w:hint="eastAsia"/>
          <w:sz w:val="24"/>
          <w:szCs w:val="24"/>
        </w:rPr>
        <w:t>6</w:t>
      </w:r>
      <w:r w:rsidRPr="0026264D">
        <w:rPr>
          <w:rFonts w:asciiTheme="minorEastAsia" w:hAnsiTheme="minorEastAsia" w:hint="eastAsia"/>
          <w:sz w:val="24"/>
          <w:szCs w:val="24"/>
        </w:rPr>
        <w:t>）投资者欲了解本基金的详细情况,可通过本公司网站查阅《</w:t>
      </w:r>
      <w:r w:rsidR="00B77BB0" w:rsidRPr="00B77BB0">
        <w:rPr>
          <w:rFonts w:asciiTheme="minorEastAsia" w:hAnsiTheme="minorEastAsia" w:hint="eastAsia"/>
          <w:sz w:val="24"/>
          <w:szCs w:val="24"/>
        </w:rPr>
        <w:t>信诚新双盈分级债券型证券投资基金</w:t>
      </w:r>
      <w:r w:rsidRPr="0026264D">
        <w:rPr>
          <w:rFonts w:asciiTheme="minorEastAsia" w:hAnsiTheme="minorEastAsia" w:hint="eastAsia"/>
          <w:sz w:val="24"/>
          <w:szCs w:val="24"/>
        </w:rPr>
        <w:t>基金合同》、《</w:t>
      </w:r>
      <w:r w:rsidR="00B77BB0" w:rsidRPr="00B77BB0">
        <w:rPr>
          <w:rFonts w:asciiTheme="minorEastAsia" w:hAnsiTheme="minorEastAsia" w:hint="eastAsia"/>
          <w:sz w:val="24"/>
          <w:szCs w:val="24"/>
        </w:rPr>
        <w:t>信诚新双盈分级债券型证券投资基金</w:t>
      </w:r>
      <w:r w:rsidRPr="0026264D">
        <w:rPr>
          <w:rFonts w:asciiTheme="minorEastAsia" w:hAnsiTheme="minorEastAsia" w:hint="eastAsia"/>
          <w:sz w:val="24"/>
          <w:szCs w:val="24"/>
        </w:rPr>
        <w:t>招募说明书》、《</w:t>
      </w:r>
      <w:r w:rsidR="00B77BB0">
        <w:rPr>
          <w:rFonts w:asciiTheme="minorEastAsia" w:hAnsiTheme="minorEastAsia" w:hint="eastAsia"/>
          <w:sz w:val="24"/>
          <w:szCs w:val="24"/>
        </w:rPr>
        <w:t>中信保诚基金管理有限公司</w:t>
      </w:r>
      <w:r w:rsidRPr="0026264D">
        <w:rPr>
          <w:rFonts w:asciiTheme="minorEastAsia" w:hAnsiTheme="minorEastAsia" w:hint="eastAsia"/>
          <w:sz w:val="24"/>
          <w:szCs w:val="24"/>
        </w:rPr>
        <w:t>关于</w:t>
      </w:r>
      <w:r w:rsidR="00B77BB0">
        <w:rPr>
          <w:rFonts w:asciiTheme="minorEastAsia" w:hAnsiTheme="minorEastAsia" w:hint="eastAsia"/>
          <w:sz w:val="24"/>
          <w:szCs w:val="24"/>
        </w:rPr>
        <w:t>以通讯方式</w:t>
      </w:r>
      <w:r w:rsidRPr="0026264D">
        <w:rPr>
          <w:rFonts w:asciiTheme="minorEastAsia" w:hAnsiTheme="minorEastAsia" w:hint="eastAsia"/>
          <w:sz w:val="24"/>
          <w:szCs w:val="24"/>
        </w:rPr>
        <w:t>召开</w:t>
      </w:r>
      <w:r w:rsidR="00B77BB0" w:rsidRPr="00B77BB0">
        <w:rPr>
          <w:rFonts w:asciiTheme="minorEastAsia" w:hAnsiTheme="minorEastAsia" w:hint="eastAsia"/>
          <w:sz w:val="24"/>
          <w:szCs w:val="24"/>
        </w:rPr>
        <w:t>信诚新双盈分级债券型证券投资基金</w:t>
      </w:r>
      <w:r w:rsidRPr="0026264D">
        <w:rPr>
          <w:rFonts w:asciiTheme="minorEastAsia" w:hAnsiTheme="minorEastAsia" w:hint="eastAsia"/>
          <w:sz w:val="24"/>
          <w:szCs w:val="24"/>
        </w:rPr>
        <w:t>基金份额持有人大会的公告》、《</w:t>
      </w:r>
      <w:r w:rsidR="00B77BB0">
        <w:rPr>
          <w:rFonts w:asciiTheme="minorEastAsia" w:hAnsiTheme="minorEastAsia" w:hint="eastAsia"/>
          <w:sz w:val="24"/>
          <w:szCs w:val="24"/>
        </w:rPr>
        <w:t>中信保诚基金管理有限公司</w:t>
      </w:r>
      <w:r w:rsidRPr="0026264D">
        <w:rPr>
          <w:rFonts w:asciiTheme="minorEastAsia" w:hAnsiTheme="minorEastAsia" w:hint="eastAsia"/>
          <w:sz w:val="24"/>
          <w:szCs w:val="24"/>
        </w:rPr>
        <w:t>关于</w:t>
      </w:r>
      <w:r w:rsidR="00B77BB0" w:rsidRPr="00B77BB0">
        <w:rPr>
          <w:rFonts w:asciiTheme="minorEastAsia" w:hAnsiTheme="minorEastAsia" w:hint="eastAsia"/>
          <w:sz w:val="24"/>
          <w:szCs w:val="24"/>
        </w:rPr>
        <w:t>信诚新双盈分级债券型证券投资基金</w:t>
      </w:r>
      <w:r w:rsidRPr="0026264D">
        <w:rPr>
          <w:rFonts w:asciiTheme="minorEastAsia" w:hAnsiTheme="minorEastAsia" w:hint="eastAsia"/>
          <w:sz w:val="24"/>
          <w:szCs w:val="24"/>
        </w:rPr>
        <w:t>基金份额持有人大会表决结果暨决议生效的公告》等相关资料。</w:t>
      </w:r>
    </w:p>
    <w:p w:rsidR="0026264D" w:rsidRPr="0026264D" w:rsidRDefault="0026264D" w:rsidP="0026264D">
      <w:pPr>
        <w:spacing w:line="360" w:lineRule="auto"/>
        <w:ind w:firstLineChars="200" w:firstLine="480"/>
        <w:rPr>
          <w:rFonts w:asciiTheme="minorEastAsia" w:hAnsiTheme="minorEastAsia"/>
          <w:sz w:val="24"/>
          <w:szCs w:val="24"/>
        </w:rPr>
      </w:pPr>
      <w:r w:rsidRPr="0026264D">
        <w:rPr>
          <w:rFonts w:asciiTheme="minorEastAsia" w:hAnsiTheme="minorEastAsia" w:hint="eastAsia"/>
          <w:sz w:val="24"/>
          <w:szCs w:val="24"/>
        </w:rPr>
        <w:t>（</w:t>
      </w:r>
      <w:r w:rsidR="00975504">
        <w:rPr>
          <w:rFonts w:asciiTheme="minorEastAsia" w:hAnsiTheme="minorEastAsia" w:hint="eastAsia"/>
          <w:sz w:val="24"/>
          <w:szCs w:val="24"/>
        </w:rPr>
        <w:t>7</w:t>
      </w:r>
      <w:r w:rsidR="00B77BB0">
        <w:rPr>
          <w:rFonts w:asciiTheme="minorEastAsia" w:hAnsiTheme="minorEastAsia" w:hint="eastAsia"/>
          <w:sz w:val="24"/>
          <w:szCs w:val="24"/>
        </w:rPr>
        <w:t>）有关本基金此次</w:t>
      </w:r>
      <w:r w:rsidRPr="0026264D">
        <w:rPr>
          <w:rFonts w:asciiTheme="minorEastAsia" w:hAnsiTheme="minorEastAsia" w:hint="eastAsia"/>
          <w:sz w:val="24"/>
          <w:szCs w:val="24"/>
        </w:rPr>
        <w:t>赎回选择期间开放赎回及转换转出业务的具体规定若有变化</w:t>
      </w:r>
      <w:r w:rsidR="00B77BB0">
        <w:rPr>
          <w:rFonts w:asciiTheme="minorEastAsia" w:hAnsiTheme="minorEastAsia" w:hint="eastAsia"/>
          <w:sz w:val="24"/>
          <w:szCs w:val="24"/>
        </w:rPr>
        <w:t>，</w:t>
      </w:r>
      <w:r w:rsidRPr="0026264D">
        <w:rPr>
          <w:rFonts w:asciiTheme="minorEastAsia" w:hAnsiTheme="minorEastAsia" w:hint="eastAsia"/>
          <w:sz w:val="24"/>
          <w:szCs w:val="24"/>
        </w:rPr>
        <w:t>本公司将另行公告。</w:t>
      </w:r>
    </w:p>
    <w:p w:rsidR="0026264D" w:rsidRPr="0026264D" w:rsidRDefault="0026264D" w:rsidP="0026264D">
      <w:pPr>
        <w:spacing w:line="360" w:lineRule="auto"/>
        <w:ind w:firstLineChars="200" w:firstLine="480"/>
        <w:rPr>
          <w:rFonts w:asciiTheme="minorEastAsia" w:hAnsiTheme="minorEastAsia"/>
          <w:sz w:val="24"/>
          <w:szCs w:val="24"/>
        </w:rPr>
      </w:pPr>
      <w:r w:rsidRPr="0026264D">
        <w:rPr>
          <w:rFonts w:asciiTheme="minorEastAsia" w:hAnsiTheme="minorEastAsia" w:hint="eastAsia"/>
          <w:sz w:val="24"/>
          <w:szCs w:val="24"/>
        </w:rPr>
        <w:t>（</w:t>
      </w:r>
      <w:r w:rsidR="00975504">
        <w:rPr>
          <w:rFonts w:asciiTheme="minorEastAsia" w:hAnsiTheme="minorEastAsia" w:hint="eastAsia"/>
          <w:sz w:val="24"/>
          <w:szCs w:val="24"/>
        </w:rPr>
        <w:t>8</w:t>
      </w:r>
      <w:r w:rsidR="00B77BB0">
        <w:rPr>
          <w:rFonts w:asciiTheme="minorEastAsia" w:hAnsiTheme="minorEastAsia" w:hint="eastAsia"/>
          <w:sz w:val="24"/>
          <w:szCs w:val="24"/>
        </w:rPr>
        <w:t>）投资者欲了解有关</w:t>
      </w:r>
      <w:r w:rsidRPr="0026264D">
        <w:rPr>
          <w:rFonts w:asciiTheme="minorEastAsia" w:hAnsiTheme="minorEastAsia" w:hint="eastAsia"/>
          <w:sz w:val="24"/>
          <w:szCs w:val="24"/>
        </w:rPr>
        <w:t>赎回选择期的情况，可到办理业务的当地销售网点查询，也可以登录本公司网站（www.</w:t>
      </w:r>
      <w:r w:rsidR="00B77BB0">
        <w:rPr>
          <w:rFonts w:asciiTheme="minorEastAsia" w:hAnsiTheme="minorEastAsia" w:hint="eastAsia"/>
          <w:sz w:val="24"/>
          <w:szCs w:val="24"/>
        </w:rPr>
        <w:t>citicprufund.com.cn</w:t>
      </w:r>
      <w:r w:rsidRPr="0026264D">
        <w:rPr>
          <w:rFonts w:asciiTheme="minorEastAsia" w:hAnsiTheme="minorEastAsia" w:hint="eastAsia"/>
          <w:sz w:val="24"/>
          <w:szCs w:val="24"/>
        </w:rPr>
        <w:t>）或拨打本公司客户服务电话：</w:t>
      </w:r>
      <w:r w:rsidR="00B77BB0" w:rsidRPr="00B77BB0">
        <w:rPr>
          <w:rFonts w:asciiTheme="minorEastAsia" w:hAnsiTheme="minorEastAsia" w:hint="eastAsia"/>
          <w:sz w:val="24"/>
          <w:szCs w:val="24"/>
        </w:rPr>
        <w:t>400-666-0066</w:t>
      </w:r>
      <w:r w:rsidRPr="0026264D">
        <w:rPr>
          <w:rFonts w:asciiTheme="minorEastAsia" w:hAnsiTheme="minorEastAsia" w:hint="eastAsia"/>
          <w:sz w:val="24"/>
          <w:szCs w:val="24"/>
        </w:rPr>
        <w:t>咨询相关事宜。</w:t>
      </w:r>
    </w:p>
    <w:p w:rsidR="0026264D" w:rsidRDefault="0026264D" w:rsidP="0026264D">
      <w:pPr>
        <w:spacing w:line="360" w:lineRule="auto"/>
        <w:ind w:firstLineChars="200" w:firstLine="480"/>
        <w:rPr>
          <w:rFonts w:asciiTheme="minorEastAsia" w:hAnsiTheme="minorEastAsia"/>
          <w:sz w:val="24"/>
          <w:szCs w:val="24"/>
        </w:rPr>
      </w:pPr>
      <w:r w:rsidRPr="0026264D">
        <w:rPr>
          <w:rFonts w:asciiTheme="minorEastAsia" w:hAnsiTheme="minorEastAsia" w:hint="eastAsia"/>
          <w:sz w:val="24"/>
          <w:szCs w:val="24"/>
        </w:rPr>
        <w:t>（</w:t>
      </w:r>
      <w:r w:rsidR="00975504">
        <w:rPr>
          <w:rFonts w:asciiTheme="minorEastAsia" w:hAnsiTheme="minorEastAsia" w:hint="eastAsia"/>
          <w:sz w:val="24"/>
          <w:szCs w:val="24"/>
        </w:rPr>
        <w:t>9</w:t>
      </w:r>
      <w:r w:rsidRPr="0026264D">
        <w:rPr>
          <w:rFonts w:asciiTheme="minorEastAsia" w:hAnsiTheme="minorEastAsia" w:hint="eastAsia"/>
          <w:sz w:val="24"/>
          <w:szCs w:val="24"/>
        </w:rPr>
        <w:t>）风险提示：基金管理人承诺以诚实信用、勤勉尽责的原则管理和运用基金资产，但不保证基金一定盈利，也不保证最低利益。基金投资有风险，本公司管理的其它基金的过往业绩并不构成对本基金的业绩表现的保证。本公司提醒投资人在做出投资决策后，基金运营状况与基金净值变化引致的投资风险，由投资人自行负担。投资者投资基金时应认真阅读基金的《基金合同》、《招募说明书》等文件。</w:t>
      </w:r>
    </w:p>
    <w:p w:rsidR="00FF3DD0" w:rsidRPr="0026264D" w:rsidRDefault="00FF3DD0" w:rsidP="0026264D">
      <w:pPr>
        <w:spacing w:line="360" w:lineRule="auto"/>
        <w:ind w:firstLineChars="200" w:firstLine="480"/>
        <w:rPr>
          <w:rFonts w:asciiTheme="minorEastAsia" w:hAnsiTheme="minorEastAsia"/>
          <w:sz w:val="24"/>
          <w:szCs w:val="24"/>
        </w:rPr>
      </w:pPr>
    </w:p>
    <w:p w:rsidR="0026264D" w:rsidRDefault="0026264D" w:rsidP="0026264D">
      <w:pPr>
        <w:spacing w:line="360" w:lineRule="auto"/>
        <w:ind w:firstLineChars="200" w:firstLine="480"/>
        <w:rPr>
          <w:rFonts w:asciiTheme="minorEastAsia" w:hAnsiTheme="minorEastAsia"/>
          <w:sz w:val="24"/>
          <w:szCs w:val="24"/>
        </w:rPr>
      </w:pPr>
      <w:r w:rsidRPr="0026264D">
        <w:rPr>
          <w:rFonts w:asciiTheme="minorEastAsia" w:hAnsiTheme="minorEastAsia" w:hint="eastAsia"/>
          <w:sz w:val="24"/>
          <w:szCs w:val="24"/>
        </w:rPr>
        <w:t>特此公告。</w:t>
      </w:r>
    </w:p>
    <w:p w:rsidR="005072CB" w:rsidRDefault="005072CB" w:rsidP="0026264D">
      <w:pPr>
        <w:spacing w:line="360" w:lineRule="auto"/>
        <w:ind w:firstLineChars="200" w:firstLine="480"/>
        <w:rPr>
          <w:rFonts w:asciiTheme="minorEastAsia" w:hAnsiTheme="minorEastAsia"/>
          <w:sz w:val="24"/>
          <w:szCs w:val="24"/>
        </w:rPr>
      </w:pPr>
    </w:p>
    <w:p w:rsidR="005072CB" w:rsidRDefault="005072CB" w:rsidP="005072CB">
      <w:pPr>
        <w:spacing w:line="360" w:lineRule="auto"/>
        <w:ind w:firstLineChars="200" w:firstLine="480"/>
        <w:jc w:val="right"/>
        <w:rPr>
          <w:rFonts w:asciiTheme="minorEastAsia" w:hAnsiTheme="minorEastAsia"/>
          <w:sz w:val="24"/>
          <w:szCs w:val="24"/>
        </w:rPr>
      </w:pPr>
      <w:r>
        <w:rPr>
          <w:rFonts w:asciiTheme="minorEastAsia" w:hAnsiTheme="minorEastAsia" w:hint="eastAsia"/>
          <w:sz w:val="24"/>
          <w:szCs w:val="24"/>
        </w:rPr>
        <w:t>中信保诚基金管理有限公司</w:t>
      </w:r>
    </w:p>
    <w:p w:rsidR="005072CB" w:rsidRPr="0026264D" w:rsidRDefault="005072CB" w:rsidP="005072CB">
      <w:pPr>
        <w:spacing w:line="360" w:lineRule="auto"/>
        <w:ind w:firstLineChars="200" w:firstLine="480"/>
        <w:jc w:val="right"/>
        <w:rPr>
          <w:rFonts w:asciiTheme="minorEastAsia" w:hAnsiTheme="minorEastAsia"/>
          <w:sz w:val="24"/>
          <w:szCs w:val="24"/>
        </w:rPr>
      </w:pPr>
      <w:r>
        <w:rPr>
          <w:rFonts w:asciiTheme="minorEastAsia" w:hAnsiTheme="minorEastAsia" w:hint="eastAsia"/>
          <w:sz w:val="24"/>
          <w:szCs w:val="24"/>
        </w:rPr>
        <w:t>2020年6月1</w:t>
      </w:r>
      <w:r w:rsidR="00555416">
        <w:rPr>
          <w:rFonts w:asciiTheme="minorEastAsia" w:hAnsiTheme="minorEastAsia" w:hint="eastAsia"/>
          <w:sz w:val="24"/>
          <w:szCs w:val="24"/>
        </w:rPr>
        <w:t>8</w:t>
      </w:r>
      <w:r>
        <w:rPr>
          <w:rFonts w:asciiTheme="minorEastAsia" w:hAnsiTheme="minorEastAsia" w:hint="eastAsia"/>
          <w:sz w:val="24"/>
          <w:szCs w:val="24"/>
        </w:rPr>
        <w:t>日</w:t>
      </w:r>
    </w:p>
    <w:sectPr w:rsidR="005072CB" w:rsidRPr="0026264D" w:rsidSect="003D66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EF8" w:rsidRDefault="00130EF8" w:rsidP="00ED605A">
      <w:r>
        <w:separator/>
      </w:r>
    </w:p>
  </w:endnote>
  <w:endnote w:type="continuationSeparator" w:id="0">
    <w:p w:rsidR="00130EF8" w:rsidRDefault="00130EF8" w:rsidP="00ED60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EF8" w:rsidRDefault="00130EF8" w:rsidP="00ED605A">
      <w:r>
        <w:separator/>
      </w:r>
    </w:p>
  </w:footnote>
  <w:footnote w:type="continuationSeparator" w:id="0">
    <w:p w:rsidR="00130EF8" w:rsidRDefault="00130EF8" w:rsidP="00ED60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264D"/>
    <w:rsid w:val="0002151D"/>
    <w:rsid w:val="00130EF8"/>
    <w:rsid w:val="001F138B"/>
    <w:rsid w:val="001F3913"/>
    <w:rsid w:val="0026264D"/>
    <w:rsid w:val="003B3549"/>
    <w:rsid w:val="003D6688"/>
    <w:rsid w:val="0044792E"/>
    <w:rsid w:val="005072CB"/>
    <w:rsid w:val="00555416"/>
    <w:rsid w:val="006C0B9A"/>
    <w:rsid w:val="007A626D"/>
    <w:rsid w:val="00847E04"/>
    <w:rsid w:val="0091213D"/>
    <w:rsid w:val="00975504"/>
    <w:rsid w:val="00AC7068"/>
    <w:rsid w:val="00B016F2"/>
    <w:rsid w:val="00B77BB0"/>
    <w:rsid w:val="00BB2510"/>
    <w:rsid w:val="00DA6FA1"/>
    <w:rsid w:val="00ED605A"/>
    <w:rsid w:val="00F031D4"/>
    <w:rsid w:val="00F8376B"/>
    <w:rsid w:val="00FB265D"/>
    <w:rsid w:val="00FF3D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6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0B9A"/>
    <w:rPr>
      <w:color w:val="0000FF" w:themeColor="hyperlink"/>
      <w:u w:val="single"/>
    </w:rPr>
  </w:style>
  <w:style w:type="paragraph" w:customStyle="1" w:styleId="Default">
    <w:name w:val="Default"/>
    <w:qFormat/>
    <w:rsid w:val="00B016F2"/>
    <w:pPr>
      <w:widowControl w:val="0"/>
      <w:autoSpaceDE w:val="0"/>
      <w:autoSpaceDN w:val="0"/>
      <w:adjustRightInd w:val="0"/>
    </w:pPr>
    <w:rPr>
      <w:rFonts w:ascii="宋体" w:eastAsia="宋体" w:cs="宋体"/>
      <w:color w:val="000000"/>
      <w:kern w:val="0"/>
      <w:sz w:val="24"/>
      <w:szCs w:val="24"/>
    </w:rPr>
  </w:style>
  <w:style w:type="paragraph" w:styleId="a4">
    <w:name w:val="Balloon Text"/>
    <w:basedOn w:val="a"/>
    <w:link w:val="Char"/>
    <w:uiPriority w:val="99"/>
    <w:semiHidden/>
    <w:unhideWhenUsed/>
    <w:rsid w:val="005072CB"/>
    <w:rPr>
      <w:sz w:val="18"/>
      <w:szCs w:val="18"/>
    </w:rPr>
  </w:style>
  <w:style w:type="character" w:customStyle="1" w:styleId="Char">
    <w:name w:val="批注框文本 Char"/>
    <w:basedOn w:val="a0"/>
    <w:link w:val="a4"/>
    <w:uiPriority w:val="99"/>
    <w:semiHidden/>
    <w:rsid w:val="005072CB"/>
    <w:rPr>
      <w:sz w:val="18"/>
      <w:szCs w:val="18"/>
    </w:rPr>
  </w:style>
  <w:style w:type="paragraph" w:styleId="a5">
    <w:name w:val="header"/>
    <w:basedOn w:val="a"/>
    <w:link w:val="Char0"/>
    <w:uiPriority w:val="99"/>
    <w:unhideWhenUsed/>
    <w:rsid w:val="00ED60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D605A"/>
    <w:rPr>
      <w:sz w:val="18"/>
      <w:szCs w:val="18"/>
    </w:rPr>
  </w:style>
  <w:style w:type="paragraph" w:styleId="a6">
    <w:name w:val="footer"/>
    <w:basedOn w:val="a"/>
    <w:link w:val="Char1"/>
    <w:uiPriority w:val="99"/>
    <w:unhideWhenUsed/>
    <w:rsid w:val="00ED605A"/>
    <w:pPr>
      <w:tabs>
        <w:tab w:val="center" w:pos="4153"/>
        <w:tab w:val="right" w:pos="8306"/>
      </w:tabs>
      <w:snapToGrid w:val="0"/>
      <w:jc w:val="left"/>
    </w:pPr>
    <w:rPr>
      <w:sz w:val="18"/>
      <w:szCs w:val="18"/>
    </w:rPr>
  </w:style>
  <w:style w:type="character" w:customStyle="1" w:styleId="Char1">
    <w:name w:val="页脚 Char"/>
    <w:basedOn w:val="a0"/>
    <w:link w:val="a6"/>
    <w:uiPriority w:val="99"/>
    <w:rsid w:val="00ED605A"/>
    <w:rPr>
      <w:sz w:val="18"/>
      <w:szCs w:val="18"/>
    </w:rPr>
  </w:style>
  <w:style w:type="character" w:styleId="a7">
    <w:name w:val="annotation reference"/>
    <w:basedOn w:val="a0"/>
    <w:uiPriority w:val="99"/>
    <w:semiHidden/>
    <w:unhideWhenUsed/>
    <w:rsid w:val="00555416"/>
    <w:rPr>
      <w:sz w:val="21"/>
      <w:szCs w:val="21"/>
    </w:rPr>
  </w:style>
  <w:style w:type="paragraph" w:styleId="a8">
    <w:name w:val="annotation text"/>
    <w:basedOn w:val="a"/>
    <w:link w:val="Char2"/>
    <w:uiPriority w:val="99"/>
    <w:semiHidden/>
    <w:unhideWhenUsed/>
    <w:rsid w:val="00555416"/>
    <w:pPr>
      <w:jc w:val="left"/>
    </w:pPr>
  </w:style>
  <w:style w:type="character" w:customStyle="1" w:styleId="Char2">
    <w:name w:val="批注文字 Char"/>
    <w:basedOn w:val="a0"/>
    <w:link w:val="a8"/>
    <w:uiPriority w:val="99"/>
    <w:semiHidden/>
    <w:rsid w:val="00555416"/>
  </w:style>
  <w:style w:type="paragraph" w:styleId="a9">
    <w:name w:val="annotation subject"/>
    <w:basedOn w:val="a8"/>
    <w:next w:val="a8"/>
    <w:link w:val="Char3"/>
    <w:uiPriority w:val="99"/>
    <w:semiHidden/>
    <w:unhideWhenUsed/>
    <w:rsid w:val="00555416"/>
    <w:rPr>
      <w:b/>
      <w:bCs/>
    </w:rPr>
  </w:style>
  <w:style w:type="character" w:customStyle="1" w:styleId="Char3">
    <w:name w:val="批注主题 Char"/>
    <w:basedOn w:val="Char2"/>
    <w:link w:val="a9"/>
    <w:uiPriority w:val="99"/>
    <w:semiHidden/>
    <w:rsid w:val="0055541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2721</Characters>
  <Application>Microsoft Office Word</Application>
  <DocSecurity>4</DocSecurity>
  <Lines>22</Lines>
  <Paragraphs>6</Paragraphs>
  <ScaleCrop>false</ScaleCrop>
  <Company>Lenovo</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杜渡</dc:creator>
  <cp:lastModifiedBy>ZHONGM</cp:lastModifiedBy>
  <cp:revision>2</cp:revision>
  <dcterms:created xsi:type="dcterms:W3CDTF">2020-06-17T16:00:00Z</dcterms:created>
  <dcterms:modified xsi:type="dcterms:W3CDTF">2020-06-17T16:00:00Z</dcterms:modified>
</cp:coreProperties>
</file>