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6F6E" w:rsidRPr="00403503" w:rsidRDefault="00A46F6E" w:rsidP="00EA7D10">
      <w:pPr>
        <w:jc w:val="center"/>
        <w:rPr>
          <w:rFonts w:asciiTheme="minorEastAsia" w:eastAsiaTheme="minorEastAsia" w:hAnsiTheme="minorEastAsia" w:cs="宋体"/>
          <w:b/>
          <w:sz w:val="36"/>
          <w:szCs w:val="24"/>
        </w:rPr>
      </w:pPr>
      <w:r w:rsidRPr="00403503">
        <w:rPr>
          <w:rFonts w:asciiTheme="minorEastAsia" w:eastAsiaTheme="minorEastAsia" w:hAnsiTheme="minorEastAsia" w:cs="宋体" w:hint="eastAsia"/>
          <w:b/>
          <w:sz w:val="36"/>
          <w:szCs w:val="24"/>
        </w:rPr>
        <w:t>兴业上证180金融交易型开放式指数证券投资基金</w:t>
      </w:r>
    </w:p>
    <w:p w:rsidR="00A359D3" w:rsidRPr="00403503" w:rsidRDefault="00EA7D10" w:rsidP="00EA7D10">
      <w:pPr>
        <w:jc w:val="center"/>
        <w:rPr>
          <w:rFonts w:asciiTheme="minorEastAsia" w:eastAsiaTheme="minorEastAsia" w:hAnsiTheme="minorEastAsia" w:cs="宋体"/>
          <w:b/>
          <w:sz w:val="36"/>
          <w:szCs w:val="24"/>
        </w:rPr>
      </w:pPr>
      <w:r w:rsidRPr="00403503">
        <w:rPr>
          <w:rFonts w:asciiTheme="minorEastAsia" w:eastAsiaTheme="minorEastAsia" w:hAnsiTheme="minorEastAsia" w:cs="宋体" w:hint="eastAsia"/>
          <w:b/>
          <w:sz w:val="36"/>
          <w:szCs w:val="24"/>
        </w:rPr>
        <w:t>开放日常申购、赎回业务的公告</w:t>
      </w:r>
    </w:p>
    <w:p w:rsidR="00A359D3" w:rsidRPr="00403503" w:rsidRDefault="00A359D3">
      <w:pPr>
        <w:jc w:val="center"/>
        <w:rPr>
          <w:rFonts w:asciiTheme="minorEastAsia" w:eastAsiaTheme="minorEastAsia" w:hAnsiTheme="minorEastAsia" w:cs="宋体"/>
          <w:b/>
          <w:sz w:val="24"/>
          <w:szCs w:val="24"/>
        </w:rPr>
      </w:pPr>
    </w:p>
    <w:p w:rsidR="00EA7D10" w:rsidRPr="00403503" w:rsidRDefault="00EA7D10">
      <w:pPr>
        <w:jc w:val="center"/>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公告送出日期：</w:t>
      </w:r>
      <w:r w:rsidRPr="00403503">
        <w:rPr>
          <w:rFonts w:asciiTheme="minorEastAsia" w:eastAsiaTheme="minorEastAsia" w:hAnsiTheme="minorEastAsia" w:cs="宋体"/>
          <w:sz w:val="24"/>
          <w:szCs w:val="24"/>
        </w:rPr>
        <w:t>2020</w:t>
      </w:r>
      <w:r w:rsidRPr="00403503">
        <w:rPr>
          <w:rFonts w:asciiTheme="minorEastAsia" w:eastAsiaTheme="minorEastAsia" w:hAnsiTheme="minorEastAsia" w:cs="宋体" w:hint="eastAsia"/>
          <w:sz w:val="24"/>
          <w:szCs w:val="24"/>
        </w:rPr>
        <w:t>年</w:t>
      </w:r>
      <w:r w:rsidRPr="00403503">
        <w:rPr>
          <w:rFonts w:asciiTheme="minorEastAsia" w:eastAsiaTheme="minorEastAsia" w:hAnsiTheme="minorEastAsia" w:cs="宋体"/>
          <w:sz w:val="24"/>
          <w:szCs w:val="24"/>
        </w:rPr>
        <w:t>6</w:t>
      </w:r>
      <w:r w:rsidRPr="00403503">
        <w:rPr>
          <w:rFonts w:asciiTheme="minorEastAsia" w:eastAsiaTheme="minorEastAsia" w:hAnsiTheme="minorEastAsia" w:cs="宋体" w:hint="eastAsia"/>
          <w:sz w:val="24"/>
          <w:szCs w:val="24"/>
        </w:rPr>
        <w:t>月</w:t>
      </w:r>
      <w:r w:rsidR="009C62D7" w:rsidRPr="00403503">
        <w:rPr>
          <w:rFonts w:asciiTheme="minorEastAsia" w:eastAsiaTheme="minorEastAsia" w:hAnsiTheme="minorEastAsia" w:cs="宋体"/>
          <w:sz w:val="24"/>
          <w:szCs w:val="24"/>
        </w:rPr>
        <w:t>17</w:t>
      </w:r>
      <w:r w:rsidRPr="00403503">
        <w:rPr>
          <w:rFonts w:asciiTheme="minorEastAsia" w:eastAsiaTheme="minorEastAsia" w:hAnsiTheme="minorEastAsia" w:cs="宋体" w:hint="eastAsia"/>
          <w:sz w:val="24"/>
          <w:szCs w:val="24"/>
        </w:rPr>
        <w:t>日</w:t>
      </w:r>
      <w:r w:rsidRPr="00403503">
        <w:rPr>
          <w:rFonts w:asciiTheme="minorEastAsia" w:eastAsiaTheme="minorEastAsia" w:hAnsiTheme="minorEastAsia" w:cs="宋体"/>
          <w:sz w:val="24"/>
          <w:szCs w:val="24"/>
        </w:rPr>
        <w:cr/>
      </w:r>
    </w:p>
    <w:p w:rsidR="00A359D3" w:rsidRPr="00403503" w:rsidRDefault="00A359D3" w:rsidP="00CB3FE8">
      <w:pPr>
        <w:pStyle w:val="2"/>
        <w:spacing w:beforeLines="50" w:afterLines="50" w:line="240" w:lineRule="auto"/>
        <w:jc w:val="left"/>
        <w:rPr>
          <w:rFonts w:asciiTheme="minorEastAsia" w:eastAsiaTheme="minorEastAsia" w:hAnsiTheme="minorEastAsia" w:cs="宋体"/>
          <w:bCs/>
          <w:sz w:val="24"/>
          <w:szCs w:val="24"/>
        </w:rPr>
      </w:pPr>
      <w:r w:rsidRPr="00403503">
        <w:rPr>
          <w:rFonts w:asciiTheme="minorEastAsia" w:eastAsiaTheme="minorEastAsia" w:hAnsiTheme="minorEastAsia" w:cs="宋体" w:hint="eastAsia"/>
          <w:bCs/>
          <w:sz w:val="24"/>
          <w:szCs w:val="24"/>
        </w:rPr>
        <w:t>1</w:t>
      </w:r>
      <w:bookmarkStart w:id="0" w:name="t_2_1_table"/>
      <w:bookmarkEnd w:id="0"/>
      <w:r w:rsidRPr="00403503">
        <w:rPr>
          <w:rFonts w:asciiTheme="minorEastAsia" w:eastAsiaTheme="minorEastAsia" w:hAnsiTheme="minorEastAsia" w:cs="宋体" w:hint="eastAsia"/>
          <w:bCs/>
          <w:sz w:val="24"/>
          <w:szCs w:val="24"/>
        </w:rPr>
        <w:t>公告基本信息</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1"/>
        <w:gridCol w:w="5869"/>
      </w:tblGrid>
      <w:tr w:rsidR="00A359D3" w:rsidRPr="00403503" w:rsidTr="00403503">
        <w:trPr>
          <w:trHeight w:val="554"/>
          <w:jc w:val="center"/>
        </w:trPr>
        <w:tc>
          <w:tcPr>
            <w:tcW w:w="2951" w:type="dxa"/>
            <w:vAlign w:val="center"/>
          </w:tcPr>
          <w:p w:rsidR="00A359D3" w:rsidRPr="00403503" w:rsidRDefault="00A359D3">
            <w:pPr>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基金名称</w:t>
            </w:r>
          </w:p>
        </w:tc>
        <w:tc>
          <w:tcPr>
            <w:tcW w:w="5869" w:type="dxa"/>
            <w:vAlign w:val="center"/>
          </w:tcPr>
          <w:p w:rsidR="00A359D3" w:rsidRPr="00403503" w:rsidRDefault="00A46F6E" w:rsidP="00A46F6E">
            <w:pPr>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兴业上证</w:t>
            </w:r>
            <w:r w:rsidRPr="00403503">
              <w:rPr>
                <w:rFonts w:asciiTheme="minorEastAsia" w:eastAsiaTheme="minorEastAsia" w:hAnsiTheme="minorEastAsia" w:cs="宋体"/>
                <w:sz w:val="24"/>
                <w:szCs w:val="24"/>
              </w:rPr>
              <w:t>180</w:t>
            </w:r>
            <w:r w:rsidRPr="00403503">
              <w:rPr>
                <w:rFonts w:asciiTheme="minorEastAsia" w:eastAsiaTheme="minorEastAsia" w:hAnsiTheme="minorEastAsia" w:cs="宋体" w:hint="eastAsia"/>
                <w:sz w:val="24"/>
                <w:szCs w:val="24"/>
              </w:rPr>
              <w:t>金融交易型开放式指数证券投资基金</w:t>
            </w:r>
          </w:p>
        </w:tc>
      </w:tr>
      <w:tr w:rsidR="00A359D3" w:rsidRPr="00403503" w:rsidTr="00403503">
        <w:trPr>
          <w:jc w:val="center"/>
        </w:trPr>
        <w:tc>
          <w:tcPr>
            <w:tcW w:w="2951" w:type="dxa"/>
            <w:vAlign w:val="center"/>
          </w:tcPr>
          <w:p w:rsidR="00A359D3" w:rsidRPr="00403503" w:rsidRDefault="00A359D3">
            <w:pPr>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基金简称</w:t>
            </w:r>
          </w:p>
        </w:tc>
        <w:tc>
          <w:tcPr>
            <w:tcW w:w="5869" w:type="dxa"/>
            <w:vAlign w:val="center"/>
          </w:tcPr>
          <w:p w:rsidR="00A359D3" w:rsidRPr="00403503" w:rsidRDefault="00A46F6E">
            <w:pPr>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180金融</w:t>
            </w:r>
          </w:p>
        </w:tc>
      </w:tr>
      <w:tr w:rsidR="00A359D3" w:rsidRPr="00403503" w:rsidTr="00403503">
        <w:trPr>
          <w:jc w:val="center"/>
        </w:trPr>
        <w:tc>
          <w:tcPr>
            <w:tcW w:w="2951" w:type="dxa"/>
            <w:vAlign w:val="center"/>
          </w:tcPr>
          <w:p w:rsidR="00A359D3" w:rsidRPr="00403503" w:rsidRDefault="00A359D3">
            <w:pPr>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基金主代码</w:t>
            </w:r>
          </w:p>
        </w:tc>
        <w:tc>
          <w:tcPr>
            <w:tcW w:w="5869" w:type="dxa"/>
            <w:vAlign w:val="center"/>
          </w:tcPr>
          <w:p w:rsidR="00A359D3" w:rsidRPr="00403503" w:rsidRDefault="00A46F6E">
            <w:pPr>
              <w:rPr>
                <w:rFonts w:asciiTheme="minorEastAsia" w:eastAsiaTheme="minorEastAsia" w:hAnsiTheme="minorEastAsia" w:cs="宋体"/>
                <w:sz w:val="24"/>
                <w:szCs w:val="24"/>
              </w:rPr>
            </w:pPr>
            <w:r w:rsidRPr="00403503">
              <w:rPr>
                <w:rFonts w:asciiTheme="minorEastAsia" w:eastAsiaTheme="minorEastAsia" w:hAnsiTheme="minorEastAsia" w:cs="宋体"/>
                <w:sz w:val="24"/>
                <w:szCs w:val="24"/>
              </w:rPr>
              <w:t>510690</w:t>
            </w:r>
          </w:p>
        </w:tc>
      </w:tr>
      <w:tr w:rsidR="00A359D3" w:rsidRPr="00403503" w:rsidTr="00403503">
        <w:trPr>
          <w:jc w:val="center"/>
        </w:trPr>
        <w:tc>
          <w:tcPr>
            <w:tcW w:w="2951" w:type="dxa"/>
            <w:vAlign w:val="center"/>
          </w:tcPr>
          <w:p w:rsidR="00A359D3" w:rsidRPr="00403503" w:rsidRDefault="00A359D3">
            <w:pPr>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基金运作方式</w:t>
            </w:r>
          </w:p>
        </w:tc>
        <w:tc>
          <w:tcPr>
            <w:tcW w:w="5869" w:type="dxa"/>
            <w:vAlign w:val="center"/>
          </w:tcPr>
          <w:p w:rsidR="00A359D3" w:rsidRPr="00403503" w:rsidRDefault="00A359D3">
            <w:pPr>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交易型开放式</w:t>
            </w:r>
          </w:p>
        </w:tc>
      </w:tr>
      <w:tr w:rsidR="00A359D3" w:rsidRPr="00403503" w:rsidTr="00403503">
        <w:trPr>
          <w:jc w:val="center"/>
        </w:trPr>
        <w:tc>
          <w:tcPr>
            <w:tcW w:w="2951" w:type="dxa"/>
            <w:vAlign w:val="center"/>
          </w:tcPr>
          <w:p w:rsidR="00A359D3" w:rsidRPr="00403503" w:rsidRDefault="00A359D3">
            <w:pPr>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基金合同生效日</w:t>
            </w:r>
          </w:p>
        </w:tc>
        <w:tc>
          <w:tcPr>
            <w:tcW w:w="5869" w:type="dxa"/>
            <w:vAlign w:val="center"/>
          </w:tcPr>
          <w:p w:rsidR="00A359D3" w:rsidRPr="00403503" w:rsidRDefault="00A359D3" w:rsidP="00A46F6E">
            <w:pPr>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20</w:t>
            </w:r>
            <w:r w:rsidR="00A46F6E" w:rsidRPr="00403503">
              <w:rPr>
                <w:rFonts w:asciiTheme="minorEastAsia" w:eastAsiaTheme="minorEastAsia" w:hAnsiTheme="minorEastAsia" w:cs="宋体"/>
                <w:sz w:val="24"/>
                <w:szCs w:val="24"/>
              </w:rPr>
              <w:t>20</w:t>
            </w:r>
            <w:r w:rsidRPr="00403503">
              <w:rPr>
                <w:rFonts w:asciiTheme="minorEastAsia" w:eastAsiaTheme="minorEastAsia" w:hAnsiTheme="minorEastAsia" w:cs="宋体" w:hint="eastAsia"/>
                <w:sz w:val="24"/>
                <w:szCs w:val="24"/>
              </w:rPr>
              <w:t>年</w:t>
            </w:r>
            <w:r w:rsidR="00A46F6E" w:rsidRPr="00403503">
              <w:rPr>
                <w:rFonts w:asciiTheme="minorEastAsia" w:eastAsiaTheme="minorEastAsia" w:hAnsiTheme="minorEastAsia" w:cs="宋体"/>
                <w:sz w:val="24"/>
                <w:szCs w:val="24"/>
              </w:rPr>
              <w:t>5</w:t>
            </w:r>
            <w:r w:rsidRPr="00403503">
              <w:rPr>
                <w:rFonts w:asciiTheme="minorEastAsia" w:eastAsiaTheme="minorEastAsia" w:hAnsiTheme="minorEastAsia" w:cs="宋体" w:hint="eastAsia"/>
                <w:sz w:val="24"/>
                <w:szCs w:val="24"/>
              </w:rPr>
              <w:t>月</w:t>
            </w:r>
            <w:r w:rsidR="00A46F6E" w:rsidRPr="00403503">
              <w:rPr>
                <w:rFonts w:asciiTheme="minorEastAsia" w:eastAsiaTheme="minorEastAsia" w:hAnsiTheme="minorEastAsia" w:cs="宋体"/>
                <w:sz w:val="24"/>
                <w:szCs w:val="24"/>
              </w:rPr>
              <w:t>8</w:t>
            </w:r>
            <w:r w:rsidRPr="00403503">
              <w:rPr>
                <w:rFonts w:asciiTheme="minorEastAsia" w:eastAsiaTheme="minorEastAsia" w:hAnsiTheme="minorEastAsia" w:cs="宋体" w:hint="eastAsia"/>
                <w:sz w:val="24"/>
                <w:szCs w:val="24"/>
              </w:rPr>
              <w:t>日</w:t>
            </w:r>
          </w:p>
        </w:tc>
      </w:tr>
      <w:tr w:rsidR="00A359D3" w:rsidRPr="00403503" w:rsidTr="00403503">
        <w:trPr>
          <w:jc w:val="center"/>
        </w:trPr>
        <w:tc>
          <w:tcPr>
            <w:tcW w:w="2951" w:type="dxa"/>
            <w:vAlign w:val="center"/>
          </w:tcPr>
          <w:p w:rsidR="00A359D3" w:rsidRPr="00403503" w:rsidRDefault="00A359D3">
            <w:pPr>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基金管理人名称</w:t>
            </w:r>
          </w:p>
        </w:tc>
        <w:tc>
          <w:tcPr>
            <w:tcW w:w="5869" w:type="dxa"/>
            <w:vAlign w:val="center"/>
          </w:tcPr>
          <w:p w:rsidR="00A359D3" w:rsidRPr="00403503" w:rsidRDefault="00A359D3">
            <w:pPr>
              <w:rPr>
                <w:rFonts w:asciiTheme="minorEastAsia" w:eastAsiaTheme="minorEastAsia" w:hAnsiTheme="minorEastAsia" w:cs="宋体"/>
                <w:sz w:val="24"/>
                <w:szCs w:val="24"/>
              </w:rPr>
            </w:pPr>
            <w:bookmarkStart w:id="1" w:name="t_2_1_0186_a1_fm1"/>
            <w:bookmarkEnd w:id="1"/>
            <w:r w:rsidRPr="00403503">
              <w:rPr>
                <w:rFonts w:asciiTheme="minorEastAsia" w:eastAsiaTheme="minorEastAsia" w:hAnsiTheme="minorEastAsia" w:cs="宋体" w:hint="eastAsia"/>
                <w:sz w:val="24"/>
                <w:szCs w:val="24"/>
              </w:rPr>
              <w:t>兴业基金管理有限公司</w:t>
            </w:r>
          </w:p>
        </w:tc>
      </w:tr>
      <w:tr w:rsidR="00A359D3" w:rsidRPr="00403503" w:rsidTr="00403503">
        <w:trPr>
          <w:jc w:val="center"/>
        </w:trPr>
        <w:tc>
          <w:tcPr>
            <w:tcW w:w="2951" w:type="dxa"/>
            <w:vAlign w:val="center"/>
          </w:tcPr>
          <w:p w:rsidR="00A359D3" w:rsidRPr="00403503" w:rsidRDefault="00A359D3">
            <w:pPr>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基金托管人名称</w:t>
            </w:r>
          </w:p>
        </w:tc>
        <w:tc>
          <w:tcPr>
            <w:tcW w:w="5869" w:type="dxa"/>
            <w:vAlign w:val="center"/>
          </w:tcPr>
          <w:p w:rsidR="00A359D3" w:rsidRPr="00403503" w:rsidRDefault="00A46F6E">
            <w:pPr>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招商银行股份有限公司</w:t>
            </w:r>
          </w:p>
        </w:tc>
      </w:tr>
      <w:tr w:rsidR="00A359D3" w:rsidRPr="00403503" w:rsidTr="00403503">
        <w:trPr>
          <w:jc w:val="center"/>
        </w:trPr>
        <w:tc>
          <w:tcPr>
            <w:tcW w:w="2951" w:type="dxa"/>
            <w:vAlign w:val="center"/>
          </w:tcPr>
          <w:p w:rsidR="00A359D3" w:rsidRPr="00403503" w:rsidRDefault="00A359D3">
            <w:pPr>
              <w:rPr>
                <w:rFonts w:asciiTheme="minorEastAsia" w:eastAsiaTheme="minorEastAsia" w:hAnsiTheme="minorEastAsia" w:cs="宋体"/>
                <w:sz w:val="24"/>
                <w:szCs w:val="24"/>
                <w:highlight w:val="yellow"/>
              </w:rPr>
            </w:pPr>
            <w:r w:rsidRPr="00403503">
              <w:rPr>
                <w:rFonts w:asciiTheme="minorEastAsia" w:eastAsiaTheme="minorEastAsia" w:hAnsiTheme="minorEastAsia" w:cs="宋体" w:hint="eastAsia"/>
                <w:sz w:val="24"/>
                <w:szCs w:val="24"/>
              </w:rPr>
              <w:t>基金注册登记机构名称</w:t>
            </w:r>
          </w:p>
        </w:tc>
        <w:tc>
          <w:tcPr>
            <w:tcW w:w="5869" w:type="dxa"/>
            <w:vAlign w:val="center"/>
          </w:tcPr>
          <w:p w:rsidR="00A359D3" w:rsidRPr="00403503" w:rsidRDefault="00A359D3">
            <w:pPr>
              <w:rPr>
                <w:rFonts w:asciiTheme="minorEastAsia" w:eastAsiaTheme="minorEastAsia" w:hAnsiTheme="minorEastAsia" w:cs="宋体"/>
                <w:sz w:val="24"/>
                <w:szCs w:val="24"/>
                <w:highlight w:val="yellow"/>
              </w:rPr>
            </w:pPr>
            <w:bookmarkStart w:id="2" w:name="t_2_1_0310_a1_fm1"/>
            <w:bookmarkEnd w:id="2"/>
            <w:r w:rsidRPr="00403503">
              <w:rPr>
                <w:rFonts w:asciiTheme="minorEastAsia" w:eastAsiaTheme="minorEastAsia" w:hAnsiTheme="minorEastAsia" w:cs="宋体" w:hint="eastAsia"/>
                <w:sz w:val="24"/>
                <w:szCs w:val="24"/>
              </w:rPr>
              <w:t>中国证券登记结算有限责任公司</w:t>
            </w:r>
          </w:p>
        </w:tc>
      </w:tr>
      <w:tr w:rsidR="00A359D3" w:rsidRPr="00403503" w:rsidTr="00403503">
        <w:trPr>
          <w:jc w:val="center"/>
        </w:trPr>
        <w:tc>
          <w:tcPr>
            <w:tcW w:w="2951" w:type="dxa"/>
            <w:vAlign w:val="center"/>
          </w:tcPr>
          <w:p w:rsidR="00A359D3" w:rsidRPr="00403503" w:rsidRDefault="00A359D3">
            <w:pPr>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公告依据</w:t>
            </w:r>
          </w:p>
        </w:tc>
        <w:tc>
          <w:tcPr>
            <w:tcW w:w="5869" w:type="dxa"/>
            <w:vAlign w:val="center"/>
          </w:tcPr>
          <w:p w:rsidR="00A359D3" w:rsidRPr="00403503" w:rsidRDefault="00A359D3">
            <w:pPr>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《中华人民共和国证券投资基金法》、《公开募集证券投资基金运作管理办法》以及《</w:t>
            </w:r>
            <w:r w:rsidR="0043031C" w:rsidRPr="00403503">
              <w:rPr>
                <w:rFonts w:asciiTheme="minorEastAsia" w:eastAsiaTheme="minorEastAsia" w:hAnsiTheme="minorEastAsia" w:cs="宋体" w:hint="eastAsia"/>
                <w:sz w:val="24"/>
                <w:szCs w:val="24"/>
              </w:rPr>
              <w:t>兴业上证180金融交易型开放式指数证券投资基金</w:t>
            </w:r>
            <w:r w:rsidRPr="00403503">
              <w:rPr>
                <w:rFonts w:asciiTheme="minorEastAsia" w:eastAsiaTheme="minorEastAsia" w:hAnsiTheme="minorEastAsia" w:cs="宋体" w:hint="eastAsia"/>
                <w:sz w:val="24"/>
                <w:szCs w:val="24"/>
              </w:rPr>
              <w:t>基金合同》、《</w:t>
            </w:r>
            <w:r w:rsidR="0043031C" w:rsidRPr="00403503">
              <w:rPr>
                <w:rFonts w:asciiTheme="minorEastAsia" w:eastAsiaTheme="minorEastAsia" w:hAnsiTheme="minorEastAsia" w:cs="宋体" w:hint="eastAsia"/>
                <w:sz w:val="24"/>
                <w:szCs w:val="24"/>
              </w:rPr>
              <w:t>兴业上证180金融交易型开放式指数证券投资基金</w:t>
            </w:r>
            <w:r w:rsidRPr="00403503">
              <w:rPr>
                <w:rFonts w:asciiTheme="minorEastAsia" w:eastAsiaTheme="minorEastAsia" w:hAnsiTheme="minorEastAsia" w:cs="宋体" w:hint="eastAsia"/>
                <w:sz w:val="24"/>
                <w:szCs w:val="24"/>
              </w:rPr>
              <w:t>招募说明书》</w:t>
            </w:r>
          </w:p>
        </w:tc>
      </w:tr>
      <w:tr w:rsidR="00A359D3" w:rsidRPr="00403503" w:rsidTr="00403503">
        <w:trPr>
          <w:jc w:val="center"/>
        </w:trPr>
        <w:tc>
          <w:tcPr>
            <w:tcW w:w="2951" w:type="dxa"/>
            <w:vAlign w:val="center"/>
          </w:tcPr>
          <w:p w:rsidR="00A359D3" w:rsidRPr="00403503" w:rsidRDefault="00A359D3">
            <w:pPr>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申购起始日</w:t>
            </w:r>
          </w:p>
        </w:tc>
        <w:tc>
          <w:tcPr>
            <w:tcW w:w="5869" w:type="dxa"/>
            <w:vAlign w:val="center"/>
          </w:tcPr>
          <w:p w:rsidR="00A359D3" w:rsidRPr="00403503" w:rsidRDefault="00A359D3" w:rsidP="009C62D7">
            <w:pPr>
              <w:rPr>
                <w:rFonts w:asciiTheme="minorEastAsia" w:eastAsiaTheme="minorEastAsia" w:hAnsiTheme="minorEastAsia" w:cs="宋体"/>
                <w:color w:val="000000"/>
                <w:sz w:val="24"/>
                <w:szCs w:val="24"/>
              </w:rPr>
            </w:pPr>
            <w:bookmarkStart w:id="3" w:name="t_2_1_2660_a1_fm1"/>
            <w:bookmarkEnd w:id="3"/>
            <w:r w:rsidRPr="00403503">
              <w:rPr>
                <w:rFonts w:asciiTheme="minorEastAsia" w:eastAsiaTheme="minorEastAsia" w:hAnsiTheme="minorEastAsia" w:cs="宋体" w:hint="eastAsia"/>
                <w:color w:val="000000"/>
                <w:sz w:val="24"/>
                <w:szCs w:val="24"/>
              </w:rPr>
              <w:t>20</w:t>
            </w:r>
            <w:r w:rsidR="00EA7D10" w:rsidRPr="00403503">
              <w:rPr>
                <w:rFonts w:asciiTheme="minorEastAsia" w:eastAsiaTheme="minorEastAsia" w:hAnsiTheme="minorEastAsia" w:cs="宋体"/>
                <w:color w:val="000000"/>
                <w:sz w:val="24"/>
                <w:szCs w:val="24"/>
              </w:rPr>
              <w:t>20</w:t>
            </w:r>
            <w:r w:rsidRPr="00403503">
              <w:rPr>
                <w:rFonts w:asciiTheme="minorEastAsia" w:eastAsiaTheme="minorEastAsia" w:hAnsiTheme="minorEastAsia" w:cs="宋体" w:hint="eastAsia"/>
                <w:color w:val="000000"/>
                <w:sz w:val="24"/>
                <w:szCs w:val="24"/>
              </w:rPr>
              <w:t>年6月</w:t>
            </w:r>
            <w:r w:rsidR="009C62D7" w:rsidRPr="00403503">
              <w:rPr>
                <w:rFonts w:asciiTheme="minorEastAsia" w:eastAsiaTheme="minorEastAsia" w:hAnsiTheme="minorEastAsia" w:cs="宋体"/>
                <w:color w:val="000000"/>
                <w:sz w:val="24"/>
                <w:szCs w:val="24"/>
              </w:rPr>
              <w:t>22</w:t>
            </w:r>
            <w:r w:rsidRPr="00403503">
              <w:rPr>
                <w:rFonts w:asciiTheme="minorEastAsia" w:eastAsiaTheme="minorEastAsia" w:hAnsiTheme="minorEastAsia" w:cs="宋体" w:hint="eastAsia"/>
                <w:color w:val="000000"/>
                <w:sz w:val="24"/>
                <w:szCs w:val="24"/>
              </w:rPr>
              <w:t>日</w:t>
            </w:r>
          </w:p>
        </w:tc>
      </w:tr>
      <w:tr w:rsidR="00A359D3" w:rsidRPr="00403503" w:rsidTr="00403503">
        <w:trPr>
          <w:jc w:val="center"/>
        </w:trPr>
        <w:tc>
          <w:tcPr>
            <w:tcW w:w="2951" w:type="dxa"/>
            <w:vAlign w:val="center"/>
          </w:tcPr>
          <w:p w:rsidR="00A359D3" w:rsidRPr="00403503" w:rsidRDefault="00A359D3">
            <w:pPr>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赎回起始日</w:t>
            </w:r>
          </w:p>
        </w:tc>
        <w:tc>
          <w:tcPr>
            <w:tcW w:w="5869" w:type="dxa"/>
            <w:vAlign w:val="center"/>
          </w:tcPr>
          <w:p w:rsidR="00A359D3" w:rsidRPr="00403503" w:rsidRDefault="00A359D3" w:rsidP="009C62D7">
            <w:pPr>
              <w:rPr>
                <w:rFonts w:asciiTheme="minorEastAsia" w:eastAsiaTheme="minorEastAsia" w:hAnsiTheme="minorEastAsia" w:cs="宋体"/>
                <w:color w:val="000000"/>
                <w:sz w:val="24"/>
                <w:szCs w:val="24"/>
              </w:rPr>
            </w:pPr>
            <w:r w:rsidRPr="00403503">
              <w:rPr>
                <w:rFonts w:asciiTheme="minorEastAsia" w:eastAsiaTheme="minorEastAsia" w:hAnsiTheme="minorEastAsia" w:cs="宋体" w:hint="eastAsia"/>
                <w:color w:val="000000"/>
                <w:sz w:val="24"/>
                <w:szCs w:val="24"/>
              </w:rPr>
              <w:t>20</w:t>
            </w:r>
            <w:r w:rsidR="00EA7D10" w:rsidRPr="00403503">
              <w:rPr>
                <w:rFonts w:asciiTheme="minorEastAsia" w:eastAsiaTheme="minorEastAsia" w:hAnsiTheme="minorEastAsia" w:cs="宋体"/>
                <w:color w:val="000000"/>
                <w:sz w:val="24"/>
                <w:szCs w:val="24"/>
              </w:rPr>
              <w:t>20</w:t>
            </w:r>
            <w:r w:rsidRPr="00403503">
              <w:rPr>
                <w:rFonts w:asciiTheme="minorEastAsia" w:eastAsiaTheme="minorEastAsia" w:hAnsiTheme="minorEastAsia" w:cs="宋体" w:hint="eastAsia"/>
                <w:color w:val="000000"/>
                <w:sz w:val="24"/>
                <w:szCs w:val="24"/>
              </w:rPr>
              <w:t>年6月</w:t>
            </w:r>
            <w:r w:rsidR="009C62D7" w:rsidRPr="00403503">
              <w:rPr>
                <w:rFonts w:asciiTheme="minorEastAsia" w:eastAsiaTheme="minorEastAsia" w:hAnsiTheme="minorEastAsia" w:cs="宋体"/>
                <w:color w:val="000000"/>
                <w:sz w:val="24"/>
                <w:szCs w:val="24"/>
              </w:rPr>
              <w:t>22</w:t>
            </w:r>
            <w:r w:rsidRPr="00403503">
              <w:rPr>
                <w:rFonts w:asciiTheme="minorEastAsia" w:eastAsiaTheme="minorEastAsia" w:hAnsiTheme="minorEastAsia" w:cs="宋体" w:hint="eastAsia"/>
                <w:color w:val="000000"/>
                <w:sz w:val="24"/>
                <w:szCs w:val="24"/>
              </w:rPr>
              <w:t>日</w:t>
            </w:r>
          </w:p>
        </w:tc>
      </w:tr>
    </w:tbl>
    <w:p w:rsidR="00A359D3" w:rsidRPr="00403503" w:rsidRDefault="00A359D3" w:rsidP="00CE50A6">
      <w:pPr>
        <w:rPr>
          <w:rFonts w:asciiTheme="minorEastAsia" w:eastAsiaTheme="minorEastAsia" w:hAnsiTheme="minorEastAsia" w:cs="宋体"/>
          <w:color w:val="000000"/>
          <w:kern w:val="3"/>
          <w:sz w:val="24"/>
          <w:szCs w:val="24"/>
        </w:rPr>
      </w:pPr>
      <w:r w:rsidRPr="00403503">
        <w:rPr>
          <w:rFonts w:asciiTheme="minorEastAsia" w:eastAsiaTheme="minorEastAsia" w:hAnsiTheme="minorEastAsia" w:cs="宋体" w:hint="eastAsia"/>
          <w:color w:val="4B4B4B"/>
          <w:kern w:val="0"/>
          <w:sz w:val="24"/>
          <w:szCs w:val="24"/>
          <w:shd w:val="clear" w:color="auto" w:fill="FFFFFF"/>
        </w:rPr>
        <w:t>注：</w:t>
      </w:r>
      <w:r w:rsidR="0043031C" w:rsidRPr="00403503">
        <w:rPr>
          <w:rFonts w:asciiTheme="minorEastAsia" w:eastAsiaTheme="minorEastAsia" w:hAnsiTheme="minorEastAsia" w:cs="宋体" w:hint="eastAsia"/>
          <w:sz w:val="24"/>
          <w:szCs w:val="24"/>
        </w:rPr>
        <w:t>兴业上证180金融交易型开放式指数证券投资基金</w:t>
      </w:r>
      <w:r w:rsidRPr="00403503">
        <w:rPr>
          <w:rFonts w:asciiTheme="minorEastAsia" w:eastAsiaTheme="minorEastAsia" w:hAnsiTheme="minorEastAsia" w:cs="宋体" w:hint="eastAsia"/>
          <w:color w:val="000000"/>
          <w:kern w:val="3"/>
          <w:sz w:val="24"/>
          <w:szCs w:val="24"/>
        </w:rPr>
        <w:t>申购、赎回代码为</w:t>
      </w:r>
      <w:r w:rsidR="0043031C" w:rsidRPr="00403503">
        <w:rPr>
          <w:rFonts w:asciiTheme="minorEastAsia" w:eastAsiaTheme="minorEastAsia" w:hAnsiTheme="minorEastAsia" w:cs="宋体"/>
          <w:color w:val="000000"/>
          <w:kern w:val="3"/>
          <w:sz w:val="24"/>
          <w:szCs w:val="24"/>
        </w:rPr>
        <w:t>510691</w:t>
      </w:r>
      <w:r w:rsidR="00D52BB2" w:rsidRPr="00403503">
        <w:rPr>
          <w:rFonts w:asciiTheme="minorEastAsia" w:eastAsiaTheme="minorEastAsia" w:hAnsiTheme="minorEastAsia" w:cs="宋体" w:hint="eastAsia"/>
          <w:color w:val="000000"/>
          <w:kern w:val="3"/>
          <w:sz w:val="24"/>
          <w:szCs w:val="24"/>
        </w:rPr>
        <w:t>，</w:t>
      </w:r>
      <w:r w:rsidR="006063FD" w:rsidRPr="00403503">
        <w:rPr>
          <w:rFonts w:asciiTheme="minorEastAsia" w:eastAsiaTheme="minorEastAsia" w:hAnsiTheme="minorEastAsia" w:cs="宋体" w:hint="eastAsia"/>
          <w:color w:val="000000"/>
          <w:kern w:val="3"/>
          <w:sz w:val="24"/>
          <w:szCs w:val="24"/>
        </w:rPr>
        <w:t>基金</w:t>
      </w:r>
      <w:r w:rsidR="00D52BB2" w:rsidRPr="00403503">
        <w:rPr>
          <w:rFonts w:asciiTheme="minorEastAsia" w:eastAsiaTheme="minorEastAsia" w:hAnsiTheme="minorEastAsia" w:cs="宋体"/>
          <w:color w:val="000000"/>
          <w:kern w:val="3"/>
          <w:sz w:val="24"/>
          <w:szCs w:val="24"/>
        </w:rPr>
        <w:t>简称为“</w:t>
      </w:r>
      <w:r w:rsidR="0033313F" w:rsidRPr="00403503">
        <w:rPr>
          <w:rFonts w:asciiTheme="minorEastAsia" w:eastAsiaTheme="minorEastAsia" w:hAnsiTheme="minorEastAsia" w:cs="宋体"/>
          <w:color w:val="000000"/>
          <w:kern w:val="3"/>
          <w:sz w:val="24"/>
          <w:szCs w:val="24"/>
        </w:rPr>
        <w:t>180金融</w:t>
      </w:r>
      <w:r w:rsidR="00D52BB2" w:rsidRPr="00403503">
        <w:rPr>
          <w:rFonts w:asciiTheme="minorEastAsia" w:eastAsiaTheme="minorEastAsia" w:hAnsiTheme="minorEastAsia" w:cs="宋体"/>
          <w:color w:val="000000"/>
          <w:kern w:val="3"/>
          <w:sz w:val="24"/>
          <w:szCs w:val="24"/>
        </w:rPr>
        <w:t>”</w:t>
      </w:r>
      <w:r w:rsidR="0033313F" w:rsidRPr="00403503">
        <w:rPr>
          <w:rFonts w:asciiTheme="minorEastAsia" w:eastAsiaTheme="minorEastAsia" w:hAnsiTheme="minorEastAsia" w:cs="宋体" w:hint="eastAsia"/>
          <w:color w:val="000000"/>
          <w:kern w:val="3"/>
          <w:sz w:val="24"/>
          <w:szCs w:val="24"/>
        </w:rPr>
        <w:t>，</w:t>
      </w:r>
      <w:r w:rsidR="0033313F" w:rsidRPr="00403503">
        <w:rPr>
          <w:rFonts w:asciiTheme="minorEastAsia" w:eastAsiaTheme="minorEastAsia" w:hAnsiTheme="minorEastAsia" w:cs="宋体"/>
          <w:color w:val="000000"/>
          <w:kern w:val="3"/>
          <w:sz w:val="24"/>
          <w:szCs w:val="24"/>
        </w:rPr>
        <w:t>扩位证券简称为“兴业金融ETF”。</w:t>
      </w:r>
    </w:p>
    <w:p w:rsidR="00CE50A6" w:rsidRPr="00403503" w:rsidRDefault="00CE50A6" w:rsidP="00CE50A6">
      <w:pPr>
        <w:rPr>
          <w:rFonts w:asciiTheme="minorEastAsia" w:eastAsiaTheme="minorEastAsia" w:hAnsiTheme="minorEastAsia" w:cs="宋体"/>
          <w:color w:val="000000"/>
          <w:kern w:val="3"/>
          <w:sz w:val="24"/>
          <w:szCs w:val="24"/>
        </w:rPr>
      </w:pPr>
    </w:p>
    <w:p w:rsidR="00A359D3" w:rsidRPr="00403503" w:rsidRDefault="00A359D3" w:rsidP="006E0C93">
      <w:pPr>
        <w:pStyle w:val="2"/>
        <w:adjustRightInd w:val="0"/>
        <w:snapToGrid w:val="0"/>
        <w:spacing w:before="0" w:after="0" w:line="360" w:lineRule="auto"/>
        <w:jc w:val="left"/>
        <w:rPr>
          <w:rFonts w:asciiTheme="minorEastAsia" w:eastAsiaTheme="minorEastAsia" w:hAnsiTheme="minorEastAsia" w:cs="宋体"/>
          <w:sz w:val="24"/>
          <w:szCs w:val="24"/>
        </w:rPr>
      </w:pPr>
      <w:r w:rsidRPr="00403503">
        <w:rPr>
          <w:rFonts w:asciiTheme="minorEastAsia" w:eastAsiaTheme="minorEastAsia" w:hAnsiTheme="minorEastAsia" w:cs="宋体" w:hint="eastAsia"/>
          <w:bCs/>
          <w:sz w:val="24"/>
          <w:szCs w:val="24"/>
        </w:rPr>
        <w:t xml:space="preserve">2 </w:t>
      </w:r>
      <w:bookmarkStart w:id="4" w:name="t_2_2_table"/>
      <w:bookmarkEnd w:id="4"/>
      <w:r w:rsidRPr="00403503">
        <w:rPr>
          <w:rFonts w:asciiTheme="minorEastAsia" w:eastAsiaTheme="minorEastAsia" w:hAnsiTheme="minorEastAsia" w:cs="宋体" w:hint="eastAsia"/>
          <w:bCs/>
          <w:sz w:val="24"/>
          <w:szCs w:val="24"/>
        </w:rPr>
        <w:t>日常申购、赎回业务的办理时间</w:t>
      </w:r>
    </w:p>
    <w:p w:rsidR="00A359D3" w:rsidRPr="00403503" w:rsidRDefault="00A359D3"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投资人在开放日办理基金份额的申购和赎回，具体办理时间为上海证券交易所的正常交易日的交易时间，但基金管理人根据法律法规、中国证监会的要求或基金合同的规定公告暂停申购、赎回时除外。基金管理人自基金合同生效之日起不超过3个月开始办理申购和</w:t>
      </w:r>
      <w:r w:rsidRPr="00403503">
        <w:rPr>
          <w:rFonts w:asciiTheme="minorEastAsia" w:eastAsiaTheme="minorEastAsia" w:hAnsiTheme="minorEastAsia" w:cs="宋体"/>
          <w:sz w:val="24"/>
          <w:szCs w:val="24"/>
        </w:rPr>
        <w:t>赎回。</w:t>
      </w:r>
    </w:p>
    <w:p w:rsidR="00A359D3" w:rsidRPr="00403503" w:rsidRDefault="0043031C"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兴业上证180金融交易型开放式指数证券投资基金</w:t>
      </w:r>
      <w:r w:rsidR="00A359D3" w:rsidRPr="00403503">
        <w:rPr>
          <w:rFonts w:asciiTheme="minorEastAsia" w:eastAsiaTheme="minorEastAsia" w:hAnsiTheme="minorEastAsia" w:cs="宋体" w:hint="eastAsia"/>
          <w:sz w:val="24"/>
          <w:szCs w:val="24"/>
        </w:rPr>
        <w:t>（以下</w:t>
      </w:r>
      <w:r w:rsidR="00A359D3" w:rsidRPr="00403503">
        <w:rPr>
          <w:rFonts w:asciiTheme="minorEastAsia" w:eastAsiaTheme="minorEastAsia" w:hAnsiTheme="minorEastAsia" w:cs="宋体"/>
          <w:sz w:val="24"/>
          <w:szCs w:val="24"/>
        </w:rPr>
        <w:t>简称</w:t>
      </w:r>
      <w:r w:rsidR="00A359D3" w:rsidRPr="00403503">
        <w:rPr>
          <w:rFonts w:asciiTheme="minorEastAsia" w:eastAsiaTheme="minorEastAsia" w:hAnsiTheme="minorEastAsia" w:cs="宋体" w:hint="eastAsia"/>
          <w:sz w:val="24"/>
          <w:szCs w:val="24"/>
        </w:rPr>
        <w:t>“</w:t>
      </w:r>
      <w:r w:rsidR="00A359D3" w:rsidRPr="00403503">
        <w:rPr>
          <w:rFonts w:asciiTheme="minorEastAsia" w:eastAsiaTheme="minorEastAsia" w:hAnsiTheme="minorEastAsia" w:cs="宋体"/>
          <w:sz w:val="24"/>
          <w:szCs w:val="24"/>
        </w:rPr>
        <w:t>本基金</w:t>
      </w:r>
      <w:r w:rsidR="00A359D3" w:rsidRPr="00403503">
        <w:rPr>
          <w:rFonts w:asciiTheme="minorEastAsia" w:eastAsiaTheme="minorEastAsia" w:hAnsiTheme="minorEastAsia" w:cs="宋体" w:hint="eastAsia"/>
          <w:sz w:val="24"/>
          <w:szCs w:val="24"/>
        </w:rPr>
        <w:t>”</w:t>
      </w:r>
      <w:r w:rsidR="00A359D3" w:rsidRPr="00403503">
        <w:rPr>
          <w:rFonts w:asciiTheme="minorEastAsia" w:eastAsiaTheme="minorEastAsia" w:hAnsiTheme="minorEastAsia" w:cs="宋体"/>
          <w:sz w:val="24"/>
          <w:szCs w:val="24"/>
        </w:rPr>
        <w:t>）</w:t>
      </w:r>
      <w:r w:rsidR="00A359D3" w:rsidRPr="00403503">
        <w:rPr>
          <w:rFonts w:asciiTheme="minorEastAsia" w:eastAsiaTheme="minorEastAsia" w:hAnsiTheme="minorEastAsia" w:cs="宋体" w:hint="eastAsia"/>
          <w:sz w:val="24"/>
          <w:szCs w:val="24"/>
        </w:rPr>
        <w:t>自</w:t>
      </w:r>
      <w:r w:rsidRPr="00403503">
        <w:rPr>
          <w:rFonts w:asciiTheme="minorEastAsia" w:eastAsiaTheme="minorEastAsia" w:hAnsiTheme="minorEastAsia" w:cs="宋体"/>
          <w:sz w:val="24"/>
          <w:szCs w:val="24"/>
        </w:rPr>
        <w:t>2020</w:t>
      </w:r>
      <w:r w:rsidR="00A359D3" w:rsidRPr="00403503">
        <w:rPr>
          <w:rFonts w:asciiTheme="minorEastAsia" w:eastAsiaTheme="minorEastAsia" w:hAnsiTheme="minorEastAsia" w:cs="宋体"/>
          <w:sz w:val="24"/>
          <w:szCs w:val="24"/>
        </w:rPr>
        <w:t>年6月</w:t>
      </w:r>
      <w:r w:rsidR="00472079" w:rsidRPr="00403503">
        <w:rPr>
          <w:rFonts w:asciiTheme="minorEastAsia" w:eastAsiaTheme="minorEastAsia" w:hAnsiTheme="minorEastAsia" w:cs="宋体"/>
          <w:sz w:val="24"/>
          <w:szCs w:val="24"/>
        </w:rPr>
        <w:t>22</w:t>
      </w:r>
      <w:r w:rsidR="00A359D3" w:rsidRPr="00403503">
        <w:rPr>
          <w:rFonts w:asciiTheme="minorEastAsia" w:eastAsiaTheme="minorEastAsia" w:hAnsiTheme="minorEastAsia" w:cs="宋体" w:hint="eastAsia"/>
          <w:sz w:val="24"/>
          <w:szCs w:val="24"/>
        </w:rPr>
        <w:t>日</w:t>
      </w:r>
      <w:r w:rsidR="00A359D3" w:rsidRPr="00403503">
        <w:rPr>
          <w:rFonts w:asciiTheme="minorEastAsia" w:eastAsiaTheme="minorEastAsia" w:hAnsiTheme="minorEastAsia" w:cs="宋体"/>
          <w:sz w:val="24"/>
          <w:szCs w:val="24"/>
        </w:rPr>
        <w:t>起</w:t>
      </w:r>
      <w:r w:rsidR="00A359D3" w:rsidRPr="00403503">
        <w:rPr>
          <w:rFonts w:asciiTheme="minorEastAsia" w:eastAsiaTheme="minorEastAsia" w:hAnsiTheme="minorEastAsia" w:cs="宋体" w:hint="eastAsia"/>
          <w:sz w:val="24"/>
          <w:szCs w:val="24"/>
        </w:rPr>
        <w:t>（含</w:t>
      </w:r>
      <w:r w:rsidR="00A359D3" w:rsidRPr="00403503">
        <w:rPr>
          <w:rFonts w:asciiTheme="minorEastAsia" w:eastAsiaTheme="minorEastAsia" w:hAnsiTheme="minorEastAsia" w:cs="宋体"/>
          <w:sz w:val="24"/>
          <w:szCs w:val="24"/>
        </w:rPr>
        <w:t>当日）</w:t>
      </w:r>
      <w:r w:rsidR="00A359D3" w:rsidRPr="00403503">
        <w:rPr>
          <w:rFonts w:asciiTheme="minorEastAsia" w:eastAsiaTheme="minorEastAsia" w:hAnsiTheme="minorEastAsia" w:cs="宋体" w:hint="eastAsia"/>
          <w:sz w:val="24"/>
          <w:szCs w:val="24"/>
        </w:rPr>
        <w:t>开始</w:t>
      </w:r>
      <w:r w:rsidR="00A359D3" w:rsidRPr="00403503">
        <w:rPr>
          <w:rFonts w:asciiTheme="minorEastAsia" w:eastAsiaTheme="minorEastAsia" w:hAnsiTheme="minorEastAsia" w:cs="宋体"/>
          <w:sz w:val="24"/>
          <w:szCs w:val="24"/>
        </w:rPr>
        <w:t>办理申购、赎回业务。</w:t>
      </w:r>
    </w:p>
    <w:p w:rsidR="00A359D3" w:rsidRPr="00403503" w:rsidRDefault="00A359D3" w:rsidP="006E0C93">
      <w:pPr>
        <w:adjustRightInd w:val="0"/>
        <w:snapToGrid w:val="0"/>
        <w:spacing w:line="360" w:lineRule="auto"/>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 xml:space="preserve">    </w:t>
      </w:r>
    </w:p>
    <w:p w:rsidR="00A359D3" w:rsidRPr="00403503" w:rsidRDefault="00A359D3" w:rsidP="006E0C93">
      <w:pPr>
        <w:pStyle w:val="2"/>
        <w:adjustRightInd w:val="0"/>
        <w:snapToGrid w:val="0"/>
        <w:spacing w:before="0" w:after="0" w:line="360" w:lineRule="auto"/>
        <w:jc w:val="left"/>
        <w:rPr>
          <w:rFonts w:asciiTheme="minorEastAsia" w:eastAsiaTheme="minorEastAsia" w:hAnsiTheme="minorEastAsia" w:cs="宋体"/>
          <w:bCs/>
          <w:sz w:val="24"/>
          <w:szCs w:val="24"/>
        </w:rPr>
      </w:pPr>
      <w:r w:rsidRPr="00403503">
        <w:rPr>
          <w:rFonts w:asciiTheme="minorEastAsia" w:eastAsiaTheme="minorEastAsia" w:hAnsiTheme="minorEastAsia" w:cs="宋体" w:hint="eastAsia"/>
          <w:bCs/>
          <w:sz w:val="24"/>
          <w:szCs w:val="24"/>
        </w:rPr>
        <w:t>3</w:t>
      </w:r>
      <w:r w:rsidR="00240FB2" w:rsidRPr="00403503">
        <w:rPr>
          <w:rFonts w:asciiTheme="minorEastAsia" w:eastAsiaTheme="minorEastAsia" w:hAnsiTheme="minorEastAsia" w:cs="宋体" w:hint="eastAsia"/>
          <w:bCs/>
          <w:sz w:val="24"/>
          <w:szCs w:val="24"/>
        </w:rPr>
        <w:t>日常申购</w:t>
      </w:r>
      <w:r w:rsidRPr="00403503">
        <w:rPr>
          <w:rFonts w:asciiTheme="minorEastAsia" w:eastAsiaTheme="minorEastAsia" w:hAnsiTheme="minorEastAsia" w:cs="宋体" w:hint="eastAsia"/>
          <w:bCs/>
          <w:sz w:val="24"/>
          <w:szCs w:val="24"/>
        </w:rPr>
        <w:t>业务</w:t>
      </w:r>
    </w:p>
    <w:p w:rsidR="00A359D3" w:rsidRPr="00403503" w:rsidRDefault="00A359D3" w:rsidP="006E0C93">
      <w:pPr>
        <w:adjustRightInd w:val="0"/>
        <w:snapToGrid w:val="0"/>
        <w:spacing w:line="360" w:lineRule="auto"/>
        <w:jc w:val="left"/>
        <w:rPr>
          <w:rFonts w:asciiTheme="minorEastAsia" w:eastAsiaTheme="minorEastAsia" w:hAnsiTheme="minorEastAsia" w:cs="宋体"/>
          <w:b/>
          <w:bCs/>
          <w:color w:val="000000"/>
          <w:sz w:val="24"/>
          <w:szCs w:val="24"/>
        </w:rPr>
      </w:pPr>
      <w:r w:rsidRPr="00403503">
        <w:rPr>
          <w:rFonts w:asciiTheme="minorEastAsia" w:eastAsiaTheme="minorEastAsia" w:hAnsiTheme="minorEastAsia" w:cs="宋体" w:hint="eastAsia"/>
          <w:b/>
          <w:bCs/>
          <w:sz w:val="24"/>
          <w:szCs w:val="24"/>
        </w:rPr>
        <w:t>3.1 申购</w:t>
      </w:r>
      <w:r w:rsidR="00240FB2" w:rsidRPr="00403503">
        <w:rPr>
          <w:rFonts w:asciiTheme="minorEastAsia" w:eastAsiaTheme="minorEastAsia" w:hAnsiTheme="minorEastAsia" w:cs="宋体" w:hint="eastAsia"/>
          <w:b/>
          <w:bCs/>
          <w:sz w:val="24"/>
          <w:szCs w:val="24"/>
        </w:rPr>
        <w:t>金额</w:t>
      </w:r>
      <w:r w:rsidRPr="00403503">
        <w:rPr>
          <w:rFonts w:asciiTheme="minorEastAsia" w:eastAsiaTheme="minorEastAsia" w:hAnsiTheme="minorEastAsia" w:cs="宋体" w:hint="eastAsia"/>
          <w:b/>
          <w:bCs/>
          <w:sz w:val="24"/>
          <w:szCs w:val="24"/>
        </w:rPr>
        <w:t>限制</w:t>
      </w:r>
    </w:p>
    <w:p w:rsidR="00A359D3" w:rsidRPr="00403503" w:rsidRDefault="00A359D3" w:rsidP="006E0C93">
      <w:pPr>
        <w:adjustRightInd w:val="0"/>
        <w:snapToGrid w:val="0"/>
        <w:spacing w:line="360" w:lineRule="auto"/>
        <w:ind w:firstLineChars="200" w:firstLine="480"/>
        <w:jc w:val="left"/>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lastRenderedPageBreak/>
        <w:t>（1）</w:t>
      </w:r>
      <w:r w:rsidR="0043031C" w:rsidRPr="00403503">
        <w:rPr>
          <w:rFonts w:asciiTheme="minorEastAsia" w:eastAsiaTheme="minorEastAsia" w:hAnsiTheme="minorEastAsia" w:cs="宋体" w:hint="eastAsia"/>
          <w:sz w:val="24"/>
          <w:szCs w:val="24"/>
        </w:rPr>
        <w:t>投资人申购的基金份额需为最小申购单位的整数倍。本基金最小申购为</w:t>
      </w:r>
      <w:r w:rsidR="00C86F2F" w:rsidRPr="00403503">
        <w:rPr>
          <w:rFonts w:asciiTheme="minorEastAsia" w:eastAsiaTheme="minorEastAsia" w:hAnsiTheme="minorEastAsia" w:cs="宋体" w:hint="eastAsia"/>
          <w:sz w:val="24"/>
          <w:szCs w:val="24"/>
        </w:rPr>
        <w:t>100</w:t>
      </w:r>
      <w:r w:rsidR="0043031C" w:rsidRPr="00403503">
        <w:rPr>
          <w:rFonts w:asciiTheme="minorEastAsia" w:eastAsiaTheme="minorEastAsia" w:hAnsiTheme="minorEastAsia" w:cs="宋体" w:hint="eastAsia"/>
          <w:sz w:val="24"/>
          <w:szCs w:val="24"/>
        </w:rPr>
        <w:t>万份。最小申购单位由基金管理人综合考虑对投资组合跟踪误差的影响以及市场需求等因素确定及调整。</w:t>
      </w:r>
    </w:p>
    <w:p w:rsidR="00FC49BF" w:rsidRPr="00403503" w:rsidRDefault="00A359D3" w:rsidP="006E0C93">
      <w:pPr>
        <w:adjustRightInd w:val="0"/>
        <w:snapToGrid w:val="0"/>
        <w:spacing w:line="360" w:lineRule="auto"/>
        <w:ind w:firstLineChars="200" w:firstLine="480"/>
        <w:jc w:val="left"/>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（2）</w:t>
      </w:r>
      <w:r w:rsidR="0043031C" w:rsidRPr="00403503">
        <w:rPr>
          <w:rFonts w:asciiTheme="minorEastAsia" w:eastAsiaTheme="minorEastAsia" w:hAnsiTheme="minorEastAsia" w:cs="宋体" w:hint="eastAsia"/>
          <w:sz w:val="24"/>
          <w:szCs w:val="24"/>
        </w:rPr>
        <w:t>基金管理人可以规定本基金当日申购份额上限，具体规定详见相关公告。</w:t>
      </w:r>
    </w:p>
    <w:p w:rsidR="00FC49BF" w:rsidRPr="00403503" w:rsidRDefault="0043031C" w:rsidP="006E0C93">
      <w:pPr>
        <w:adjustRightInd w:val="0"/>
        <w:snapToGrid w:val="0"/>
        <w:spacing w:line="360" w:lineRule="auto"/>
        <w:ind w:firstLineChars="200" w:firstLine="480"/>
        <w:jc w:val="left"/>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基金管理人可根据市场情况，在法律法规允许的情况下，调整上述规定数量或比例限制。基金管理人必须在调整实施前依照《信息披露办法》的有关规定在指定媒介上公告</w:t>
      </w:r>
      <w:r w:rsidR="001C5400" w:rsidRPr="00403503">
        <w:rPr>
          <w:rFonts w:asciiTheme="minorEastAsia" w:eastAsiaTheme="minorEastAsia" w:hAnsiTheme="minorEastAsia" w:cs="宋体" w:hint="eastAsia"/>
          <w:sz w:val="24"/>
          <w:szCs w:val="24"/>
        </w:rPr>
        <w:t>（其中上述第 2 条基金管理人必须于前一交易日设定并在当日基金申购赎回清单上公布，而不必在指定媒介上公告也无须报中国证监会备案）</w:t>
      </w:r>
      <w:r w:rsidRPr="00403503">
        <w:rPr>
          <w:rFonts w:asciiTheme="minorEastAsia" w:eastAsiaTheme="minorEastAsia" w:hAnsiTheme="minorEastAsia" w:cs="宋体" w:hint="eastAsia"/>
          <w:sz w:val="24"/>
          <w:szCs w:val="24"/>
        </w:rPr>
        <w:t>。</w:t>
      </w:r>
    </w:p>
    <w:p w:rsidR="00A359D3" w:rsidRPr="00403503" w:rsidRDefault="0043031C" w:rsidP="006E0C93">
      <w:pPr>
        <w:adjustRightInd w:val="0"/>
        <w:snapToGrid w:val="0"/>
        <w:spacing w:line="360" w:lineRule="auto"/>
        <w:ind w:firstLineChars="200" w:firstLine="480"/>
        <w:jc w:val="left"/>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当接受申购申请对存量基金份额持有人利益构成潜在重大不利影响时，基金管理人应当采取设定单一投资者申购份额上限或基金单日净申购比例上限、拒绝大额申购、暂停基金申购等措施，切实保护存量基金份额持有人的合法权益。基</w:t>
      </w:r>
      <w:r w:rsidR="00FC49BF" w:rsidRPr="00403503">
        <w:rPr>
          <w:rFonts w:asciiTheme="minorEastAsia" w:eastAsiaTheme="minorEastAsia" w:hAnsiTheme="minorEastAsia" w:cs="宋体" w:hint="eastAsia"/>
          <w:sz w:val="24"/>
          <w:szCs w:val="24"/>
        </w:rPr>
        <w:t>金管理人基于投资运作与风险控制的需要，可采取上述措施对基金规模予以控制。具体规定请参见相关公告。</w:t>
      </w:r>
    </w:p>
    <w:p w:rsidR="00A359D3" w:rsidRPr="00403503" w:rsidRDefault="00A359D3" w:rsidP="006E0C93">
      <w:pPr>
        <w:adjustRightInd w:val="0"/>
        <w:snapToGrid w:val="0"/>
        <w:spacing w:line="360" w:lineRule="auto"/>
        <w:jc w:val="left"/>
        <w:rPr>
          <w:rFonts w:asciiTheme="minorEastAsia" w:eastAsiaTheme="minorEastAsia" w:hAnsiTheme="minorEastAsia" w:cs="宋体"/>
          <w:sz w:val="24"/>
          <w:szCs w:val="24"/>
        </w:rPr>
      </w:pPr>
    </w:p>
    <w:p w:rsidR="00A359D3" w:rsidRPr="00403503" w:rsidRDefault="00A359D3" w:rsidP="006E0C93">
      <w:pPr>
        <w:adjustRightInd w:val="0"/>
        <w:snapToGrid w:val="0"/>
        <w:spacing w:line="360" w:lineRule="auto"/>
        <w:jc w:val="left"/>
        <w:rPr>
          <w:rFonts w:asciiTheme="minorEastAsia" w:eastAsiaTheme="minorEastAsia" w:hAnsiTheme="minorEastAsia" w:cs="宋体"/>
          <w:b/>
          <w:bCs/>
          <w:sz w:val="24"/>
          <w:szCs w:val="24"/>
        </w:rPr>
      </w:pPr>
      <w:r w:rsidRPr="00403503">
        <w:rPr>
          <w:rFonts w:asciiTheme="minorEastAsia" w:eastAsiaTheme="minorEastAsia" w:hAnsiTheme="minorEastAsia" w:cs="宋体" w:hint="eastAsia"/>
          <w:b/>
          <w:bCs/>
          <w:sz w:val="24"/>
          <w:szCs w:val="24"/>
        </w:rPr>
        <w:t>3.2 申购费率</w:t>
      </w:r>
    </w:p>
    <w:p w:rsidR="00A359D3" w:rsidRPr="00403503" w:rsidRDefault="00A359D3" w:rsidP="006E0C93">
      <w:pPr>
        <w:adjustRightInd w:val="0"/>
        <w:snapToGrid w:val="0"/>
        <w:spacing w:line="360" w:lineRule="auto"/>
        <w:ind w:firstLineChars="200" w:firstLine="480"/>
        <w:jc w:val="left"/>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投资人在申购本基金份额时，申购赎回代理机构可按照不超过0.5%的标准收取佣金，其中包含证券交易所、登记机构等收取的相关费用。</w:t>
      </w:r>
    </w:p>
    <w:p w:rsidR="00A359D3" w:rsidRPr="00403503" w:rsidRDefault="00A359D3" w:rsidP="006E0C93">
      <w:pPr>
        <w:adjustRightInd w:val="0"/>
        <w:snapToGrid w:val="0"/>
        <w:spacing w:line="360" w:lineRule="auto"/>
        <w:jc w:val="left"/>
        <w:rPr>
          <w:rFonts w:asciiTheme="minorEastAsia" w:eastAsiaTheme="minorEastAsia" w:hAnsiTheme="minorEastAsia" w:cs="宋体"/>
          <w:b/>
          <w:bCs/>
          <w:color w:val="000000"/>
          <w:sz w:val="24"/>
          <w:szCs w:val="24"/>
        </w:rPr>
      </w:pPr>
    </w:p>
    <w:p w:rsidR="00A359D3" w:rsidRPr="00110011" w:rsidRDefault="00A359D3" w:rsidP="00110011">
      <w:pPr>
        <w:pStyle w:val="2"/>
        <w:adjustRightInd w:val="0"/>
        <w:snapToGrid w:val="0"/>
        <w:spacing w:before="0" w:after="0" w:line="360" w:lineRule="auto"/>
        <w:jc w:val="left"/>
        <w:rPr>
          <w:rFonts w:asciiTheme="minorEastAsia" w:eastAsiaTheme="minorEastAsia" w:hAnsiTheme="minorEastAsia" w:cs="宋体"/>
          <w:bCs/>
          <w:sz w:val="24"/>
          <w:szCs w:val="24"/>
        </w:rPr>
      </w:pPr>
      <w:r w:rsidRPr="00403503">
        <w:rPr>
          <w:rFonts w:asciiTheme="minorEastAsia" w:eastAsiaTheme="minorEastAsia" w:hAnsiTheme="minorEastAsia" w:cs="宋体" w:hint="eastAsia"/>
          <w:bCs/>
          <w:sz w:val="24"/>
          <w:szCs w:val="24"/>
        </w:rPr>
        <w:t>4</w:t>
      </w:r>
      <w:r w:rsidR="00B70F87" w:rsidRPr="00403503">
        <w:rPr>
          <w:rFonts w:asciiTheme="minorEastAsia" w:eastAsiaTheme="minorEastAsia" w:hAnsiTheme="minorEastAsia" w:cs="宋体" w:hint="eastAsia"/>
          <w:bCs/>
          <w:sz w:val="24"/>
          <w:szCs w:val="24"/>
        </w:rPr>
        <w:t>日常赎回</w:t>
      </w:r>
      <w:r w:rsidR="00B70F87" w:rsidRPr="00403503">
        <w:rPr>
          <w:rFonts w:asciiTheme="minorEastAsia" w:eastAsiaTheme="minorEastAsia" w:hAnsiTheme="minorEastAsia" w:cs="宋体"/>
          <w:bCs/>
          <w:sz w:val="24"/>
          <w:szCs w:val="24"/>
        </w:rPr>
        <w:t>业务</w:t>
      </w:r>
    </w:p>
    <w:p w:rsidR="00CE50A6" w:rsidRPr="00403503" w:rsidRDefault="00A359D3" w:rsidP="006E0C93">
      <w:pPr>
        <w:adjustRightInd w:val="0"/>
        <w:snapToGrid w:val="0"/>
        <w:spacing w:line="360" w:lineRule="auto"/>
        <w:rPr>
          <w:rFonts w:asciiTheme="minorEastAsia" w:eastAsiaTheme="minorEastAsia" w:hAnsiTheme="minorEastAsia" w:cs="宋体"/>
          <w:color w:val="000000"/>
          <w:sz w:val="24"/>
          <w:szCs w:val="24"/>
        </w:rPr>
      </w:pPr>
      <w:r w:rsidRPr="00403503">
        <w:rPr>
          <w:rFonts w:asciiTheme="minorEastAsia" w:eastAsiaTheme="minorEastAsia" w:hAnsiTheme="minorEastAsia" w:cs="宋体" w:hint="eastAsia"/>
          <w:b/>
          <w:bCs/>
          <w:sz w:val="24"/>
          <w:szCs w:val="24"/>
        </w:rPr>
        <w:t xml:space="preserve">4.1 </w:t>
      </w:r>
      <w:r w:rsidR="00B70F87" w:rsidRPr="00403503">
        <w:rPr>
          <w:rFonts w:asciiTheme="minorEastAsia" w:eastAsiaTheme="minorEastAsia" w:hAnsiTheme="minorEastAsia" w:cs="宋体" w:hint="eastAsia"/>
          <w:b/>
          <w:bCs/>
          <w:sz w:val="24"/>
          <w:szCs w:val="24"/>
        </w:rPr>
        <w:t>赎回</w:t>
      </w:r>
      <w:r w:rsidR="00B70F87" w:rsidRPr="00403503">
        <w:rPr>
          <w:rFonts w:asciiTheme="minorEastAsia" w:eastAsiaTheme="minorEastAsia" w:hAnsiTheme="minorEastAsia" w:cs="宋体"/>
          <w:b/>
          <w:bCs/>
          <w:sz w:val="24"/>
          <w:szCs w:val="24"/>
        </w:rPr>
        <w:t>份额限制</w:t>
      </w:r>
    </w:p>
    <w:p w:rsidR="00B70F87" w:rsidRPr="00403503" w:rsidRDefault="00A42231"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（1）</w:t>
      </w:r>
      <w:r w:rsidR="00B70F87" w:rsidRPr="00403503">
        <w:rPr>
          <w:rFonts w:asciiTheme="minorEastAsia" w:eastAsiaTheme="minorEastAsia" w:hAnsiTheme="minorEastAsia" w:cs="宋体" w:hint="eastAsia"/>
          <w:sz w:val="24"/>
          <w:szCs w:val="24"/>
        </w:rPr>
        <w:t>投资人赎回的基金份额需为最小赎回单位的整数倍。本基金最小赎回单位为</w:t>
      </w:r>
      <w:r w:rsidR="00FC6ACF" w:rsidRPr="00403503">
        <w:rPr>
          <w:rFonts w:asciiTheme="minorEastAsia" w:eastAsiaTheme="minorEastAsia" w:hAnsiTheme="minorEastAsia" w:cs="宋体" w:hint="eastAsia"/>
          <w:sz w:val="24"/>
          <w:szCs w:val="24"/>
        </w:rPr>
        <w:t>100万份。最小</w:t>
      </w:r>
      <w:r w:rsidR="00B70F87" w:rsidRPr="00403503">
        <w:rPr>
          <w:rFonts w:asciiTheme="minorEastAsia" w:eastAsiaTheme="minorEastAsia" w:hAnsiTheme="minorEastAsia" w:cs="宋体" w:hint="eastAsia"/>
          <w:sz w:val="24"/>
          <w:szCs w:val="24"/>
        </w:rPr>
        <w:t>赎回单位由基金管理人综合考虑对投资组合跟踪误差的影响以及市场需求等因素确定及调整。</w:t>
      </w:r>
    </w:p>
    <w:p w:rsidR="00871315" w:rsidRPr="00403503" w:rsidRDefault="00871315"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（2）基金管理人可以规定本基金当日赎回份额上限，具体规定详见相关公告。</w:t>
      </w:r>
    </w:p>
    <w:p w:rsidR="00871315" w:rsidRPr="00403503" w:rsidRDefault="00871315"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基金管理人可根据市场情况，在法律法规允许的情况下，调整上述规定数量或比例限制。基金管理人必须在调整实施前依照《信息披露办法》的有关规定在指定媒介上公告（其中上述第 2 条基金管理人必须于前一交易日设定并在当日基金申购赎回清单上公布，而不必在指定媒介上公告也无须报中国证监会备案）</w:t>
      </w:r>
    </w:p>
    <w:p w:rsidR="00A359D3" w:rsidRPr="00403503" w:rsidRDefault="00A359D3" w:rsidP="006E0C93">
      <w:pPr>
        <w:adjustRightInd w:val="0"/>
        <w:snapToGrid w:val="0"/>
        <w:spacing w:line="360" w:lineRule="auto"/>
        <w:jc w:val="left"/>
        <w:rPr>
          <w:rFonts w:asciiTheme="minorEastAsia" w:eastAsiaTheme="minorEastAsia" w:hAnsiTheme="minorEastAsia" w:cs="宋体"/>
          <w:sz w:val="24"/>
          <w:szCs w:val="24"/>
        </w:rPr>
      </w:pPr>
    </w:p>
    <w:p w:rsidR="00A359D3" w:rsidRPr="00403503" w:rsidRDefault="00A359D3" w:rsidP="006E0C93">
      <w:pPr>
        <w:adjustRightInd w:val="0"/>
        <w:snapToGrid w:val="0"/>
        <w:spacing w:line="360" w:lineRule="auto"/>
        <w:jc w:val="left"/>
        <w:rPr>
          <w:rFonts w:asciiTheme="minorEastAsia" w:eastAsiaTheme="minorEastAsia" w:hAnsiTheme="minorEastAsia" w:cs="宋体"/>
          <w:b/>
          <w:bCs/>
          <w:sz w:val="24"/>
          <w:szCs w:val="24"/>
        </w:rPr>
      </w:pPr>
      <w:r w:rsidRPr="00403503">
        <w:rPr>
          <w:rFonts w:asciiTheme="minorEastAsia" w:eastAsiaTheme="minorEastAsia" w:hAnsiTheme="minorEastAsia" w:cs="宋体" w:hint="eastAsia"/>
          <w:b/>
          <w:bCs/>
          <w:sz w:val="24"/>
          <w:szCs w:val="24"/>
        </w:rPr>
        <w:t xml:space="preserve">4.2 </w:t>
      </w:r>
      <w:r w:rsidR="000022DB" w:rsidRPr="00403503">
        <w:rPr>
          <w:rFonts w:asciiTheme="minorEastAsia" w:eastAsiaTheme="minorEastAsia" w:hAnsiTheme="minorEastAsia" w:cs="宋体" w:hint="eastAsia"/>
          <w:b/>
          <w:bCs/>
          <w:sz w:val="24"/>
          <w:szCs w:val="24"/>
        </w:rPr>
        <w:t>赎回</w:t>
      </w:r>
      <w:r w:rsidR="000022DB" w:rsidRPr="00403503">
        <w:rPr>
          <w:rFonts w:asciiTheme="minorEastAsia" w:eastAsiaTheme="minorEastAsia" w:hAnsiTheme="minorEastAsia" w:cs="宋体"/>
          <w:b/>
          <w:bCs/>
          <w:sz w:val="24"/>
          <w:szCs w:val="24"/>
        </w:rPr>
        <w:t>费率</w:t>
      </w:r>
    </w:p>
    <w:p w:rsidR="0091667B" w:rsidRDefault="00AD757B" w:rsidP="00110011">
      <w:pPr>
        <w:adjustRightInd w:val="0"/>
        <w:snapToGrid w:val="0"/>
        <w:spacing w:line="360" w:lineRule="auto"/>
        <w:ind w:firstLineChars="200" w:firstLine="480"/>
        <w:jc w:val="left"/>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投资人在赎回本基金份额时，申购赎回代理机构可按照不超过0.5%的标准收取佣金，其中包含证券交易所、登记机构等收取的相关费用。</w:t>
      </w:r>
    </w:p>
    <w:p w:rsidR="00110011" w:rsidRPr="00110011" w:rsidRDefault="00110011" w:rsidP="00110011">
      <w:pPr>
        <w:adjustRightInd w:val="0"/>
        <w:snapToGrid w:val="0"/>
        <w:spacing w:line="360" w:lineRule="auto"/>
        <w:ind w:firstLineChars="200" w:firstLine="480"/>
        <w:jc w:val="left"/>
        <w:rPr>
          <w:rFonts w:asciiTheme="minorEastAsia" w:eastAsiaTheme="minorEastAsia" w:hAnsiTheme="minorEastAsia" w:cs="宋体"/>
          <w:sz w:val="24"/>
          <w:szCs w:val="24"/>
        </w:rPr>
      </w:pPr>
    </w:p>
    <w:p w:rsidR="00A359D3" w:rsidRPr="00110011" w:rsidRDefault="002C1C81" w:rsidP="00110011">
      <w:pPr>
        <w:pStyle w:val="2"/>
        <w:adjustRightInd w:val="0"/>
        <w:snapToGrid w:val="0"/>
        <w:spacing w:before="0" w:after="0" w:line="360" w:lineRule="auto"/>
        <w:jc w:val="left"/>
        <w:rPr>
          <w:rFonts w:asciiTheme="minorEastAsia" w:eastAsiaTheme="minorEastAsia" w:hAnsiTheme="minorEastAsia" w:cs="宋体"/>
          <w:bCs/>
          <w:sz w:val="24"/>
          <w:szCs w:val="24"/>
        </w:rPr>
      </w:pPr>
      <w:r w:rsidRPr="00403503">
        <w:rPr>
          <w:rFonts w:asciiTheme="minorEastAsia" w:eastAsiaTheme="minorEastAsia" w:hAnsiTheme="minorEastAsia" w:cs="宋体"/>
          <w:bCs/>
          <w:sz w:val="24"/>
          <w:szCs w:val="24"/>
        </w:rPr>
        <w:t>5.</w:t>
      </w:r>
      <w:r w:rsidR="00A359D3" w:rsidRPr="00403503">
        <w:rPr>
          <w:rFonts w:asciiTheme="minorEastAsia" w:eastAsiaTheme="minorEastAsia" w:hAnsiTheme="minorEastAsia" w:cs="宋体" w:hint="eastAsia"/>
          <w:bCs/>
          <w:sz w:val="24"/>
          <w:szCs w:val="24"/>
        </w:rPr>
        <w:t>基金销售机构</w:t>
      </w:r>
    </w:p>
    <w:p w:rsidR="00A359D3" w:rsidRPr="00403503" w:rsidRDefault="00A359D3" w:rsidP="006E0C93">
      <w:pPr>
        <w:adjustRightInd w:val="0"/>
        <w:snapToGrid w:val="0"/>
        <w:spacing w:line="360" w:lineRule="auto"/>
        <w:ind w:firstLineChars="200" w:firstLine="480"/>
        <w:jc w:val="left"/>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投资人应当在本基金</w:t>
      </w:r>
      <w:r w:rsidRPr="00403503">
        <w:rPr>
          <w:rFonts w:asciiTheme="minorEastAsia" w:eastAsiaTheme="minorEastAsia" w:hAnsiTheme="minorEastAsia" w:cs="宋体"/>
          <w:sz w:val="24"/>
          <w:szCs w:val="24"/>
        </w:rPr>
        <w:t>指定</w:t>
      </w:r>
      <w:r w:rsidRPr="00403503">
        <w:rPr>
          <w:rFonts w:asciiTheme="minorEastAsia" w:eastAsiaTheme="minorEastAsia" w:hAnsiTheme="minorEastAsia" w:cs="宋体" w:hint="eastAsia"/>
          <w:sz w:val="24"/>
          <w:szCs w:val="24"/>
        </w:rPr>
        <w:t>申购赎回代理机构办理本基金申购、赎回业务的营业场所或按申购赎回代理机构提供的其他方式办理基金的申购和赎回。</w:t>
      </w:r>
    </w:p>
    <w:p w:rsidR="00035737" w:rsidRPr="00403503" w:rsidRDefault="00A359D3" w:rsidP="006E0C93">
      <w:pPr>
        <w:adjustRightInd w:val="0"/>
        <w:snapToGrid w:val="0"/>
        <w:spacing w:line="360" w:lineRule="auto"/>
        <w:ind w:firstLineChars="200" w:firstLine="480"/>
        <w:jc w:val="left"/>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目前本基金的申购赎回代理机构包括：</w:t>
      </w:r>
      <w:r w:rsidR="00975CE3" w:rsidRPr="00403503">
        <w:rPr>
          <w:rFonts w:asciiTheme="minorEastAsia" w:eastAsiaTheme="minorEastAsia" w:hAnsiTheme="minorEastAsia" w:cs="宋体" w:hint="eastAsia"/>
          <w:sz w:val="24"/>
          <w:szCs w:val="24"/>
        </w:rPr>
        <w:t>中国国际金融股份有限公司、光大证券股份有限公司、申万宏源证券有限公司、申万宏源西部证券有限公司、平安证券股份有限公司、长城证券股份有限公司、中国银河证券股份有限公司、兴业证券股份有限公司、华福证券有限责任公司、华泰证券股份有限公司、华安证券股份有限公司、安信证券股份有限公司。</w:t>
      </w:r>
    </w:p>
    <w:p w:rsidR="00A359D3" w:rsidRPr="00403503" w:rsidRDefault="00A359D3" w:rsidP="006E0C93">
      <w:pPr>
        <w:adjustRightInd w:val="0"/>
        <w:snapToGrid w:val="0"/>
        <w:spacing w:line="360" w:lineRule="auto"/>
        <w:ind w:firstLineChars="200" w:firstLine="480"/>
        <w:jc w:val="left"/>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上述排名不分先后，基金管理人可适时增加或</w:t>
      </w:r>
      <w:r w:rsidRPr="00403503">
        <w:rPr>
          <w:rFonts w:asciiTheme="minorEastAsia" w:eastAsiaTheme="minorEastAsia" w:hAnsiTheme="minorEastAsia" w:cs="宋体"/>
          <w:sz w:val="24"/>
          <w:szCs w:val="24"/>
        </w:rPr>
        <w:t>调整本基金的申购、赎回代理机构，并另行公告。</w:t>
      </w:r>
    </w:p>
    <w:p w:rsidR="00A359D3" w:rsidRPr="00403503" w:rsidRDefault="00A359D3" w:rsidP="006E0C93">
      <w:pPr>
        <w:adjustRightInd w:val="0"/>
        <w:snapToGrid w:val="0"/>
        <w:spacing w:line="360" w:lineRule="auto"/>
        <w:jc w:val="left"/>
        <w:rPr>
          <w:rFonts w:asciiTheme="minorEastAsia" w:eastAsiaTheme="minorEastAsia" w:hAnsiTheme="minorEastAsia" w:cs="宋体"/>
          <w:color w:val="000000"/>
          <w:sz w:val="24"/>
          <w:szCs w:val="24"/>
        </w:rPr>
      </w:pPr>
    </w:p>
    <w:p w:rsidR="00A359D3" w:rsidRPr="00110011" w:rsidRDefault="00A359D3" w:rsidP="00110011">
      <w:pPr>
        <w:pStyle w:val="2"/>
        <w:adjustRightInd w:val="0"/>
        <w:snapToGrid w:val="0"/>
        <w:spacing w:before="0" w:after="0" w:line="360" w:lineRule="auto"/>
        <w:jc w:val="left"/>
        <w:rPr>
          <w:rFonts w:asciiTheme="minorEastAsia" w:eastAsiaTheme="minorEastAsia" w:hAnsiTheme="minorEastAsia" w:cs="宋体"/>
          <w:bCs/>
          <w:sz w:val="24"/>
          <w:szCs w:val="24"/>
        </w:rPr>
      </w:pPr>
      <w:r w:rsidRPr="00110011">
        <w:rPr>
          <w:rFonts w:asciiTheme="minorEastAsia" w:eastAsiaTheme="minorEastAsia" w:hAnsiTheme="minorEastAsia" w:cs="宋体" w:hint="eastAsia"/>
          <w:bCs/>
          <w:sz w:val="24"/>
          <w:szCs w:val="24"/>
        </w:rPr>
        <w:t>6</w:t>
      </w:r>
      <w:r w:rsidR="003F6E11" w:rsidRPr="00110011">
        <w:rPr>
          <w:rFonts w:asciiTheme="minorEastAsia" w:eastAsiaTheme="minorEastAsia" w:hAnsiTheme="minorEastAsia" w:cs="宋体"/>
          <w:bCs/>
          <w:sz w:val="24"/>
          <w:szCs w:val="24"/>
        </w:rPr>
        <w:t xml:space="preserve"> </w:t>
      </w:r>
      <w:r w:rsidRPr="00110011">
        <w:rPr>
          <w:rFonts w:asciiTheme="minorEastAsia" w:eastAsiaTheme="minorEastAsia" w:hAnsiTheme="minorEastAsia" w:cs="宋体" w:hint="eastAsia"/>
          <w:bCs/>
          <w:sz w:val="24"/>
          <w:szCs w:val="24"/>
        </w:rPr>
        <w:t>基金份额净值公告的披露安排</w:t>
      </w:r>
    </w:p>
    <w:p w:rsidR="00E26976" w:rsidRPr="00403503" w:rsidRDefault="00E26976" w:rsidP="006E0C93">
      <w:pPr>
        <w:adjustRightInd w:val="0"/>
        <w:snapToGrid w:val="0"/>
        <w:spacing w:line="360" w:lineRule="auto"/>
        <w:ind w:firstLineChars="200" w:firstLine="480"/>
        <w:jc w:val="left"/>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在开始办理基金份额申购或者赎回或基金上市交易后，基金管理人应当在不晚于每个开放日的次日，通过指定网站、基金销售机构网站或者营业网点披露开放日/交易日的基金份额净值和基金份额累计净值。</w:t>
      </w:r>
    </w:p>
    <w:p w:rsidR="00A359D3" w:rsidRPr="00403503" w:rsidRDefault="00E26976" w:rsidP="006E0C93">
      <w:pPr>
        <w:adjustRightInd w:val="0"/>
        <w:snapToGrid w:val="0"/>
        <w:spacing w:line="360" w:lineRule="auto"/>
        <w:ind w:firstLineChars="200" w:firstLine="480"/>
        <w:jc w:val="left"/>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基金管理人应当在不晚于半年度和年度最后一日的次日，在指定网站披露半年度和年度最后一日的基金份额净值和基金份额累计净值。</w:t>
      </w:r>
    </w:p>
    <w:p w:rsidR="00A359D3" w:rsidRPr="00403503" w:rsidRDefault="00A359D3" w:rsidP="006E0C93">
      <w:pPr>
        <w:adjustRightInd w:val="0"/>
        <w:snapToGrid w:val="0"/>
        <w:spacing w:line="360" w:lineRule="auto"/>
        <w:jc w:val="left"/>
        <w:rPr>
          <w:rFonts w:asciiTheme="minorEastAsia" w:eastAsiaTheme="minorEastAsia" w:hAnsiTheme="minorEastAsia" w:cs="宋体"/>
          <w:b/>
          <w:bCs/>
          <w:color w:val="000000"/>
          <w:sz w:val="24"/>
          <w:szCs w:val="24"/>
        </w:rPr>
      </w:pPr>
    </w:p>
    <w:p w:rsidR="00A359D3" w:rsidRPr="00110011" w:rsidRDefault="00A359D3" w:rsidP="00110011">
      <w:pPr>
        <w:pStyle w:val="2"/>
        <w:adjustRightInd w:val="0"/>
        <w:snapToGrid w:val="0"/>
        <w:spacing w:before="0" w:after="0" w:line="360" w:lineRule="auto"/>
        <w:jc w:val="left"/>
        <w:rPr>
          <w:rFonts w:asciiTheme="minorEastAsia" w:eastAsiaTheme="minorEastAsia" w:hAnsiTheme="minorEastAsia" w:cs="宋体"/>
          <w:bCs/>
          <w:sz w:val="24"/>
          <w:szCs w:val="24"/>
        </w:rPr>
      </w:pPr>
      <w:r w:rsidRPr="00110011">
        <w:rPr>
          <w:rFonts w:asciiTheme="minorEastAsia" w:eastAsiaTheme="minorEastAsia" w:hAnsiTheme="minorEastAsia" w:cs="宋体" w:hint="eastAsia"/>
          <w:bCs/>
          <w:sz w:val="24"/>
          <w:szCs w:val="24"/>
        </w:rPr>
        <w:t>7</w:t>
      </w:r>
      <w:r w:rsidR="001B2A6C" w:rsidRPr="00110011">
        <w:rPr>
          <w:rFonts w:asciiTheme="minorEastAsia" w:eastAsiaTheme="minorEastAsia" w:hAnsiTheme="minorEastAsia" w:cs="宋体"/>
          <w:bCs/>
          <w:sz w:val="24"/>
          <w:szCs w:val="24"/>
        </w:rPr>
        <w:t xml:space="preserve"> </w:t>
      </w:r>
      <w:r w:rsidRPr="00110011">
        <w:rPr>
          <w:rFonts w:asciiTheme="minorEastAsia" w:eastAsiaTheme="minorEastAsia" w:hAnsiTheme="minorEastAsia" w:cs="宋体" w:hint="eastAsia"/>
          <w:bCs/>
          <w:sz w:val="24"/>
          <w:szCs w:val="24"/>
        </w:rPr>
        <w:t>其他需要提示的事项</w:t>
      </w:r>
    </w:p>
    <w:p w:rsidR="00A359D3" w:rsidRPr="00403503" w:rsidRDefault="008018E8" w:rsidP="006E0C93">
      <w:pPr>
        <w:adjustRightInd w:val="0"/>
        <w:snapToGrid w:val="0"/>
        <w:spacing w:line="360" w:lineRule="auto"/>
        <w:ind w:firstLineChars="177" w:firstLine="425"/>
        <w:jc w:val="left"/>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w:t>
      </w:r>
      <w:r w:rsidRPr="00403503">
        <w:rPr>
          <w:rFonts w:asciiTheme="minorEastAsia" w:eastAsiaTheme="minorEastAsia" w:hAnsiTheme="minorEastAsia" w:cs="宋体"/>
          <w:sz w:val="24"/>
          <w:szCs w:val="24"/>
        </w:rPr>
        <w:t>1）</w:t>
      </w:r>
      <w:r w:rsidR="00A359D3" w:rsidRPr="00403503">
        <w:rPr>
          <w:rFonts w:asciiTheme="minorEastAsia" w:eastAsiaTheme="minorEastAsia" w:hAnsiTheme="minorEastAsia" w:cs="宋体" w:hint="eastAsia"/>
          <w:sz w:val="24"/>
          <w:szCs w:val="24"/>
        </w:rPr>
        <w:t>本公告仅对本基金开放申购、赎回业务的有关事项予以说明。投资</w:t>
      </w:r>
      <w:r w:rsidRPr="00403503">
        <w:rPr>
          <w:rFonts w:asciiTheme="minorEastAsia" w:eastAsiaTheme="minorEastAsia" w:hAnsiTheme="minorEastAsia" w:cs="宋体" w:hint="eastAsia"/>
          <w:sz w:val="24"/>
          <w:szCs w:val="24"/>
        </w:rPr>
        <w:t>者</w:t>
      </w:r>
      <w:r w:rsidR="00A359D3" w:rsidRPr="00403503">
        <w:rPr>
          <w:rFonts w:asciiTheme="minorEastAsia" w:eastAsiaTheme="minorEastAsia" w:hAnsiTheme="minorEastAsia" w:cs="宋体" w:hint="eastAsia"/>
          <w:sz w:val="24"/>
          <w:szCs w:val="24"/>
        </w:rPr>
        <w:t>欲了解本基金的详细情况，请</w:t>
      </w:r>
      <w:r w:rsidR="004C4FCD" w:rsidRPr="00403503">
        <w:rPr>
          <w:rFonts w:asciiTheme="minorEastAsia" w:eastAsiaTheme="minorEastAsia" w:hAnsiTheme="minorEastAsia" w:cs="宋体" w:hint="eastAsia"/>
          <w:sz w:val="24"/>
          <w:szCs w:val="24"/>
        </w:rPr>
        <w:t>仔细</w:t>
      </w:r>
      <w:r w:rsidR="004C4FCD" w:rsidRPr="00403503">
        <w:rPr>
          <w:rFonts w:asciiTheme="minorEastAsia" w:eastAsiaTheme="minorEastAsia" w:hAnsiTheme="minorEastAsia" w:cs="宋体"/>
          <w:sz w:val="24"/>
          <w:szCs w:val="24"/>
        </w:rPr>
        <w:t>阅读</w:t>
      </w:r>
      <w:r w:rsidR="004C4FCD" w:rsidRPr="00403503">
        <w:rPr>
          <w:rFonts w:asciiTheme="minorEastAsia" w:eastAsiaTheme="minorEastAsia" w:hAnsiTheme="minorEastAsia" w:cs="宋体" w:hint="eastAsia"/>
          <w:sz w:val="24"/>
          <w:szCs w:val="24"/>
        </w:rPr>
        <w:t>《基金</w:t>
      </w:r>
      <w:r w:rsidR="004C4FCD" w:rsidRPr="00403503">
        <w:rPr>
          <w:rFonts w:asciiTheme="minorEastAsia" w:eastAsiaTheme="minorEastAsia" w:hAnsiTheme="minorEastAsia" w:cs="宋体"/>
          <w:sz w:val="24"/>
          <w:szCs w:val="24"/>
        </w:rPr>
        <w:t>合同》</w:t>
      </w:r>
      <w:r w:rsidR="007B43DF" w:rsidRPr="00403503">
        <w:rPr>
          <w:rFonts w:asciiTheme="minorEastAsia" w:eastAsiaTheme="minorEastAsia" w:hAnsiTheme="minorEastAsia" w:cs="宋体" w:hint="eastAsia"/>
          <w:sz w:val="24"/>
          <w:szCs w:val="24"/>
        </w:rPr>
        <w:t>、</w:t>
      </w:r>
      <w:r w:rsidR="004C4FCD" w:rsidRPr="00403503">
        <w:rPr>
          <w:rFonts w:asciiTheme="minorEastAsia" w:eastAsiaTheme="minorEastAsia" w:hAnsiTheme="minorEastAsia" w:cs="宋体"/>
          <w:sz w:val="24"/>
          <w:szCs w:val="24"/>
        </w:rPr>
        <w:t>《</w:t>
      </w:r>
      <w:r w:rsidR="004C4FCD" w:rsidRPr="00403503">
        <w:rPr>
          <w:rFonts w:asciiTheme="minorEastAsia" w:eastAsiaTheme="minorEastAsia" w:hAnsiTheme="minorEastAsia" w:cs="宋体" w:hint="eastAsia"/>
          <w:sz w:val="24"/>
          <w:szCs w:val="24"/>
        </w:rPr>
        <w:t>招募</w:t>
      </w:r>
      <w:r w:rsidR="004C4FCD" w:rsidRPr="00403503">
        <w:rPr>
          <w:rFonts w:asciiTheme="minorEastAsia" w:eastAsiaTheme="minorEastAsia" w:hAnsiTheme="minorEastAsia" w:cs="宋体"/>
          <w:sz w:val="24"/>
          <w:szCs w:val="24"/>
        </w:rPr>
        <w:t>说明书》</w:t>
      </w:r>
      <w:r w:rsidR="0025672E" w:rsidRPr="00403503">
        <w:rPr>
          <w:rFonts w:asciiTheme="minorEastAsia" w:eastAsiaTheme="minorEastAsia" w:hAnsiTheme="minorEastAsia" w:cs="宋体" w:hint="eastAsia"/>
          <w:sz w:val="24"/>
          <w:szCs w:val="24"/>
        </w:rPr>
        <w:t>。</w:t>
      </w:r>
    </w:p>
    <w:p w:rsidR="00A359D3" w:rsidRPr="00403503" w:rsidRDefault="0025672E"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w:t>
      </w:r>
      <w:r w:rsidRPr="00403503">
        <w:rPr>
          <w:rFonts w:asciiTheme="minorEastAsia" w:eastAsiaTheme="minorEastAsia" w:hAnsiTheme="minorEastAsia" w:cs="宋体"/>
          <w:sz w:val="24"/>
          <w:szCs w:val="24"/>
        </w:rPr>
        <w:t>2）有关本基金上市交易事宜本公司将另行公告。</w:t>
      </w:r>
    </w:p>
    <w:p w:rsidR="0025672E" w:rsidRPr="00403503" w:rsidRDefault="0025672E"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w:t>
      </w:r>
      <w:r w:rsidRPr="00403503">
        <w:rPr>
          <w:rFonts w:asciiTheme="minorEastAsia" w:eastAsiaTheme="minorEastAsia" w:hAnsiTheme="minorEastAsia" w:cs="宋体"/>
          <w:sz w:val="24"/>
          <w:szCs w:val="24"/>
        </w:rPr>
        <w:t>3）申购与赎回的原则</w:t>
      </w:r>
    </w:p>
    <w:p w:rsidR="0025672E" w:rsidRPr="00403503" w:rsidRDefault="0025672E"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sz w:val="24"/>
          <w:szCs w:val="24"/>
        </w:rPr>
        <w:t>1、</w:t>
      </w:r>
      <w:r w:rsidRPr="00403503">
        <w:rPr>
          <w:rFonts w:asciiTheme="minorEastAsia" w:eastAsiaTheme="minorEastAsia" w:hAnsiTheme="minorEastAsia" w:cs="宋体" w:hint="eastAsia"/>
          <w:sz w:val="24"/>
          <w:szCs w:val="24"/>
        </w:rPr>
        <w:t>“份额申购、份额赎回”的原则，即本基金的申购、赎回均以份额申请；</w:t>
      </w:r>
    </w:p>
    <w:p w:rsidR="0025672E" w:rsidRPr="00403503" w:rsidRDefault="0025672E"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2</w:t>
      </w:r>
      <w:r w:rsidRPr="00403503">
        <w:rPr>
          <w:rFonts w:asciiTheme="minorEastAsia" w:eastAsiaTheme="minorEastAsia" w:hAnsiTheme="minorEastAsia" w:cs="宋体"/>
          <w:sz w:val="24"/>
          <w:szCs w:val="24"/>
        </w:rPr>
        <w:t>、</w:t>
      </w:r>
      <w:r w:rsidRPr="00403503">
        <w:rPr>
          <w:rFonts w:asciiTheme="minorEastAsia" w:eastAsiaTheme="minorEastAsia" w:hAnsiTheme="minorEastAsia" w:cs="宋体" w:hint="eastAsia"/>
          <w:sz w:val="24"/>
          <w:szCs w:val="24"/>
        </w:rPr>
        <w:t>本基金的申购对价、赎回对价包括组合证券、现金替代、现金差额及其他对价；</w:t>
      </w:r>
    </w:p>
    <w:p w:rsidR="0025672E" w:rsidRPr="00403503" w:rsidRDefault="0025672E"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3</w:t>
      </w:r>
      <w:r w:rsidRPr="00403503">
        <w:rPr>
          <w:rFonts w:asciiTheme="minorEastAsia" w:eastAsiaTheme="minorEastAsia" w:hAnsiTheme="minorEastAsia" w:cs="宋体"/>
          <w:sz w:val="24"/>
          <w:szCs w:val="24"/>
        </w:rPr>
        <w:t>、</w:t>
      </w:r>
      <w:r w:rsidRPr="00403503">
        <w:rPr>
          <w:rFonts w:asciiTheme="minorEastAsia" w:eastAsiaTheme="minorEastAsia" w:hAnsiTheme="minorEastAsia" w:cs="宋体" w:hint="eastAsia"/>
          <w:sz w:val="24"/>
          <w:szCs w:val="24"/>
        </w:rPr>
        <w:t>申购与赎回申请提交后不得撤销；</w:t>
      </w:r>
    </w:p>
    <w:p w:rsidR="0025672E" w:rsidRPr="00403503" w:rsidRDefault="0025672E"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sz w:val="24"/>
          <w:szCs w:val="24"/>
        </w:rPr>
        <w:t>4、</w:t>
      </w:r>
      <w:r w:rsidRPr="00403503">
        <w:rPr>
          <w:rFonts w:asciiTheme="minorEastAsia" w:eastAsiaTheme="minorEastAsia" w:hAnsiTheme="minorEastAsia" w:cs="宋体" w:hint="eastAsia"/>
          <w:sz w:val="24"/>
          <w:szCs w:val="24"/>
        </w:rPr>
        <w:t>申购、赎回应遵守《业务规则》及其他相关规定；</w:t>
      </w:r>
    </w:p>
    <w:p w:rsidR="0025672E" w:rsidRPr="00403503" w:rsidRDefault="0025672E"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5</w:t>
      </w:r>
      <w:r w:rsidRPr="00403503">
        <w:rPr>
          <w:rFonts w:asciiTheme="minorEastAsia" w:eastAsiaTheme="minorEastAsia" w:hAnsiTheme="minorEastAsia" w:cs="宋体"/>
          <w:sz w:val="24"/>
          <w:szCs w:val="24"/>
        </w:rPr>
        <w:t>、</w:t>
      </w:r>
      <w:r w:rsidRPr="00403503">
        <w:rPr>
          <w:rFonts w:asciiTheme="minorEastAsia" w:eastAsiaTheme="minorEastAsia" w:hAnsiTheme="minorEastAsia" w:cs="宋体" w:hint="eastAsia"/>
          <w:sz w:val="24"/>
          <w:szCs w:val="24"/>
        </w:rPr>
        <w:t>办理申购、赎回业务时，应当遵循基金份额持有人利益优先原则，确保投资者的合法权益不受损害并得到公平对待；</w:t>
      </w:r>
    </w:p>
    <w:p w:rsidR="0025672E" w:rsidRPr="00403503" w:rsidRDefault="0025672E"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6</w:t>
      </w:r>
      <w:r w:rsidRPr="00403503">
        <w:rPr>
          <w:rFonts w:asciiTheme="minorEastAsia" w:eastAsiaTheme="minorEastAsia" w:hAnsiTheme="minorEastAsia" w:cs="宋体"/>
          <w:sz w:val="24"/>
          <w:szCs w:val="24"/>
        </w:rPr>
        <w:t>、</w:t>
      </w:r>
      <w:r w:rsidRPr="00403503">
        <w:rPr>
          <w:rFonts w:asciiTheme="minorEastAsia" w:eastAsiaTheme="minorEastAsia" w:hAnsiTheme="minorEastAsia" w:cs="宋体" w:hint="eastAsia"/>
          <w:sz w:val="24"/>
          <w:szCs w:val="24"/>
        </w:rPr>
        <w:t>基金管理人可根据基金运作的实际情况，在不损害基金份额持有人实质利益的前提下调整上述原则，或依据上海证券交易所或登记机构相关规则及其变更调整上述规则，但应在新的原则实施前依照《信息披露办法》的有关规定在指定媒介上予以公告。</w:t>
      </w:r>
    </w:p>
    <w:p w:rsidR="0025672E" w:rsidRPr="00403503" w:rsidRDefault="00EF119D"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w:t>
      </w:r>
      <w:r w:rsidRPr="00403503">
        <w:rPr>
          <w:rFonts w:asciiTheme="minorEastAsia" w:eastAsiaTheme="minorEastAsia" w:hAnsiTheme="minorEastAsia" w:cs="宋体"/>
          <w:sz w:val="24"/>
          <w:szCs w:val="24"/>
        </w:rPr>
        <w:t>4）申购与赎回的程序</w:t>
      </w:r>
    </w:p>
    <w:p w:rsidR="00EF119D" w:rsidRPr="00403503" w:rsidRDefault="00EF119D"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1、申购和赎回的申请方式</w:t>
      </w:r>
    </w:p>
    <w:p w:rsidR="00EF119D" w:rsidRPr="00403503" w:rsidRDefault="00EF119D"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投资人必须根据申购赎回代理机构或基金管理人规定的程序，在开放日的具体业务办理时间内提出申购或赎回的申请。</w:t>
      </w:r>
    </w:p>
    <w:p w:rsidR="00EF119D" w:rsidRPr="00403503" w:rsidRDefault="00EF119D"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投资人交付申购对价，申购成立；登记机构确认申请时，申购生效。投资人在提交赎回申请时有足够的赎回对价的，则赎回成立，登记机构确认赎回时，赎回生效。投资人在提交申购申请时须按申购赎回清单的规定备足申购对价，投资人在提交赎回申请时须持有足够的基金份额余额和现金，否则所提交的申购、赎回申请不成立。</w:t>
      </w:r>
    </w:p>
    <w:p w:rsidR="00EF119D" w:rsidRPr="00403503" w:rsidRDefault="00EF119D"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2、申购和赎回申请的确认</w:t>
      </w:r>
    </w:p>
    <w:p w:rsidR="00EF119D" w:rsidRPr="00403503" w:rsidRDefault="00EF119D"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投资人申购、赎回申请在受理当日进行确认。如投资人未能提供符合要求的申购对价，则申购申请失败。如投资人持有的符合要求的基金份额不足或未能根据要求准备足额的现金，或本基金投资组合内不具备足额的符合要求的赎回对价，则赎回申请失败。</w:t>
      </w:r>
    </w:p>
    <w:p w:rsidR="00EF119D" w:rsidRPr="00403503" w:rsidRDefault="00EF119D"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申购赎回代理机构对申购、赎回申请的受理并不代表该申请一定成功，而仅代表申购赎回代理机构确实接收到该申请。申购、赎回的确认以登记机构的确认结果为准。对于申购、赎回申请的确认情况，投资人应及时查询并妥善行使合法权利。</w:t>
      </w:r>
    </w:p>
    <w:p w:rsidR="00EF119D" w:rsidRPr="00403503" w:rsidRDefault="00EF119D"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3、申购和赎回申请的清算交收与登记</w:t>
      </w:r>
    </w:p>
    <w:p w:rsidR="00EF119D" w:rsidRPr="00403503" w:rsidRDefault="00EF119D"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本基金申购赎回过程中涉及的基金份额、组合证券、现金替代、现金差额及其他对价的清算交收适用《业务规则》和参与各方相关协议的有关规定。</w:t>
      </w:r>
    </w:p>
    <w:p w:rsidR="00EF119D" w:rsidRPr="00403503" w:rsidRDefault="00EF119D"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投资人 T 日申购、赎回成功后，登记机构在 T 日收市后为投资人办理基金份额与组合证券的清算交收以及现金替代等的清算，在 T+1 日办理现金替代等的交收以及现金差额的清算，并将结果发送给申购赎回代理机构、基金管理人和基金托管人，基金管理人、基金托管人和申购赎回代理机构在 T+2 日办理现金差额的交收。</w:t>
      </w:r>
    </w:p>
    <w:p w:rsidR="00EF119D" w:rsidRPr="00403503" w:rsidRDefault="00EF119D"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如果基金管理人在清算交收时发现不能正常履约的情形，则依据《业务规则》及参与各方相关协议的有关规定进行处理。</w:t>
      </w:r>
    </w:p>
    <w:p w:rsidR="00EF119D" w:rsidRPr="00403503" w:rsidRDefault="00EF119D"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基金管理人及登记机构可在法律法规允许的范围内，在不影响基金份额持有人实质性利益的前提下，对上述申购赎回的程序以及清算交收和登记的办理时间、方式、处理规则等进行调整，并在开始实施前按照《信息披露办法》的有关规定在指定媒介上予以公告。</w:t>
      </w:r>
    </w:p>
    <w:p w:rsidR="00EF119D" w:rsidRPr="00403503" w:rsidRDefault="00EF119D"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投资人应按照基金合同的约定和申购赎回代理机构的规定按时足额支付应付的现金差额和现金替代退补款。因投资人原因导致现金差额或现金替代退补款未能按时足额交收的，基金管理人有权为基金的利益向该投资人追偿并要求其承担由此导致的其他基金份额持有人或基金资产的损失。</w:t>
      </w:r>
      <w:r w:rsidRPr="00403503">
        <w:rPr>
          <w:rFonts w:asciiTheme="minorEastAsia" w:eastAsiaTheme="minorEastAsia" w:hAnsiTheme="minorEastAsia" w:cs="宋体"/>
          <w:sz w:val="24"/>
          <w:szCs w:val="24"/>
        </w:rPr>
        <w:cr/>
      </w:r>
      <w:r w:rsidR="003A3958" w:rsidRPr="00403503">
        <w:rPr>
          <w:rFonts w:asciiTheme="minorEastAsia" w:eastAsiaTheme="minorEastAsia" w:hAnsiTheme="minorEastAsia" w:cs="宋体"/>
          <w:sz w:val="24"/>
          <w:szCs w:val="24"/>
        </w:rPr>
        <w:t xml:space="preserve">   </w:t>
      </w:r>
      <w:r w:rsidR="009B25AD" w:rsidRPr="00403503">
        <w:rPr>
          <w:rFonts w:asciiTheme="minorEastAsia" w:eastAsiaTheme="minorEastAsia" w:hAnsiTheme="minorEastAsia" w:cs="宋体" w:hint="eastAsia"/>
          <w:sz w:val="24"/>
          <w:szCs w:val="24"/>
        </w:rPr>
        <w:t>（</w:t>
      </w:r>
      <w:r w:rsidR="00E6130F" w:rsidRPr="00403503">
        <w:rPr>
          <w:rFonts w:asciiTheme="minorEastAsia" w:eastAsiaTheme="minorEastAsia" w:hAnsiTheme="minorEastAsia" w:cs="宋体"/>
          <w:sz w:val="24"/>
          <w:szCs w:val="24"/>
        </w:rPr>
        <w:t>5</w:t>
      </w:r>
      <w:r w:rsidR="009B25AD" w:rsidRPr="00403503">
        <w:rPr>
          <w:rFonts w:asciiTheme="minorEastAsia" w:eastAsiaTheme="minorEastAsia" w:hAnsiTheme="minorEastAsia" w:cs="宋体" w:hint="eastAsia"/>
          <w:sz w:val="24"/>
          <w:szCs w:val="24"/>
        </w:rPr>
        <w:t>）申购、赎回的对价</w:t>
      </w:r>
    </w:p>
    <w:p w:rsidR="009B25AD" w:rsidRPr="00403503" w:rsidRDefault="009B25AD"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1、本基金基金份额净值的计算，保留到小数点后 4 位，小数点后第 5 位四舍五入，由此产生的收益或损失由基金财产承担。T 日的基金份额净值在当天收市后计算，并在 T+1 日内公告。遇特殊情况，经履行适当程序，可以适当延迟计算或公告。</w:t>
      </w:r>
    </w:p>
    <w:p w:rsidR="009B25AD" w:rsidRPr="00403503" w:rsidRDefault="009B25AD"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2、申购对价、赎回对价根据申购赎回清单和投资人申购、赎回的基金份额数额确定。申购对价是指投资人申购基金份额时应交付的组合证券、现金替代、现金差额及其他对价。赎回对价是指投资人赎回基金份额时，基金管理人应交付给投资人的组合证券、现金替代、现金差额及其他对价。</w:t>
      </w:r>
    </w:p>
    <w:p w:rsidR="009B25AD" w:rsidRPr="00403503" w:rsidRDefault="009B25AD"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3、申购、赎回清单由基金管理人编制。T 日的申购、赎回清单在当日上海</w:t>
      </w:r>
      <w:r w:rsidR="00A9264B" w:rsidRPr="00403503">
        <w:rPr>
          <w:rFonts w:asciiTheme="minorEastAsia" w:eastAsiaTheme="minorEastAsia" w:hAnsiTheme="minorEastAsia" w:cs="宋体" w:hint="eastAsia"/>
          <w:sz w:val="24"/>
          <w:szCs w:val="24"/>
        </w:rPr>
        <w:t>证券交易所开市前公告。申购赎回清单的内容与格式详见</w:t>
      </w:r>
      <w:r w:rsidR="0084494A" w:rsidRPr="00403503">
        <w:rPr>
          <w:rFonts w:asciiTheme="minorEastAsia" w:eastAsiaTheme="minorEastAsia" w:hAnsiTheme="minorEastAsia" w:cs="宋体" w:hint="eastAsia"/>
          <w:sz w:val="24"/>
          <w:szCs w:val="24"/>
        </w:rPr>
        <w:t>本基金</w:t>
      </w:r>
      <w:r w:rsidR="0084494A" w:rsidRPr="00403503">
        <w:rPr>
          <w:rFonts w:asciiTheme="minorEastAsia" w:eastAsiaTheme="minorEastAsia" w:hAnsiTheme="minorEastAsia" w:cs="宋体"/>
          <w:sz w:val="24"/>
          <w:szCs w:val="24"/>
        </w:rPr>
        <w:t>的招募说明书</w:t>
      </w:r>
      <w:r w:rsidR="0084494A" w:rsidRPr="00403503">
        <w:rPr>
          <w:rFonts w:asciiTheme="minorEastAsia" w:eastAsiaTheme="minorEastAsia" w:hAnsiTheme="minorEastAsia" w:cs="宋体" w:hint="eastAsia"/>
          <w:sz w:val="24"/>
          <w:szCs w:val="24"/>
        </w:rPr>
        <w:t>。</w:t>
      </w:r>
    </w:p>
    <w:p w:rsidR="009B25AD" w:rsidRPr="00403503" w:rsidRDefault="009B25AD"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基金管理人可以在不违反相关法律法规且不影响基金份额持有人实质性利益的情况下对基金份额净值、申购赎回清单计算和公告时间进行调整并提前公告。</w:t>
      </w:r>
    </w:p>
    <w:p w:rsidR="00751AF7" w:rsidRPr="00403503" w:rsidRDefault="00C62BFC"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w:t>
      </w:r>
      <w:r w:rsidRPr="00403503">
        <w:rPr>
          <w:rFonts w:asciiTheme="minorEastAsia" w:eastAsiaTheme="minorEastAsia" w:hAnsiTheme="minorEastAsia" w:cs="宋体"/>
          <w:sz w:val="24"/>
          <w:szCs w:val="24"/>
        </w:rPr>
        <w:t>6）投资者</w:t>
      </w:r>
      <w:r w:rsidRPr="00403503">
        <w:rPr>
          <w:rFonts w:asciiTheme="minorEastAsia" w:eastAsiaTheme="minorEastAsia" w:hAnsiTheme="minorEastAsia" w:cs="宋体" w:hint="eastAsia"/>
          <w:sz w:val="24"/>
          <w:szCs w:val="24"/>
        </w:rPr>
        <w:t>可</w:t>
      </w:r>
      <w:r w:rsidRPr="00403503">
        <w:rPr>
          <w:rFonts w:asciiTheme="minorEastAsia" w:eastAsiaTheme="minorEastAsia" w:hAnsiTheme="minorEastAsia" w:cs="宋体"/>
          <w:sz w:val="24"/>
          <w:szCs w:val="24"/>
        </w:rPr>
        <w:t>通过以下途径咨询有关详情</w:t>
      </w:r>
    </w:p>
    <w:p w:rsidR="00C62BFC" w:rsidRPr="00403503" w:rsidRDefault="005F7836"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1</w:t>
      </w:r>
      <w:r w:rsidRPr="00403503">
        <w:rPr>
          <w:rFonts w:asciiTheme="minorEastAsia" w:eastAsiaTheme="minorEastAsia" w:hAnsiTheme="minorEastAsia" w:cs="宋体"/>
          <w:sz w:val="24"/>
          <w:szCs w:val="24"/>
        </w:rPr>
        <w:t>）</w:t>
      </w:r>
      <w:r w:rsidR="00C62BFC" w:rsidRPr="00403503">
        <w:rPr>
          <w:rFonts w:asciiTheme="minorEastAsia" w:eastAsiaTheme="minorEastAsia" w:hAnsiTheme="minorEastAsia" w:cs="宋体" w:hint="eastAsia"/>
          <w:sz w:val="24"/>
          <w:szCs w:val="24"/>
        </w:rPr>
        <w:t>兴业</w:t>
      </w:r>
      <w:r w:rsidR="00C62BFC" w:rsidRPr="00403503">
        <w:rPr>
          <w:rFonts w:asciiTheme="minorEastAsia" w:eastAsiaTheme="minorEastAsia" w:hAnsiTheme="minorEastAsia" w:cs="宋体"/>
          <w:sz w:val="24"/>
          <w:szCs w:val="24"/>
        </w:rPr>
        <w:t>基金管理有限公司</w:t>
      </w:r>
      <w:r w:rsidRPr="00403503">
        <w:rPr>
          <w:rFonts w:asciiTheme="minorEastAsia" w:eastAsiaTheme="minorEastAsia" w:hAnsiTheme="minorEastAsia" w:cs="宋体" w:hint="eastAsia"/>
          <w:sz w:val="24"/>
          <w:szCs w:val="24"/>
        </w:rPr>
        <w:t>网站</w:t>
      </w:r>
      <w:r w:rsidRPr="00403503">
        <w:rPr>
          <w:rFonts w:asciiTheme="minorEastAsia" w:eastAsiaTheme="minorEastAsia" w:hAnsiTheme="minorEastAsia" w:cs="宋体"/>
          <w:sz w:val="24"/>
          <w:szCs w:val="24"/>
        </w:rPr>
        <w:t>：</w:t>
      </w:r>
      <w:r w:rsidRPr="00403503">
        <w:rPr>
          <w:rFonts w:asciiTheme="minorEastAsia" w:eastAsiaTheme="minorEastAsia" w:hAnsiTheme="minorEastAsia" w:cs="宋体" w:hint="eastAsia"/>
          <w:sz w:val="24"/>
          <w:szCs w:val="24"/>
        </w:rPr>
        <w:t>www.cib-fund.com.cn</w:t>
      </w:r>
    </w:p>
    <w:p w:rsidR="005F7836" w:rsidRDefault="005F7836"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sz w:val="24"/>
          <w:szCs w:val="24"/>
        </w:rPr>
        <w:t>2）兴业基金管理有限公司客户服务热线：40000-95561</w:t>
      </w:r>
    </w:p>
    <w:p w:rsidR="00A72403" w:rsidRPr="00403503" w:rsidRDefault="00A72403" w:rsidP="006E0C93">
      <w:pPr>
        <w:adjustRightInd w:val="0"/>
        <w:snapToGrid w:val="0"/>
        <w:spacing w:line="360" w:lineRule="auto"/>
        <w:ind w:firstLineChars="200" w:firstLine="480"/>
        <w:rPr>
          <w:rFonts w:asciiTheme="minorEastAsia" w:eastAsiaTheme="minorEastAsia" w:hAnsiTheme="minorEastAsia" w:cs="宋体"/>
          <w:sz w:val="24"/>
          <w:szCs w:val="24"/>
        </w:rPr>
      </w:pPr>
    </w:p>
    <w:p w:rsidR="00A359D3" w:rsidRPr="00403503" w:rsidRDefault="00186B0F"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w:t>
      </w:r>
      <w:r w:rsidR="007B43DF" w:rsidRPr="00403503">
        <w:rPr>
          <w:rFonts w:asciiTheme="minorEastAsia" w:eastAsiaTheme="minorEastAsia" w:hAnsiTheme="minorEastAsia" w:cs="宋体" w:hint="eastAsia"/>
          <w:sz w:val="24"/>
          <w:szCs w:val="24"/>
        </w:rPr>
        <w:t>、</w:t>
      </w:r>
      <w:r w:rsidRPr="00403503">
        <w:rPr>
          <w:rFonts w:asciiTheme="minorEastAsia" w:eastAsiaTheme="minorEastAsia" w:hAnsiTheme="minorEastAsia" w:cs="宋体" w:hint="eastAsia"/>
          <w:sz w:val="24"/>
          <w:szCs w:val="24"/>
        </w:rPr>
        <w:t>招募说明书</w:t>
      </w:r>
      <w:r w:rsidR="007B43DF" w:rsidRPr="00403503">
        <w:rPr>
          <w:rFonts w:asciiTheme="minorEastAsia" w:eastAsiaTheme="minorEastAsia" w:hAnsiTheme="minorEastAsia" w:cs="宋体" w:hint="eastAsia"/>
          <w:sz w:val="24"/>
          <w:szCs w:val="24"/>
        </w:rPr>
        <w:t>及其更新</w:t>
      </w:r>
      <w:r w:rsidRPr="00403503">
        <w:rPr>
          <w:rFonts w:asciiTheme="minorEastAsia" w:eastAsiaTheme="minorEastAsia" w:hAnsiTheme="minorEastAsia" w:cs="宋体" w:hint="eastAsia"/>
          <w:sz w:val="24"/>
          <w:szCs w:val="24"/>
        </w:rPr>
        <w:t>等基金法律文件，全面认识基金产品的风险收益特征，在了解产品情况及听取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C66266" w:rsidRPr="00403503" w:rsidRDefault="00C66266" w:rsidP="006E0C93">
      <w:pPr>
        <w:adjustRightInd w:val="0"/>
        <w:snapToGrid w:val="0"/>
        <w:spacing w:line="360" w:lineRule="auto"/>
        <w:rPr>
          <w:rFonts w:asciiTheme="minorEastAsia" w:eastAsiaTheme="minorEastAsia" w:hAnsiTheme="minorEastAsia" w:cs="宋体"/>
          <w:sz w:val="24"/>
          <w:szCs w:val="24"/>
        </w:rPr>
      </w:pPr>
    </w:p>
    <w:p w:rsidR="00CE50A6" w:rsidRPr="00403503" w:rsidRDefault="00CE50A6" w:rsidP="006E0C93">
      <w:pPr>
        <w:adjustRightInd w:val="0"/>
        <w:snapToGrid w:val="0"/>
        <w:spacing w:line="360" w:lineRule="auto"/>
        <w:ind w:firstLineChars="200" w:firstLine="480"/>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特此公告</w:t>
      </w:r>
    </w:p>
    <w:p w:rsidR="00A72403" w:rsidRDefault="00A72403" w:rsidP="006E0C93">
      <w:pPr>
        <w:adjustRightInd w:val="0"/>
        <w:snapToGrid w:val="0"/>
        <w:spacing w:line="360" w:lineRule="auto"/>
        <w:jc w:val="right"/>
        <w:rPr>
          <w:rFonts w:asciiTheme="minorEastAsia" w:eastAsiaTheme="minorEastAsia" w:hAnsiTheme="minorEastAsia" w:cs="宋体"/>
          <w:sz w:val="24"/>
          <w:szCs w:val="24"/>
        </w:rPr>
      </w:pPr>
    </w:p>
    <w:p w:rsidR="00CE50A6" w:rsidRPr="00403503" w:rsidRDefault="00CE50A6" w:rsidP="006E0C93">
      <w:pPr>
        <w:adjustRightInd w:val="0"/>
        <w:snapToGrid w:val="0"/>
        <w:spacing w:line="360" w:lineRule="auto"/>
        <w:jc w:val="right"/>
        <w:rPr>
          <w:rFonts w:asciiTheme="minorEastAsia" w:eastAsiaTheme="minorEastAsia" w:hAnsiTheme="minorEastAsia" w:cs="宋体"/>
          <w:sz w:val="24"/>
          <w:szCs w:val="24"/>
        </w:rPr>
      </w:pPr>
      <w:r w:rsidRPr="00403503">
        <w:rPr>
          <w:rFonts w:asciiTheme="minorEastAsia" w:eastAsiaTheme="minorEastAsia" w:hAnsiTheme="minorEastAsia" w:cs="宋体" w:hint="eastAsia"/>
          <w:sz w:val="24"/>
          <w:szCs w:val="24"/>
        </w:rPr>
        <w:t>兴业基金管理有限公司</w:t>
      </w:r>
    </w:p>
    <w:p w:rsidR="00A359D3" w:rsidRPr="00403503" w:rsidRDefault="00CE50A6" w:rsidP="006E0C93">
      <w:pPr>
        <w:adjustRightInd w:val="0"/>
        <w:snapToGrid w:val="0"/>
        <w:spacing w:line="360" w:lineRule="auto"/>
        <w:jc w:val="right"/>
        <w:rPr>
          <w:rFonts w:asciiTheme="minorEastAsia" w:eastAsiaTheme="minorEastAsia" w:hAnsiTheme="minorEastAsia" w:cs="宋体"/>
          <w:b/>
          <w:sz w:val="24"/>
          <w:szCs w:val="24"/>
        </w:rPr>
      </w:pPr>
      <w:r w:rsidRPr="00403503">
        <w:rPr>
          <w:rFonts w:asciiTheme="minorEastAsia" w:eastAsiaTheme="minorEastAsia" w:hAnsiTheme="minorEastAsia" w:cs="宋体" w:hint="eastAsia"/>
          <w:sz w:val="24"/>
          <w:szCs w:val="24"/>
        </w:rPr>
        <w:t>2020年6月</w:t>
      </w:r>
      <w:r w:rsidR="004864B2" w:rsidRPr="00403503">
        <w:rPr>
          <w:rFonts w:asciiTheme="minorEastAsia" w:eastAsiaTheme="minorEastAsia" w:hAnsiTheme="minorEastAsia" w:cs="宋体"/>
          <w:sz w:val="24"/>
          <w:szCs w:val="24"/>
        </w:rPr>
        <w:t>17</w:t>
      </w:r>
      <w:r w:rsidRPr="00403503">
        <w:rPr>
          <w:rFonts w:asciiTheme="minorEastAsia" w:eastAsiaTheme="minorEastAsia" w:hAnsiTheme="minorEastAsia" w:cs="宋体" w:hint="eastAsia"/>
          <w:sz w:val="24"/>
          <w:szCs w:val="24"/>
        </w:rPr>
        <w:t>日</w:t>
      </w:r>
      <w:bookmarkStart w:id="5" w:name="_GoBack"/>
      <w:bookmarkEnd w:id="5"/>
    </w:p>
    <w:sectPr w:rsidR="00A359D3" w:rsidRPr="00403503" w:rsidSect="00FD4CA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C6B" w:rsidRDefault="00B07C6B">
      <w:pPr>
        <w:rPr>
          <w:sz w:val="18"/>
        </w:rPr>
      </w:pPr>
    </w:p>
  </w:endnote>
  <w:endnote w:type="continuationSeparator" w:id="0">
    <w:p w:rsidR="00B07C6B" w:rsidRDefault="00B07C6B">
      <w:pPr>
        <w:rPr>
          <w:sz w:val="18"/>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C6B" w:rsidRDefault="00B07C6B">
      <w:pPr>
        <w:rPr>
          <w:sz w:val="18"/>
        </w:rPr>
      </w:pPr>
    </w:p>
  </w:footnote>
  <w:footnote w:type="continuationSeparator" w:id="0">
    <w:p w:rsidR="00B07C6B" w:rsidRDefault="00B07C6B">
      <w:pPr>
        <w:rPr>
          <w:sz w:val="18"/>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E76"/>
    <w:rsid w:val="000022DB"/>
    <w:rsid w:val="00006298"/>
    <w:rsid w:val="00035737"/>
    <w:rsid w:val="00070BA7"/>
    <w:rsid w:val="0008744F"/>
    <w:rsid w:val="000977C4"/>
    <w:rsid w:val="000B60CB"/>
    <w:rsid w:val="000C4D1B"/>
    <w:rsid w:val="000D7AB4"/>
    <w:rsid w:val="000F76AE"/>
    <w:rsid w:val="00110011"/>
    <w:rsid w:val="001359E1"/>
    <w:rsid w:val="00150831"/>
    <w:rsid w:val="00170F83"/>
    <w:rsid w:val="00172A27"/>
    <w:rsid w:val="00186B0F"/>
    <w:rsid w:val="001A7203"/>
    <w:rsid w:val="001B2A6C"/>
    <w:rsid w:val="001C5400"/>
    <w:rsid w:val="001E21F1"/>
    <w:rsid w:val="00222043"/>
    <w:rsid w:val="0022754C"/>
    <w:rsid w:val="00240FB2"/>
    <w:rsid w:val="00253B4C"/>
    <w:rsid w:val="0025672E"/>
    <w:rsid w:val="0027515A"/>
    <w:rsid w:val="00282E46"/>
    <w:rsid w:val="002A0C81"/>
    <w:rsid w:val="002C1C81"/>
    <w:rsid w:val="002E3F0B"/>
    <w:rsid w:val="00306057"/>
    <w:rsid w:val="0033313F"/>
    <w:rsid w:val="003A3958"/>
    <w:rsid w:val="003C1FAC"/>
    <w:rsid w:val="003D4C3F"/>
    <w:rsid w:val="003F10AC"/>
    <w:rsid w:val="003F6E11"/>
    <w:rsid w:val="00403503"/>
    <w:rsid w:val="00425825"/>
    <w:rsid w:val="0043031C"/>
    <w:rsid w:val="0043117B"/>
    <w:rsid w:val="00472079"/>
    <w:rsid w:val="0047685C"/>
    <w:rsid w:val="004864B2"/>
    <w:rsid w:val="004C33F6"/>
    <w:rsid w:val="004C437A"/>
    <w:rsid w:val="004C4FCD"/>
    <w:rsid w:val="004E2A6B"/>
    <w:rsid w:val="005021E3"/>
    <w:rsid w:val="00510999"/>
    <w:rsid w:val="005413E8"/>
    <w:rsid w:val="00550242"/>
    <w:rsid w:val="00570EA9"/>
    <w:rsid w:val="00580BE9"/>
    <w:rsid w:val="005902C2"/>
    <w:rsid w:val="005B5BC7"/>
    <w:rsid w:val="005F7836"/>
    <w:rsid w:val="006063FD"/>
    <w:rsid w:val="006213E8"/>
    <w:rsid w:val="00641098"/>
    <w:rsid w:val="00650FFE"/>
    <w:rsid w:val="00671165"/>
    <w:rsid w:val="00690609"/>
    <w:rsid w:val="006E0C93"/>
    <w:rsid w:val="00700382"/>
    <w:rsid w:val="00702FF6"/>
    <w:rsid w:val="0071310D"/>
    <w:rsid w:val="0072193B"/>
    <w:rsid w:val="007447DF"/>
    <w:rsid w:val="00751AF7"/>
    <w:rsid w:val="00763232"/>
    <w:rsid w:val="00784662"/>
    <w:rsid w:val="00784F65"/>
    <w:rsid w:val="007909A4"/>
    <w:rsid w:val="007B43DF"/>
    <w:rsid w:val="008018E8"/>
    <w:rsid w:val="00811322"/>
    <w:rsid w:val="00811667"/>
    <w:rsid w:val="0084494A"/>
    <w:rsid w:val="008542C3"/>
    <w:rsid w:val="00871315"/>
    <w:rsid w:val="008877C7"/>
    <w:rsid w:val="00892C70"/>
    <w:rsid w:val="008D1CF8"/>
    <w:rsid w:val="008D56D5"/>
    <w:rsid w:val="00906D5A"/>
    <w:rsid w:val="0091667B"/>
    <w:rsid w:val="00924A14"/>
    <w:rsid w:val="00927ABD"/>
    <w:rsid w:val="0093086C"/>
    <w:rsid w:val="009415FD"/>
    <w:rsid w:val="00975CE3"/>
    <w:rsid w:val="009B0ED3"/>
    <w:rsid w:val="009B25AD"/>
    <w:rsid w:val="009B76FA"/>
    <w:rsid w:val="009C62D7"/>
    <w:rsid w:val="009D4349"/>
    <w:rsid w:val="009E04EA"/>
    <w:rsid w:val="00A23BC5"/>
    <w:rsid w:val="00A359D3"/>
    <w:rsid w:val="00A37C7F"/>
    <w:rsid w:val="00A42231"/>
    <w:rsid w:val="00A46F6E"/>
    <w:rsid w:val="00A72403"/>
    <w:rsid w:val="00A846D1"/>
    <w:rsid w:val="00A86AB2"/>
    <w:rsid w:val="00A9264B"/>
    <w:rsid w:val="00AB37EF"/>
    <w:rsid w:val="00AD757B"/>
    <w:rsid w:val="00B07C6B"/>
    <w:rsid w:val="00B1343C"/>
    <w:rsid w:val="00B33044"/>
    <w:rsid w:val="00B70F87"/>
    <w:rsid w:val="00B81A96"/>
    <w:rsid w:val="00B92ED5"/>
    <w:rsid w:val="00BB0006"/>
    <w:rsid w:val="00BB7AF6"/>
    <w:rsid w:val="00BE2E64"/>
    <w:rsid w:val="00C04F16"/>
    <w:rsid w:val="00C210E2"/>
    <w:rsid w:val="00C57E52"/>
    <w:rsid w:val="00C62BFC"/>
    <w:rsid w:val="00C657CE"/>
    <w:rsid w:val="00C66266"/>
    <w:rsid w:val="00C70A58"/>
    <w:rsid w:val="00C70D07"/>
    <w:rsid w:val="00C86F2F"/>
    <w:rsid w:val="00CA55A2"/>
    <w:rsid w:val="00CA77D1"/>
    <w:rsid w:val="00CB3FE8"/>
    <w:rsid w:val="00CC7691"/>
    <w:rsid w:val="00CE50A6"/>
    <w:rsid w:val="00D33E93"/>
    <w:rsid w:val="00D52BB2"/>
    <w:rsid w:val="00DC7B73"/>
    <w:rsid w:val="00DF478F"/>
    <w:rsid w:val="00E1081D"/>
    <w:rsid w:val="00E20D51"/>
    <w:rsid w:val="00E26976"/>
    <w:rsid w:val="00E6130F"/>
    <w:rsid w:val="00E753F0"/>
    <w:rsid w:val="00EA7D10"/>
    <w:rsid w:val="00EF119D"/>
    <w:rsid w:val="00F13245"/>
    <w:rsid w:val="00FA00FE"/>
    <w:rsid w:val="00FA32B3"/>
    <w:rsid w:val="00FB6030"/>
    <w:rsid w:val="00FC293C"/>
    <w:rsid w:val="00FC49BF"/>
    <w:rsid w:val="00FC6ACF"/>
    <w:rsid w:val="00FD4CA1"/>
    <w:rsid w:val="00FD69B8"/>
    <w:rsid w:val="00FF0B35"/>
    <w:rsid w:val="05544067"/>
    <w:rsid w:val="1C88499C"/>
    <w:rsid w:val="33E52C30"/>
    <w:rsid w:val="3D1460E1"/>
    <w:rsid w:val="62307462"/>
    <w:rsid w:val="67ED053B"/>
    <w:rsid w:val="77526D61"/>
    <w:rsid w:val="7B5F22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CA1"/>
    <w:pPr>
      <w:jc w:val="both"/>
    </w:pPr>
    <w:rPr>
      <w:kern w:val="2"/>
      <w:sz w:val="21"/>
    </w:rPr>
  </w:style>
  <w:style w:type="paragraph" w:styleId="2">
    <w:name w:val="heading 2"/>
    <w:basedOn w:val="a"/>
    <w:next w:val="a"/>
    <w:qFormat/>
    <w:rsid w:val="00FD4CA1"/>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FD4CA1"/>
    <w:rPr>
      <w:sz w:val="21"/>
      <w:szCs w:val="21"/>
    </w:rPr>
  </w:style>
  <w:style w:type="character" w:customStyle="1" w:styleId="Char">
    <w:name w:val="批注框文本 Char"/>
    <w:link w:val="a4"/>
    <w:rsid w:val="00FD4CA1"/>
    <w:rPr>
      <w:kern w:val="2"/>
      <w:sz w:val="18"/>
      <w:szCs w:val="18"/>
    </w:rPr>
  </w:style>
  <w:style w:type="character" w:customStyle="1" w:styleId="Char0">
    <w:name w:val="批注文字 Char"/>
    <w:link w:val="a5"/>
    <w:rsid w:val="00FD4CA1"/>
    <w:rPr>
      <w:kern w:val="2"/>
      <w:sz w:val="21"/>
    </w:rPr>
  </w:style>
  <w:style w:type="character" w:customStyle="1" w:styleId="Char1">
    <w:name w:val="批注主题 Char"/>
    <w:link w:val="a6"/>
    <w:rsid w:val="00FD4CA1"/>
    <w:rPr>
      <w:b/>
      <w:bCs/>
      <w:kern w:val="2"/>
      <w:sz w:val="21"/>
    </w:rPr>
  </w:style>
  <w:style w:type="paragraph" w:styleId="a5">
    <w:name w:val="annotation text"/>
    <w:basedOn w:val="a"/>
    <w:link w:val="Char0"/>
    <w:rsid w:val="00FD4CA1"/>
    <w:pPr>
      <w:jc w:val="left"/>
    </w:pPr>
  </w:style>
  <w:style w:type="paragraph" w:styleId="a6">
    <w:name w:val="annotation subject"/>
    <w:basedOn w:val="a5"/>
    <w:next w:val="a5"/>
    <w:link w:val="Char1"/>
    <w:rsid w:val="00FD4CA1"/>
    <w:rPr>
      <w:b/>
      <w:bCs/>
    </w:rPr>
  </w:style>
  <w:style w:type="paragraph" w:styleId="a4">
    <w:name w:val="Balloon Text"/>
    <w:basedOn w:val="a"/>
    <w:link w:val="Char"/>
    <w:rsid w:val="00FD4CA1"/>
    <w:rPr>
      <w:sz w:val="18"/>
      <w:szCs w:val="18"/>
    </w:rPr>
  </w:style>
  <w:style w:type="paragraph" w:customStyle="1" w:styleId="Default">
    <w:name w:val="Default"/>
    <w:uiPriority w:val="99"/>
    <w:unhideWhenUsed/>
    <w:rsid w:val="00FD4CA1"/>
    <w:pPr>
      <w:widowControl w:val="0"/>
      <w:autoSpaceDE w:val="0"/>
      <w:autoSpaceDN w:val="0"/>
      <w:adjustRightInd w:val="0"/>
    </w:pPr>
    <w:rPr>
      <w:rFonts w:ascii="宋体" w:hAnsi="宋体"/>
      <w:color w:val="000000"/>
      <w:sz w:val="24"/>
    </w:rPr>
  </w:style>
  <w:style w:type="table" w:styleId="a7">
    <w:name w:val="Table Grid"/>
    <w:basedOn w:val="a1"/>
    <w:rsid w:val="00FD4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rsid w:val="00975CE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975CE3"/>
    <w:rPr>
      <w:kern w:val="2"/>
      <w:sz w:val="18"/>
      <w:szCs w:val="18"/>
    </w:rPr>
  </w:style>
  <w:style w:type="paragraph" w:styleId="a9">
    <w:name w:val="footer"/>
    <w:basedOn w:val="a"/>
    <w:link w:val="Char3"/>
    <w:rsid w:val="00975CE3"/>
    <w:pPr>
      <w:tabs>
        <w:tab w:val="center" w:pos="4153"/>
        <w:tab w:val="right" w:pos="8306"/>
      </w:tabs>
      <w:snapToGrid w:val="0"/>
      <w:jc w:val="left"/>
    </w:pPr>
    <w:rPr>
      <w:sz w:val="18"/>
      <w:szCs w:val="18"/>
    </w:rPr>
  </w:style>
  <w:style w:type="character" w:customStyle="1" w:styleId="Char3">
    <w:name w:val="页脚 Char"/>
    <w:basedOn w:val="a0"/>
    <w:link w:val="a9"/>
    <w:rsid w:val="00975CE3"/>
    <w:rPr>
      <w:kern w:val="2"/>
      <w:sz w:val="18"/>
      <w:szCs w:val="18"/>
    </w:rPr>
  </w:style>
  <w:style w:type="paragraph" w:styleId="aa">
    <w:name w:val="List Paragraph"/>
    <w:basedOn w:val="a"/>
    <w:uiPriority w:val="99"/>
    <w:qFormat/>
    <w:rsid w:val="004C4FCD"/>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3521</Characters>
  <Application>Microsoft Office Word</Application>
  <DocSecurity>4</DocSecurity>
  <PresentationFormat/>
  <Lines>29</Lines>
  <Paragraphs>8</Paragraphs>
  <Slides>0</Slides>
  <Notes>0</Notes>
  <HiddenSlides>0</HiddenSlides>
  <MMClips>0</MMClips>
  <ScaleCrop>false</ScaleCrop>
  <Company>Microsoft</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zhuangrr</dc:creator>
  <cp:lastModifiedBy>ZHONGM</cp:lastModifiedBy>
  <cp:revision>2</cp:revision>
  <dcterms:created xsi:type="dcterms:W3CDTF">2020-06-16T16:02:00Z</dcterms:created>
  <dcterms:modified xsi:type="dcterms:W3CDTF">2020-06-16T16:02:00Z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2052-10.6.0.5368</vt:lpwstr>
  </property>
</Properties>
</file>