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12" w:rsidRDefault="00314DB1">
      <w:pPr>
        <w:pStyle w:val="biaogecenter"/>
        <w:rPr>
          <w:rFonts w:hint="eastAsia"/>
          <w:b/>
          <w:bCs/>
          <w:sz w:val="30"/>
          <w:szCs w:val="30"/>
        </w:rPr>
      </w:pPr>
      <w:r>
        <w:rPr>
          <w:rFonts w:hint="eastAsia"/>
          <w:b/>
          <w:bCs/>
          <w:sz w:val="30"/>
          <w:szCs w:val="30"/>
        </w:rPr>
        <w:t>山西证券裕丰一年定期开放债券型发起式证券投资基金</w:t>
      </w:r>
    </w:p>
    <w:p w:rsidR="00314DB1" w:rsidRDefault="00314DB1">
      <w:pPr>
        <w:pStyle w:val="biaogecenter"/>
        <w:rPr>
          <w:rFonts w:hint="eastAsia"/>
        </w:rPr>
      </w:pPr>
      <w:r>
        <w:rPr>
          <w:rFonts w:hint="eastAsia"/>
          <w:b/>
          <w:bCs/>
          <w:sz w:val="30"/>
          <w:szCs w:val="30"/>
        </w:rPr>
        <w:t>基金合同生效公告</w:t>
      </w:r>
    </w:p>
    <w:p w:rsidR="00314DB1" w:rsidRDefault="00314DB1">
      <w:pPr>
        <w:pStyle w:val="a7"/>
        <w:jc w:val="center"/>
        <w:rPr>
          <w:rFonts w:hint="eastAsia"/>
        </w:rPr>
      </w:pPr>
      <w:r>
        <w:rPr>
          <w:rFonts w:hint="eastAsia"/>
        </w:rPr>
        <w:t>送出日期：2020年06月12日</w:t>
      </w:r>
    </w:p>
    <w:p w:rsidR="00314DB1" w:rsidRDefault="00314DB1">
      <w:pPr>
        <w:widowControl/>
        <w:jc w:val="left"/>
        <w:rPr>
          <w:rFonts w:ascii="宋体" w:eastAsia="宋体" w:hAnsi="宋体" w:cs="宋体" w:hint="eastAsia"/>
          <w:kern w:val="0"/>
          <w:sz w:val="24"/>
          <w:szCs w:val="24"/>
        </w:rPr>
      </w:pPr>
    </w:p>
    <w:p w:rsidR="00314DB1" w:rsidRDefault="00314DB1">
      <w:pPr>
        <w:pStyle w:val="dazhangjie"/>
        <w:rPr>
          <w:rFonts w:hint="eastAsia"/>
        </w:rPr>
      </w:pPr>
      <w:r w:rsidRPr="00FD503F">
        <w:rPr>
          <w:rFonts w:hAnsi="等线" w:hint="eastAsia"/>
          <w:b/>
          <w:color w:val="000000"/>
        </w:rPr>
        <w:t>1 公告基本信息</w:t>
      </w:r>
    </w:p>
    <w:p w:rsidR="00314DB1" w:rsidRDefault="00314DB1">
      <w:pPr>
        <w:widowControl/>
        <w:jc w:val="left"/>
        <w:rPr>
          <w:rFonts w:ascii="宋体" w:eastAsia="宋体" w:hAnsi="宋体" w:cs="宋体" w:hint="eastAsia"/>
          <w:kern w:val="0"/>
          <w:sz w:val="24"/>
          <w:szCs w:val="24"/>
        </w:rPr>
      </w:pPr>
    </w:p>
    <w:tbl>
      <w:tblPr>
        <w:tblW w:w="8250" w:type="dxa"/>
        <w:tblInd w:w="108" w:type="dxa"/>
        <w:tblLook w:val="04A0"/>
      </w:tblPr>
      <w:tblGrid>
        <w:gridCol w:w="3300"/>
        <w:gridCol w:w="4950"/>
      </w:tblGrid>
      <w:tr w:rsidR="00314DB1" w:rsidRPr="00FD503F">
        <w:tc>
          <w:tcPr>
            <w:tcW w:w="2000" w:type="pct"/>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山西证券裕丰一年定期开放债券型发起式证券投资基金</w:t>
            </w:r>
          </w:p>
        </w:tc>
      </w:tr>
      <w:tr w:rsidR="00314DB1" w:rsidRPr="00FD503F">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山西证券裕丰一年定开发起式</w:t>
            </w:r>
          </w:p>
        </w:tc>
      </w:tr>
      <w:tr w:rsidR="00314DB1" w:rsidRPr="00FD503F">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009567</w:t>
            </w:r>
          </w:p>
        </w:tc>
      </w:tr>
      <w:tr w:rsidR="00314DB1" w:rsidRPr="00FD503F">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契约型定期开放式、发起式</w:t>
            </w:r>
          </w:p>
        </w:tc>
      </w:tr>
      <w:tr w:rsidR="00314DB1" w:rsidRPr="00FD503F">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2020年06月11日</w:t>
            </w:r>
          </w:p>
        </w:tc>
      </w:tr>
      <w:tr w:rsidR="00314DB1" w:rsidRPr="00FD503F">
        <w:tc>
          <w:tcPr>
            <w:tcW w:w="3600"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山西证券股份有限公司</w:t>
            </w:r>
          </w:p>
        </w:tc>
      </w:tr>
      <w:tr w:rsidR="00314DB1" w:rsidRPr="00FD503F">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交通银行股份有限公司</w:t>
            </w:r>
          </w:p>
        </w:tc>
      </w:tr>
      <w:tr w:rsidR="00314DB1" w:rsidRPr="00FD503F">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中华人民共和国证券投资基金法》、《公开募集证券投资基金运作管理办法》等法律法规以及《山西证券裕丰一年定期开放债券型发起式证券投资基金基金合同》、《山西证券裕丰一年定期开放债券型发起式证券投资基金招募说明书》</w:t>
            </w:r>
          </w:p>
        </w:tc>
      </w:tr>
    </w:tbl>
    <w:p w:rsidR="00314DB1" w:rsidRDefault="00314DB1">
      <w:pPr>
        <w:widowControl/>
        <w:jc w:val="left"/>
        <w:rPr>
          <w:rFonts w:ascii="宋体" w:eastAsia="宋体" w:hAnsi="宋体" w:cs="宋体" w:hint="eastAsia"/>
          <w:kern w:val="0"/>
          <w:sz w:val="24"/>
          <w:szCs w:val="24"/>
        </w:rPr>
      </w:pPr>
    </w:p>
    <w:p w:rsidR="00314DB1" w:rsidRDefault="00314DB1">
      <w:pPr>
        <w:pStyle w:val="dazhangjie"/>
        <w:divId w:val="2030988986"/>
        <w:rPr>
          <w:rFonts w:hint="eastAsia"/>
        </w:rPr>
      </w:pPr>
      <w:r w:rsidRPr="00FD503F">
        <w:rPr>
          <w:rFonts w:hAnsi="等线" w:hint="eastAsia"/>
          <w:b/>
          <w:color w:val="000000"/>
        </w:rPr>
        <w:t>2 基金募集情况</w:t>
      </w:r>
    </w:p>
    <w:p w:rsidR="00314DB1" w:rsidRDefault="00314DB1">
      <w:pPr>
        <w:widowControl/>
        <w:jc w:val="left"/>
        <w:divId w:val="2030988986"/>
        <w:rPr>
          <w:rFonts w:ascii="宋体" w:eastAsia="宋体" w:hAnsi="宋体" w:cs="宋体" w:hint="eastAsia"/>
          <w:kern w:val="0"/>
          <w:sz w:val="24"/>
          <w:szCs w:val="24"/>
        </w:rPr>
      </w:pPr>
    </w:p>
    <w:tbl>
      <w:tblPr>
        <w:tblW w:w="8250" w:type="dxa"/>
        <w:tblInd w:w="108" w:type="dxa"/>
        <w:tblLook w:val="04A0"/>
      </w:tblPr>
      <w:tblGrid>
        <w:gridCol w:w="3180"/>
        <w:gridCol w:w="1770"/>
        <w:gridCol w:w="3300"/>
      </w:tblGrid>
      <w:tr w:rsidR="00314DB1" w:rsidRPr="00FD503F">
        <w:trPr>
          <w:divId w:val="2030988986"/>
        </w:trPr>
        <w:tc>
          <w:tcPr>
            <w:tcW w:w="3000" w:type="pct"/>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基金募集申请获中国证监会核准的文号</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证监许可〔2019〕2448号</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基金募集期间</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自2020年05月19日至2020年06月09日止</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验资机构名称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中喜会计师事务所（特殊普通合伙）</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募集资金划入基金托管专户的日期</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2020年06月10日</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募集有效认购总户数（单位：户）</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2</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募集期间净认购金额（单位：人民币元 ）</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259,999,000.00</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认购资金在募集期间产生的利息（单位：人民</w:t>
            </w:r>
            <w:r>
              <w:rPr>
                <w:rFonts w:hint="eastAsia"/>
              </w:rPr>
              <w:lastRenderedPageBreak/>
              <w:t>币元 ）</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lastRenderedPageBreak/>
              <w:t>13,361.16</w:t>
            </w:r>
          </w:p>
        </w:tc>
      </w:tr>
      <w:tr w:rsidR="00314DB1" w:rsidRPr="00FD503F">
        <w:trPr>
          <w:divId w:val="2030988986"/>
        </w:trPr>
        <w:tc>
          <w:tcPr>
            <w:tcW w:w="0" w:type="auto"/>
            <w:vMerge w:val="restart"/>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lastRenderedPageBreak/>
              <w:t>募集份额（单位：份 ）</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有效认购份额</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259,999,000.00</w:t>
            </w:r>
          </w:p>
        </w:tc>
      </w:tr>
      <w:tr w:rsidR="00314DB1" w:rsidRPr="00FD503F">
        <w:trPr>
          <w:divId w:val="203098898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314DB1" w:rsidRDefault="00314DB1">
            <w:pPr>
              <w:widowControl/>
              <w:jc w:val="left"/>
              <w:rPr>
                <w:rFonts w:ascii="宋体" w:eastAsia="宋体" w:hAnsi="宋体" w:cs="宋体"/>
                <w:kern w:val="0"/>
                <w:sz w:val="24"/>
                <w:szCs w:val="24"/>
              </w:rPr>
            </w:pP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利息结转的份额</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13,361.16</w:t>
            </w:r>
          </w:p>
        </w:tc>
      </w:tr>
      <w:tr w:rsidR="00314DB1" w:rsidRPr="00FD503F">
        <w:trPr>
          <w:divId w:val="203098898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314DB1" w:rsidRDefault="00314DB1">
            <w:pPr>
              <w:widowControl/>
              <w:jc w:val="left"/>
              <w:rPr>
                <w:rFonts w:ascii="宋体" w:eastAsia="宋体" w:hAnsi="宋体" w:cs="宋体"/>
                <w:kern w:val="0"/>
                <w:sz w:val="24"/>
                <w:szCs w:val="24"/>
              </w:rPr>
            </w:pP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合计</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260,012,361.16</w:t>
            </w:r>
          </w:p>
        </w:tc>
      </w:tr>
      <w:tr w:rsidR="00314DB1" w:rsidRPr="00FD503F">
        <w:trPr>
          <w:divId w:val="2030988986"/>
        </w:trPr>
        <w:tc>
          <w:tcPr>
            <w:tcW w:w="0" w:type="auto"/>
            <w:vMerge w:val="restart"/>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其中：募集期间基金管理人运用固有资金认购本基金情况</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认购的基金份额（单位：份 ）</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10,000,513.94</w:t>
            </w:r>
          </w:p>
        </w:tc>
      </w:tr>
      <w:tr w:rsidR="00314DB1" w:rsidRPr="00FD503F">
        <w:trPr>
          <w:divId w:val="203098898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314DB1" w:rsidRDefault="00314DB1">
            <w:pPr>
              <w:widowControl/>
              <w:jc w:val="left"/>
              <w:rPr>
                <w:rFonts w:ascii="宋体" w:eastAsia="宋体" w:hAnsi="宋体" w:cs="宋体"/>
                <w:kern w:val="0"/>
                <w:sz w:val="24"/>
                <w:szCs w:val="24"/>
              </w:rPr>
            </w:pP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占基金总份额比例</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3.85%</w:t>
            </w:r>
          </w:p>
        </w:tc>
      </w:tr>
      <w:tr w:rsidR="00314DB1" w:rsidRPr="00FD503F">
        <w:trPr>
          <w:divId w:val="203098898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314DB1" w:rsidRDefault="00314DB1">
            <w:pPr>
              <w:widowControl/>
              <w:jc w:val="left"/>
              <w:rPr>
                <w:rFonts w:ascii="宋体" w:eastAsia="宋体" w:hAnsi="宋体" w:cs="宋体"/>
                <w:kern w:val="0"/>
                <w:sz w:val="24"/>
                <w:szCs w:val="24"/>
              </w:rPr>
            </w:pP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其他需要说明的事项</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w:t>
            </w:r>
          </w:p>
        </w:tc>
      </w:tr>
      <w:tr w:rsidR="00314DB1" w:rsidRPr="00FD503F">
        <w:trPr>
          <w:divId w:val="2030988986"/>
        </w:trPr>
        <w:tc>
          <w:tcPr>
            <w:tcW w:w="0" w:type="auto"/>
            <w:vMerge w:val="restart"/>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其中：募集期间基金管理人的从业人员认购本基金情况</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认购的基金份额（单位：份 ）</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w:t>
            </w:r>
          </w:p>
        </w:tc>
      </w:tr>
      <w:tr w:rsidR="00314DB1" w:rsidRPr="00FD503F">
        <w:trPr>
          <w:divId w:val="2030988986"/>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314DB1" w:rsidRDefault="00314DB1">
            <w:pPr>
              <w:widowControl/>
              <w:jc w:val="left"/>
              <w:rPr>
                <w:rFonts w:ascii="宋体" w:eastAsia="宋体" w:hAnsi="宋体" w:cs="宋体"/>
                <w:kern w:val="0"/>
                <w:sz w:val="24"/>
                <w:szCs w:val="24"/>
              </w:rPr>
            </w:pP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占基金总份额比例</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募集期限届满基金是否符合法律法规规定的办理基金备案手续的条件</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是</w:t>
            </w:r>
          </w:p>
        </w:tc>
      </w:tr>
      <w:tr w:rsidR="00314DB1" w:rsidRPr="00FD503F">
        <w:trPr>
          <w:divId w:val="20309889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left"/>
              <w:wordWrap w:val="0"/>
              <w:rPr>
                <w:rFonts w:hint="eastAsia"/>
              </w:rPr>
            </w:pPr>
            <w:r>
              <w:rPr>
                <w:rFonts w:hint="eastAsia"/>
              </w:rPr>
              <w:t>向中国证监会办理基金备案手续获得书面确认的日期</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2020年06月11日</w:t>
            </w:r>
          </w:p>
        </w:tc>
      </w:tr>
    </w:tbl>
    <w:p w:rsidR="00314DB1" w:rsidRDefault="00314DB1">
      <w:pPr>
        <w:pStyle w:val="neirong"/>
        <w:divId w:val="2030988986"/>
        <w:rPr>
          <w:rFonts w:hint="eastAsia"/>
        </w:rPr>
      </w:pPr>
      <w:r>
        <w:rPr>
          <w:rFonts w:hint="eastAsia"/>
        </w:rPr>
        <w:t>注：(1)本基金的基金合同自获中国证监会书面确认之日起正式生效；</w:t>
      </w:r>
      <w:r>
        <w:rPr>
          <w:rFonts w:hint="eastAsia"/>
        </w:rPr>
        <w:br/>
        <w:t>(2)按照有关法律规定，本次基金募集期间的信息披露费、会计师费、律师费以及其他费用由基金管理人承担，不从基金财产中列支； </w:t>
      </w:r>
      <w:r>
        <w:rPr>
          <w:rFonts w:hint="eastAsia"/>
        </w:rPr>
        <w:br/>
        <w:t>(3)本公司高级管理人员、基金投资和研究部门负责人持有该只基金份额总量的数量区间为0万份；</w:t>
      </w:r>
      <w:r>
        <w:rPr>
          <w:rFonts w:hint="eastAsia"/>
        </w:rPr>
        <w:br/>
        <w:t>(4)本基金基金经理持有本基金份额总量的数量区间为0万份。</w:t>
      </w:r>
    </w:p>
    <w:p w:rsidR="00314DB1" w:rsidRDefault="00314DB1">
      <w:pPr>
        <w:widowControl/>
        <w:jc w:val="left"/>
        <w:rPr>
          <w:rFonts w:ascii="宋体" w:eastAsia="宋体" w:hAnsi="宋体" w:cs="宋体" w:hint="eastAsia"/>
          <w:kern w:val="0"/>
          <w:sz w:val="24"/>
          <w:szCs w:val="24"/>
        </w:rPr>
      </w:pPr>
    </w:p>
    <w:p w:rsidR="00314DB1" w:rsidRDefault="00314DB1">
      <w:pPr>
        <w:pStyle w:val="dazhangjie"/>
        <w:divId w:val="757486205"/>
        <w:rPr>
          <w:rFonts w:hint="eastAsia"/>
        </w:rPr>
      </w:pPr>
      <w:r w:rsidRPr="00FD503F">
        <w:rPr>
          <w:rFonts w:hAnsi="等线" w:hint="eastAsia"/>
          <w:b/>
          <w:color w:val="000000"/>
        </w:rPr>
        <w:t>3 发起式基金发起资金持有份额情况</w:t>
      </w:r>
    </w:p>
    <w:p w:rsidR="00314DB1" w:rsidRDefault="00314DB1">
      <w:pPr>
        <w:widowControl/>
        <w:jc w:val="left"/>
        <w:divId w:val="757486205"/>
        <w:rPr>
          <w:rFonts w:ascii="宋体" w:eastAsia="宋体" w:hAnsi="宋体" w:cs="宋体" w:hint="eastAsia"/>
          <w:kern w:val="0"/>
          <w:sz w:val="24"/>
          <w:szCs w:val="24"/>
        </w:rPr>
      </w:pPr>
    </w:p>
    <w:tbl>
      <w:tblPr>
        <w:tblW w:w="8250" w:type="dxa"/>
        <w:tblInd w:w="108" w:type="dxa"/>
        <w:tblLook w:val="04A0"/>
      </w:tblPr>
      <w:tblGrid>
        <w:gridCol w:w="1697"/>
        <w:gridCol w:w="1145"/>
        <w:gridCol w:w="979"/>
        <w:gridCol w:w="1146"/>
        <w:gridCol w:w="849"/>
        <w:gridCol w:w="2434"/>
      </w:tblGrid>
      <w:tr w:rsidR="00314DB1" w:rsidRPr="00FD503F">
        <w:trPr>
          <w:divId w:val="757486205"/>
        </w:trPr>
        <w:tc>
          <w:tcPr>
            <w:tcW w:w="2295"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项目</w:t>
            </w:r>
          </w:p>
        </w:tc>
        <w:tc>
          <w:tcPr>
            <w:tcW w:w="1215"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持有份额总数</w:t>
            </w:r>
          </w:p>
        </w:tc>
        <w:tc>
          <w:tcPr>
            <w:tcW w:w="1350"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持有份额占基金总份额比例(%)</w:t>
            </w:r>
          </w:p>
        </w:tc>
        <w:tc>
          <w:tcPr>
            <w:tcW w:w="1095"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发起份额总数</w:t>
            </w:r>
          </w:p>
        </w:tc>
        <w:tc>
          <w:tcPr>
            <w:tcW w:w="1095"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发起份额占基金总份额比例</w:t>
            </w:r>
            <w:r>
              <w:rPr>
                <w:rFonts w:hint="eastAsia"/>
              </w:rPr>
              <w:lastRenderedPageBreak/>
              <w:t>(%)</w:t>
            </w:r>
          </w:p>
        </w:tc>
        <w:tc>
          <w:tcPr>
            <w:tcW w:w="1200" w:type="dxa"/>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lastRenderedPageBreak/>
              <w:t>发起份额承诺持有期限</w:t>
            </w:r>
          </w:p>
        </w:tc>
      </w:tr>
      <w:tr w:rsidR="00314DB1" w:rsidRPr="00FD503F">
        <w:trPr>
          <w:divId w:val="757486205"/>
        </w:trPr>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lastRenderedPageBreak/>
              <w:t>基金管理人固有资金</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10,000,513.94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3.85%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10,000,513.94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3.85%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自合同生效之日起持有期限不少于3 年</w:t>
            </w:r>
          </w:p>
        </w:tc>
      </w:tr>
      <w:tr w:rsidR="00314DB1" w:rsidRPr="00FD503F">
        <w:trPr>
          <w:divId w:val="757486205"/>
        </w:trPr>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基金管理人高级管理人员</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w:t>
            </w:r>
          </w:p>
        </w:tc>
      </w:tr>
      <w:tr w:rsidR="00314DB1" w:rsidRPr="00FD503F">
        <w:trPr>
          <w:divId w:val="757486205"/>
        </w:trPr>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基金经理等人员</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w:t>
            </w:r>
          </w:p>
        </w:tc>
      </w:tr>
      <w:tr w:rsidR="00314DB1" w:rsidRPr="00FD503F">
        <w:trPr>
          <w:divId w:val="757486205"/>
        </w:trPr>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基金管理人股东</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w:t>
            </w:r>
          </w:p>
        </w:tc>
      </w:tr>
      <w:tr w:rsidR="00314DB1" w:rsidRPr="00FD503F">
        <w:trPr>
          <w:divId w:val="757486205"/>
        </w:trPr>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其他</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w:t>
            </w:r>
          </w:p>
        </w:tc>
      </w:tr>
      <w:tr w:rsidR="00314DB1" w:rsidRPr="00FD503F">
        <w:trPr>
          <w:divId w:val="757486205"/>
        </w:trPr>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sidRPr="00FD503F">
              <w:rPr>
                <w:rFonts w:hAnsi="等线" w:hint="eastAsia"/>
                <w:color w:val="000000"/>
              </w:rPr>
              <w:t>合计</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10,000,513.94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3.85%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10,000,513.94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3.85%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314DB1" w:rsidRDefault="00314DB1">
            <w:pPr>
              <w:pStyle w:val="biaogecenter"/>
              <w:wordWrap w:val="0"/>
              <w:rPr>
                <w:rFonts w:hint="eastAsia"/>
              </w:rPr>
            </w:pPr>
            <w:r>
              <w:rPr>
                <w:rFonts w:hint="eastAsia"/>
              </w:rPr>
              <w:t>-</w:t>
            </w:r>
          </w:p>
        </w:tc>
      </w:tr>
    </w:tbl>
    <w:p w:rsidR="00314DB1" w:rsidRDefault="00314DB1">
      <w:pPr>
        <w:widowControl/>
        <w:jc w:val="left"/>
        <w:divId w:val="757486205"/>
        <w:rPr>
          <w:rFonts w:ascii="宋体" w:eastAsia="宋体" w:hAnsi="宋体" w:cs="宋体" w:hint="eastAsia"/>
          <w:kern w:val="0"/>
          <w:sz w:val="24"/>
          <w:szCs w:val="24"/>
        </w:rPr>
      </w:pPr>
    </w:p>
    <w:p w:rsidR="00314DB1" w:rsidRDefault="00314DB1">
      <w:pPr>
        <w:pStyle w:val="dazhangjie"/>
        <w:rPr>
          <w:rFonts w:hint="eastAsia"/>
        </w:rPr>
      </w:pPr>
      <w:r>
        <w:rPr>
          <w:rFonts w:hint="eastAsia"/>
          <w:b/>
          <w:bCs/>
        </w:rPr>
        <w:t>4 其他需要提示的事项</w:t>
      </w:r>
    </w:p>
    <w:p w:rsidR="00314DB1" w:rsidRDefault="00314DB1">
      <w:pPr>
        <w:pStyle w:val="neirong"/>
        <w:rPr>
          <w:rFonts w:hint="eastAsia"/>
        </w:rPr>
      </w:pPr>
      <w:r>
        <w:rPr>
          <w:rFonts w:hint="eastAsia"/>
        </w:rPr>
        <w:t>  (1)自基金合同生效之日起，本基金管理人正式开始管理本基金。</w:t>
      </w:r>
      <w:r>
        <w:rPr>
          <w:rFonts w:hint="eastAsia"/>
        </w:rPr>
        <w:br/>
        <w:t>  (2) 本基金单一投资者持有的基金份额或者构成一致行动人的多个投资者持有的基金份额可达到或超过50%，基金不向个人投资者销售。法律法规或监管机构另有规定的除外。</w:t>
      </w:r>
      <w:r>
        <w:rPr>
          <w:rFonts w:hint="eastAsia"/>
        </w:rPr>
        <w:br/>
        <w:t>  (3)本基金以封闭期和开放期滚动的方式运作。</w:t>
      </w:r>
      <w:r>
        <w:rPr>
          <w:rFonts w:hint="eastAsia"/>
        </w:rPr>
        <w:br/>
        <w:t>  本基金的封闭期为自基金合同生效之日起（包括该日）或自每一开放期结束之日次日起（包括该日）至该封闭期首日所对应的下一年年度对日的前一日止，如该对日为非工作日或没有对应的日历日期，则封闭期至该对日的下一个工作日的前一日止。本基金的首个封闭期为自基金合同生效之日起（包括该日）至基金合同生效日所对应的第一年年度对日的前一日止。首个封闭期结束之后第一个工作日起（包括该日）进入首个开放期，第二个封闭期为首个开放期结束之日次日起（包括该日）至该封闭期首日所对应的下一年年度对日的前一日止，以此类推。本基金封闭期内不办理申购与赎回业务，也不上市交易。</w:t>
      </w:r>
      <w:r>
        <w:rPr>
          <w:rFonts w:hint="eastAsia"/>
        </w:rPr>
        <w:br/>
        <w:t>  本基金自每个封闭期结束之后第一个工作日起（包括该日）进入开放期，期间可以办理申购与赎回业务。本基金每个开放期最短不少于5个工作日、最长不超过10个工作日，开放期的具体时间以基金管理人届时公告为准，且基金管理人最迟应于开放期前2日进行公告。</w:t>
      </w:r>
      <w:r>
        <w:rPr>
          <w:rFonts w:hint="eastAsia"/>
        </w:rPr>
        <w:br/>
        <w:t>  若由于不可抗力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r>
        <w:rPr>
          <w:rFonts w:hint="eastAsia"/>
        </w:rPr>
        <w:br/>
        <w:t>  (4)投资者可通过本基金管理人的公募业务网站 （http://publiclyfund.sxzq.com:8000）或客户服务电话（95573）咨询相关情况。    </w:t>
      </w:r>
      <w:r>
        <w:rPr>
          <w:rFonts w:hint="eastAsia"/>
        </w:rPr>
        <w:br/>
        <w:t>  风险提示：基金管理人承诺以诚实信用、勤勉尽责的原则管理和运用基金资产，但不保证基金一定盈利,也不保证最低收益。基金的过往业绩并不预示其未来表现。投资者投资上述基金前应认真阅读上述基金的基金合同、招募说明书等法律文件，投资与自身风险承受能力相适应的基金。敬请投资者注意投资风险。</w:t>
      </w:r>
      <w:r>
        <w:rPr>
          <w:rFonts w:hint="eastAsia"/>
        </w:rPr>
        <w:br/>
        <w:t>  特此公告。</w:t>
      </w:r>
    </w:p>
    <w:p w:rsidR="00314DB1" w:rsidRDefault="00314DB1">
      <w:pPr>
        <w:widowControl/>
        <w:jc w:val="left"/>
        <w:rPr>
          <w:rFonts w:ascii="宋体" w:eastAsia="宋体" w:hAnsi="宋体" w:cs="宋体" w:hint="eastAsia"/>
          <w:kern w:val="0"/>
          <w:sz w:val="24"/>
          <w:szCs w:val="24"/>
        </w:rPr>
      </w:pPr>
    </w:p>
    <w:p w:rsidR="00314DB1" w:rsidRDefault="00314DB1">
      <w:pPr>
        <w:pStyle w:val="biaogeright"/>
        <w:rPr>
          <w:rFonts w:hint="eastAsia"/>
        </w:rPr>
      </w:pPr>
      <w:r w:rsidRPr="00FD503F">
        <w:rPr>
          <w:rFonts w:hAnsi="等线" w:hint="eastAsia"/>
          <w:b/>
          <w:bCs/>
          <w:color w:val="000000"/>
        </w:rPr>
        <w:t>山西证券股份有限公司</w:t>
      </w:r>
    </w:p>
    <w:p w:rsidR="00314DB1" w:rsidRDefault="00314DB1">
      <w:pPr>
        <w:pStyle w:val="biaogeright"/>
        <w:rPr>
          <w:rFonts w:hint="eastAsia"/>
        </w:rPr>
      </w:pPr>
      <w:r w:rsidRPr="00FD503F">
        <w:rPr>
          <w:rFonts w:hAnsi="等线" w:hint="eastAsia"/>
          <w:b/>
          <w:bCs/>
          <w:color w:val="000000"/>
        </w:rPr>
        <w:t>2020年06月12日</w:t>
      </w:r>
    </w:p>
    <w:p w:rsidR="00314DB1" w:rsidRDefault="00314DB1">
      <w:pPr>
        <w:widowControl/>
        <w:spacing w:after="240"/>
        <w:jc w:val="left"/>
        <w:rPr>
          <w:rFonts w:ascii="宋体" w:eastAsia="宋体" w:hAnsi="宋体" w:cs="宋体" w:hint="eastAsia"/>
          <w:kern w:val="0"/>
          <w:sz w:val="24"/>
          <w:szCs w:val="24"/>
        </w:rPr>
      </w:pPr>
      <w:r>
        <w:rPr>
          <w:rFonts w:ascii="宋体" w:eastAsia="宋体" w:hAnsi="宋体" w:cs="宋体" w:hint="eastAsia"/>
          <w:kern w:val="0"/>
          <w:sz w:val="24"/>
          <w:szCs w:val="24"/>
        </w:rPr>
        <w:br/>
      </w:r>
    </w:p>
    <w:sectPr w:rsidR="00314DB1">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32" w:rsidRDefault="00A11A32" w:rsidP="00FD503F">
      <w:r>
        <w:separator/>
      </w:r>
    </w:p>
  </w:endnote>
  <w:endnote w:type="continuationSeparator" w:id="0">
    <w:p w:rsidR="00A11A32" w:rsidRDefault="00A11A32" w:rsidP="00FD503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32" w:rsidRDefault="00A11A32" w:rsidP="00FD503F">
      <w:r>
        <w:separator/>
      </w:r>
    </w:p>
  </w:footnote>
  <w:footnote w:type="continuationSeparator" w:id="0">
    <w:p w:rsidR="00A11A32" w:rsidRDefault="00A11A32" w:rsidP="00FD5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03F"/>
    <w:rsid w:val="00314DB1"/>
    <w:rsid w:val="00481033"/>
    <w:rsid w:val="00A11A32"/>
    <w:rsid w:val="00B00412"/>
    <w:rsid w:val="00D26E23"/>
    <w:rsid w:val="00D55615"/>
    <w:rsid w:val="00FD503F"/>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Pr>
      <w:rFonts w:cs="Times New Roman"/>
      <w:sz w:val="18"/>
      <w:szCs w:val="18"/>
    </w:rPr>
  </w:style>
  <w:style w:type="paragraph" w:styleId="a5">
    <w:name w:val="footer"/>
    <w:basedOn w:val="a"/>
    <w:link w:val="10"/>
    <w:uiPriority w:val="99"/>
    <w:unhideWhenUsed/>
    <w:pPr>
      <w:tabs>
        <w:tab w:val="center" w:pos="4153"/>
        <w:tab w:val="right" w:pos="8306"/>
      </w:tabs>
      <w:snapToGrid w:val="0"/>
      <w:jc w:val="left"/>
    </w:pPr>
    <w:rPr>
      <w:sz w:val="18"/>
      <w:szCs w:val="18"/>
    </w:rPr>
  </w:style>
  <w:style w:type="character" w:customStyle="1" w:styleId="a6">
    <w:name w:val="页脚 字符"/>
    <w:link w:val="a5"/>
    <w:uiPriority w:val="99"/>
    <w:semiHidden/>
    <w:rPr>
      <w:rFonts w:cs="Times New Roman"/>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1">
    <w:name w:val="页眉 字符1"/>
    <w:link w:val="a3"/>
    <w:uiPriority w:val="99"/>
    <w:locked/>
    <w:rPr>
      <w:rFonts w:ascii="Times New Roman" w:hAnsi="Times New Roman" w:cs="Times New Roman" w:hint="default"/>
      <w:sz w:val="18"/>
      <w:szCs w:val="18"/>
    </w:rPr>
  </w:style>
  <w:style w:type="character" w:customStyle="1" w:styleId="10">
    <w:name w:val="页脚 字符1"/>
    <w:link w:val="a5"/>
    <w:uiPriority w:val="99"/>
    <w:locked/>
    <w:rPr>
      <w:rFonts w:ascii="Times New Roman" w:hAnsi="Times New Roman" w:cs="Times New Roman" w:hint="default"/>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7486205">
      <w:marLeft w:val="0"/>
      <w:marRight w:val="0"/>
      <w:marTop w:val="0"/>
      <w:marBottom w:val="0"/>
      <w:divBdr>
        <w:top w:val="none" w:sz="0" w:space="0" w:color="auto"/>
        <w:left w:val="none" w:sz="0" w:space="0" w:color="auto"/>
        <w:bottom w:val="none" w:sz="0" w:space="0" w:color="auto"/>
        <w:right w:val="none" w:sz="0" w:space="0" w:color="auto"/>
      </w:divBdr>
    </w:div>
    <w:div w:id="203098898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4</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dc:creator>
  <cp:keywords/>
  <dc:description/>
  <cp:lastModifiedBy>ZHONGM</cp:lastModifiedBy>
  <cp:revision>2</cp:revision>
  <dcterms:created xsi:type="dcterms:W3CDTF">2020-06-11T15:31:00Z</dcterms:created>
  <dcterms:modified xsi:type="dcterms:W3CDTF">2020-06-11T15:31:00Z</dcterms:modified>
</cp:coreProperties>
</file>