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81" w:rsidRDefault="00336A2F" w:rsidP="00336A2F">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w:t>
      </w:r>
      <w:r w:rsidR="00A87330">
        <w:rPr>
          <w:rFonts w:ascii="Times New Roman" w:eastAsia="楷体_GB2312" w:hAnsi="Times New Roman" w:cs="Times New Roman"/>
          <w:b/>
          <w:sz w:val="28"/>
          <w:szCs w:val="24"/>
        </w:rPr>
        <w:t>基金管理有限公司关于旗下基金投资</w:t>
      </w:r>
      <w:r w:rsidRPr="00336A2F">
        <w:rPr>
          <w:rFonts w:ascii="Times New Roman" w:eastAsia="楷体_GB2312" w:hAnsi="Times New Roman" w:cs="Times New Roman"/>
          <w:b/>
          <w:sz w:val="28"/>
          <w:szCs w:val="24"/>
        </w:rPr>
        <w:t>关联方承销</w:t>
      </w:r>
      <w:r w:rsidR="00C47181">
        <w:rPr>
          <w:rFonts w:ascii="Times New Roman" w:eastAsia="楷体_GB2312" w:hAnsi="Times New Roman" w:cs="Times New Roman"/>
          <w:b/>
          <w:sz w:val="28"/>
          <w:szCs w:val="24"/>
        </w:rPr>
        <w:t>期内</w:t>
      </w:r>
    </w:p>
    <w:p w:rsidR="00336A2F" w:rsidRPr="00336A2F" w:rsidRDefault="00C47181" w:rsidP="00336A2F">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w:t>
      </w:r>
      <w:r w:rsidR="00336A2F" w:rsidRPr="00336A2F">
        <w:rPr>
          <w:rFonts w:ascii="Times New Roman" w:eastAsia="楷体_GB2312" w:hAnsi="Times New Roman" w:cs="Times New Roman"/>
          <w:b/>
          <w:sz w:val="28"/>
          <w:szCs w:val="24"/>
        </w:rPr>
        <w:t>证券的公告</w:t>
      </w:r>
    </w:p>
    <w:p w:rsidR="00001DAA" w:rsidRPr="00336A2F" w:rsidRDefault="00336A2F" w:rsidP="0033562A">
      <w:pPr>
        <w:spacing w:beforeLines="100" w:afterLines="10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根据《中华人民共和国证券投资基金法》</w:t>
      </w:r>
      <w:r w:rsidRPr="00336A2F">
        <w:rPr>
          <w:rFonts w:ascii="Times New Roman" w:eastAsia="楷体_GB2312" w:hAnsi="Times New Roman" w:cs="Times New Roman"/>
          <w:sz w:val="24"/>
          <w:szCs w:val="24"/>
        </w:rPr>
        <w:t>《公开募集证券投资基金运作管理办</w:t>
      </w:r>
      <w:r>
        <w:rPr>
          <w:rFonts w:ascii="Times New Roman" w:eastAsia="楷体_GB2312" w:hAnsi="Times New Roman" w:cs="Times New Roman"/>
          <w:sz w:val="24"/>
          <w:szCs w:val="24"/>
        </w:rPr>
        <w:t>法》</w:t>
      </w:r>
      <w:r w:rsidR="00163C7B">
        <w:rPr>
          <w:rFonts w:ascii="Times New Roman" w:eastAsia="楷体_GB2312" w:hAnsi="Times New Roman" w:cs="Times New Roman" w:hint="eastAsia"/>
          <w:sz w:val="24"/>
          <w:szCs w:val="24"/>
        </w:rPr>
        <w:t>《公开募集证券投资基金信息披露管理办法》及</w:t>
      </w:r>
      <w:r w:rsidR="001E01E1">
        <w:rPr>
          <w:rFonts w:ascii="Times New Roman" w:eastAsia="楷体_GB2312" w:hAnsi="Times New Roman" w:cs="Times New Roman" w:hint="eastAsia"/>
          <w:sz w:val="24"/>
          <w:szCs w:val="24"/>
        </w:rPr>
        <w:t>相关基金</w:t>
      </w:r>
      <w:r w:rsidRPr="00336A2F">
        <w:rPr>
          <w:rFonts w:ascii="Times New Roman" w:eastAsia="楷体_GB2312" w:hAnsi="Times New Roman" w:cs="Times New Roman"/>
          <w:sz w:val="24"/>
          <w:szCs w:val="24"/>
        </w:rPr>
        <w:t>基金合同</w:t>
      </w:r>
      <w:r w:rsidR="00163C7B">
        <w:rPr>
          <w:rFonts w:ascii="Times New Roman" w:eastAsia="楷体_GB2312" w:hAnsi="Times New Roman" w:cs="Times New Roman" w:hint="eastAsia"/>
          <w:sz w:val="24"/>
          <w:szCs w:val="24"/>
        </w:rPr>
        <w:t>、</w:t>
      </w:r>
      <w:r w:rsidRPr="00336A2F">
        <w:rPr>
          <w:rFonts w:ascii="Times New Roman" w:eastAsia="楷体_GB2312" w:hAnsi="Times New Roman" w:cs="Times New Roman"/>
          <w:sz w:val="24"/>
          <w:szCs w:val="24"/>
        </w:rPr>
        <w:t>招募说明书等有关规定，</w:t>
      </w:r>
      <w:r w:rsidR="00C47181">
        <w:rPr>
          <w:rFonts w:ascii="Times New Roman" w:eastAsia="楷体_GB2312" w:hAnsi="Times New Roman" w:cs="Times New Roman"/>
          <w:sz w:val="24"/>
          <w:szCs w:val="24"/>
        </w:rPr>
        <w:t>经履行适当审批程序</w:t>
      </w:r>
      <w:r w:rsidR="00C47181">
        <w:rPr>
          <w:rFonts w:ascii="Times New Roman" w:eastAsia="楷体_GB2312" w:hAnsi="Times New Roman" w:cs="Times New Roman" w:hint="eastAsia"/>
          <w:sz w:val="24"/>
          <w:szCs w:val="24"/>
        </w:rPr>
        <w:t>，</w:t>
      </w:r>
      <w:r w:rsidR="001E01E1">
        <w:rPr>
          <w:rFonts w:ascii="Times New Roman" w:eastAsia="楷体_GB2312" w:hAnsi="Times New Roman" w:cs="Times New Roman" w:hint="eastAsia"/>
          <w:sz w:val="24"/>
          <w:szCs w:val="24"/>
        </w:rPr>
        <w:t>中金</w:t>
      </w:r>
      <w:r w:rsidR="001E01E1">
        <w:rPr>
          <w:rFonts w:ascii="Times New Roman" w:eastAsia="楷体_GB2312" w:hAnsi="Times New Roman" w:cs="Times New Roman"/>
          <w:sz w:val="24"/>
          <w:szCs w:val="24"/>
        </w:rPr>
        <w:t>基金管理有限公司</w:t>
      </w:r>
      <w:r w:rsidR="001E01E1">
        <w:rPr>
          <w:rFonts w:ascii="Times New Roman" w:eastAsia="楷体_GB2312" w:hAnsi="Times New Roman" w:cs="Times New Roman" w:hint="eastAsia"/>
          <w:sz w:val="24"/>
          <w:szCs w:val="24"/>
        </w:rPr>
        <w:t>（“本公司”）</w:t>
      </w:r>
      <w:r w:rsidR="00EF1EDA">
        <w:rPr>
          <w:rFonts w:ascii="Times New Roman" w:eastAsia="楷体_GB2312" w:hAnsi="Times New Roman" w:cs="Times New Roman" w:hint="eastAsia"/>
          <w:sz w:val="24"/>
          <w:szCs w:val="24"/>
        </w:rPr>
        <w:t>旗下</w:t>
      </w:r>
      <w:r w:rsidR="001E01E1">
        <w:rPr>
          <w:rFonts w:ascii="Times New Roman" w:eastAsia="楷体_GB2312" w:hAnsi="Times New Roman" w:cs="Times New Roman" w:hint="eastAsia"/>
          <w:sz w:val="24"/>
          <w:szCs w:val="24"/>
        </w:rPr>
        <w:t>部分基金</w:t>
      </w:r>
      <w:r w:rsidR="003E2578">
        <w:rPr>
          <w:rFonts w:ascii="Times New Roman" w:eastAsia="楷体_GB2312" w:hAnsi="Times New Roman" w:cs="Times New Roman"/>
          <w:sz w:val="24"/>
          <w:szCs w:val="24"/>
        </w:rPr>
        <w:t>参与</w:t>
      </w:r>
      <w:r w:rsidRPr="00336A2F">
        <w:rPr>
          <w:rFonts w:ascii="Times New Roman" w:eastAsia="楷体_GB2312" w:hAnsi="Times New Roman" w:cs="Times New Roman"/>
          <w:sz w:val="24"/>
          <w:szCs w:val="24"/>
        </w:rPr>
        <w:t>了</w:t>
      </w:r>
      <w:r w:rsidR="00EF6BAC" w:rsidRPr="00EF6BAC">
        <w:rPr>
          <w:rFonts w:ascii="Times New Roman" w:eastAsia="楷体_GB2312" w:hAnsi="Times New Roman" w:cs="Times New Roman" w:hint="eastAsia"/>
          <w:sz w:val="24"/>
          <w:szCs w:val="24"/>
        </w:rPr>
        <w:t>上海复旦张江生物医药股份有限公司</w:t>
      </w:r>
      <w:r w:rsidRPr="00336A2F">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w:t>
      </w:r>
      <w:r w:rsidR="00EF6BAC" w:rsidRPr="00EF6BAC">
        <w:rPr>
          <w:rFonts w:ascii="Times New Roman" w:eastAsia="楷体_GB2312" w:hAnsi="Times New Roman" w:cs="Times New Roman" w:hint="eastAsia"/>
          <w:sz w:val="24"/>
          <w:szCs w:val="24"/>
        </w:rPr>
        <w:t>复旦张江</w:t>
      </w:r>
      <w:r>
        <w:rPr>
          <w:rFonts w:ascii="Times New Roman" w:eastAsia="楷体_GB2312" w:hAnsi="Times New Roman" w:cs="Times New Roman" w:hint="eastAsia"/>
          <w:sz w:val="24"/>
          <w:szCs w:val="24"/>
        </w:rPr>
        <w:t>”</w:t>
      </w:r>
      <w:r w:rsidR="00162DE7">
        <w:rPr>
          <w:rFonts w:ascii="Times New Roman" w:eastAsia="楷体_GB2312" w:hAnsi="Times New Roman" w:cs="Times New Roman"/>
          <w:sz w:val="24"/>
          <w:szCs w:val="24"/>
        </w:rPr>
        <w:t>）</w:t>
      </w:r>
      <w:r w:rsidR="00F81BD6" w:rsidRPr="00F81BD6">
        <w:rPr>
          <w:rFonts w:ascii="Times New Roman" w:eastAsia="楷体_GB2312" w:hAnsi="Times New Roman" w:cs="Times New Roman" w:hint="eastAsia"/>
          <w:sz w:val="24"/>
          <w:szCs w:val="24"/>
        </w:rPr>
        <w:t>首次公开发行</w:t>
      </w:r>
      <w:r w:rsidR="00F81BD6" w:rsidRPr="00F81BD6">
        <w:rPr>
          <w:rFonts w:ascii="Times New Roman" w:eastAsia="楷体_GB2312" w:hAnsi="Times New Roman" w:cs="Times New Roman" w:hint="eastAsia"/>
          <w:sz w:val="24"/>
          <w:szCs w:val="24"/>
        </w:rPr>
        <w:t>A</w:t>
      </w:r>
      <w:r w:rsidR="00EF6BAC">
        <w:rPr>
          <w:rFonts w:ascii="Times New Roman" w:eastAsia="楷体_GB2312" w:hAnsi="Times New Roman" w:cs="Times New Roman" w:hint="eastAsia"/>
          <w:sz w:val="24"/>
          <w:szCs w:val="24"/>
        </w:rPr>
        <w:t>股并在科创板</w:t>
      </w:r>
      <w:r w:rsidR="00F81BD6" w:rsidRPr="00F81BD6">
        <w:rPr>
          <w:rFonts w:ascii="Times New Roman" w:eastAsia="楷体_GB2312" w:hAnsi="Times New Roman" w:cs="Times New Roman" w:hint="eastAsia"/>
          <w:sz w:val="24"/>
          <w:szCs w:val="24"/>
        </w:rPr>
        <w:t>上市</w:t>
      </w:r>
      <w:r w:rsidRPr="00336A2F">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w:t>
      </w:r>
      <w:r w:rsidRPr="00336A2F">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sidRPr="00336A2F">
        <w:rPr>
          <w:rFonts w:ascii="Times New Roman" w:eastAsia="楷体_GB2312" w:hAnsi="Times New Roman" w:cs="Times New Roman"/>
          <w:sz w:val="24"/>
          <w:szCs w:val="24"/>
        </w:rPr>
        <w:t>）的</w:t>
      </w:r>
      <w:r w:rsidR="001E01E1">
        <w:rPr>
          <w:rFonts w:ascii="Times New Roman" w:eastAsia="楷体_GB2312" w:hAnsi="Times New Roman" w:cs="Times New Roman"/>
          <w:sz w:val="24"/>
          <w:szCs w:val="24"/>
        </w:rPr>
        <w:t>网下申购</w:t>
      </w:r>
      <w:r w:rsidRPr="00336A2F">
        <w:rPr>
          <w:rFonts w:ascii="Times New Roman" w:eastAsia="楷体_GB2312" w:hAnsi="Times New Roman" w:cs="Times New Roman"/>
          <w:sz w:val="24"/>
          <w:szCs w:val="24"/>
        </w:rPr>
        <w:t>，</w:t>
      </w:r>
      <w:r w:rsidR="001E01E1">
        <w:rPr>
          <w:rFonts w:ascii="Times New Roman" w:eastAsia="楷体_GB2312" w:hAnsi="Times New Roman" w:cs="Times New Roman"/>
          <w:sz w:val="24"/>
          <w:szCs w:val="24"/>
        </w:rPr>
        <w:t>本公司</w:t>
      </w:r>
      <w:r>
        <w:rPr>
          <w:rFonts w:ascii="Times New Roman" w:eastAsia="楷体_GB2312" w:hAnsi="Times New Roman" w:cs="Times New Roman"/>
          <w:sz w:val="24"/>
          <w:szCs w:val="24"/>
        </w:rPr>
        <w:t>股东中国国际金融股份有限公司</w:t>
      </w:r>
      <w:r w:rsidRPr="00336A2F">
        <w:rPr>
          <w:rFonts w:ascii="Times New Roman" w:eastAsia="楷体_GB2312" w:hAnsi="Times New Roman" w:cs="Times New Roman"/>
          <w:sz w:val="24"/>
          <w:szCs w:val="24"/>
        </w:rPr>
        <w:t>为本次发行的</w:t>
      </w:r>
      <w:r w:rsidR="00EF6BAC">
        <w:rPr>
          <w:rFonts w:ascii="Times New Roman" w:eastAsia="楷体_GB2312" w:hAnsi="Times New Roman" w:cs="Times New Roman"/>
          <w:sz w:val="24"/>
          <w:szCs w:val="24"/>
        </w:rPr>
        <w:t>联席</w:t>
      </w:r>
      <w:r w:rsidRPr="00336A2F">
        <w:rPr>
          <w:rFonts w:ascii="Times New Roman" w:eastAsia="楷体_GB2312" w:hAnsi="Times New Roman" w:cs="Times New Roman"/>
          <w:sz w:val="24"/>
          <w:szCs w:val="24"/>
        </w:rPr>
        <w:t>主承销商。本次发行价格为</w:t>
      </w:r>
      <w:r w:rsidR="00EF6BAC" w:rsidRPr="00EF6BAC">
        <w:rPr>
          <w:rFonts w:ascii="Times New Roman" w:eastAsia="楷体_GB2312" w:hAnsi="Times New Roman" w:cs="Times New Roman" w:hint="eastAsia"/>
          <w:sz w:val="24"/>
          <w:szCs w:val="24"/>
        </w:rPr>
        <w:t>8.95</w:t>
      </w:r>
      <w:r w:rsidR="00EF6BAC" w:rsidRPr="00EF6BAC">
        <w:rPr>
          <w:rFonts w:ascii="Times New Roman" w:eastAsia="楷体_GB2312" w:hAnsi="Times New Roman" w:cs="Times New Roman" w:hint="eastAsia"/>
          <w:sz w:val="24"/>
          <w:szCs w:val="24"/>
        </w:rPr>
        <w:t>元</w:t>
      </w:r>
      <w:r w:rsidR="00211571" w:rsidRPr="00FA33B2">
        <w:rPr>
          <w:rFonts w:ascii="Times New Roman" w:eastAsia="楷体_GB2312" w:hAnsi="Times New Roman" w:cs="Times New Roman" w:hint="eastAsia"/>
          <w:sz w:val="24"/>
          <w:szCs w:val="24"/>
        </w:rPr>
        <w:t>/</w:t>
      </w:r>
      <w:r w:rsidR="00211571" w:rsidRPr="00FA33B2">
        <w:rPr>
          <w:rFonts w:ascii="Times New Roman" w:eastAsia="楷体_GB2312" w:hAnsi="Times New Roman" w:cs="Times New Roman" w:hint="eastAsia"/>
          <w:sz w:val="24"/>
          <w:szCs w:val="24"/>
        </w:rPr>
        <w:t>股</w:t>
      </w:r>
      <w:r w:rsidR="0011212F" w:rsidRPr="00FA33B2">
        <w:rPr>
          <w:rFonts w:ascii="Times New Roman" w:eastAsia="楷体_GB2312" w:hAnsi="Times New Roman" w:cs="Times New Roman" w:hint="eastAsia"/>
          <w:sz w:val="24"/>
          <w:szCs w:val="24"/>
        </w:rPr>
        <w:t>，</w:t>
      </w:r>
      <w:r w:rsidR="0011212F" w:rsidRPr="00FA33B2">
        <w:rPr>
          <w:rFonts w:ascii="Times New Roman" w:eastAsia="楷体_GB2312" w:hAnsi="Times New Roman" w:cs="Times New Roman"/>
          <w:sz w:val="24"/>
          <w:szCs w:val="24"/>
        </w:rPr>
        <w:t>由</w:t>
      </w:r>
      <w:r w:rsidR="00311FC5" w:rsidRPr="00311FC5">
        <w:rPr>
          <w:rFonts w:ascii="Times New Roman" w:eastAsia="楷体_GB2312" w:hAnsi="Times New Roman" w:cs="Times New Roman" w:hint="eastAsia"/>
          <w:sz w:val="24"/>
          <w:szCs w:val="24"/>
        </w:rPr>
        <w:t>发行人和联席主承销商通过向符合条件的投资者初步询价确定发行价格区间；在发行价格区间内通过向提供有效报价的投资者累计投标询价确定发行价格。</w:t>
      </w:r>
    </w:p>
    <w:p w:rsidR="00336A2F" w:rsidRPr="004343C7" w:rsidRDefault="00336A2F" w:rsidP="0033562A">
      <w:pPr>
        <w:spacing w:afterLines="100"/>
        <w:ind w:firstLineChars="200" w:firstLine="480"/>
        <w:rPr>
          <w:rFonts w:ascii="Times New Roman" w:eastAsia="楷体_GB2312" w:hAnsi="Times New Roman" w:cs="Times New Roman"/>
          <w:sz w:val="24"/>
          <w:szCs w:val="24"/>
        </w:rPr>
      </w:pPr>
      <w:r w:rsidRPr="004343C7">
        <w:rPr>
          <w:rFonts w:ascii="Times New Roman" w:eastAsia="楷体_GB2312" w:hAnsi="Times New Roman" w:cs="Times New Roman"/>
          <w:sz w:val="24"/>
          <w:szCs w:val="24"/>
        </w:rPr>
        <w:t>根据法律法规</w:t>
      </w:r>
      <w:r w:rsidR="00EF1EDA">
        <w:rPr>
          <w:rFonts w:ascii="Times New Roman" w:eastAsia="楷体_GB2312" w:hAnsi="Times New Roman" w:cs="Times New Roman" w:hint="eastAsia"/>
          <w:sz w:val="24"/>
          <w:szCs w:val="24"/>
        </w:rPr>
        <w:t>、</w:t>
      </w:r>
      <w:r w:rsidRPr="004343C7">
        <w:rPr>
          <w:rFonts w:ascii="Times New Roman" w:eastAsia="楷体_GB2312" w:hAnsi="Times New Roman" w:cs="Times New Roman"/>
          <w:sz w:val="24"/>
          <w:szCs w:val="24"/>
        </w:rPr>
        <w:t>基金合同</w:t>
      </w:r>
      <w:r w:rsidR="00A87330">
        <w:rPr>
          <w:rFonts w:ascii="Times New Roman" w:eastAsia="楷体_GB2312" w:hAnsi="Times New Roman" w:cs="Times New Roman" w:hint="eastAsia"/>
          <w:sz w:val="24"/>
          <w:szCs w:val="24"/>
        </w:rPr>
        <w:t>及</w:t>
      </w:r>
      <w:r w:rsidR="008F4F71">
        <w:rPr>
          <w:rFonts w:ascii="Times New Roman" w:eastAsia="楷体_GB2312" w:hAnsi="Times New Roman" w:cs="Times New Roman" w:hint="eastAsia"/>
          <w:sz w:val="24"/>
          <w:szCs w:val="24"/>
        </w:rPr>
        <w:t>复旦张江</w:t>
      </w:r>
      <w:r w:rsidR="00FA33B2">
        <w:rPr>
          <w:rFonts w:ascii="Times New Roman" w:eastAsia="楷体_GB2312" w:hAnsi="Times New Roman" w:cs="Times New Roman" w:hint="eastAsia"/>
          <w:sz w:val="24"/>
          <w:szCs w:val="24"/>
        </w:rPr>
        <w:t>发布的</w:t>
      </w:r>
      <w:r w:rsidRPr="004343C7">
        <w:rPr>
          <w:rFonts w:ascii="Times New Roman" w:eastAsia="楷体_GB2312" w:hAnsi="Times New Roman" w:cs="Times New Roman"/>
          <w:sz w:val="24"/>
          <w:szCs w:val="24"/>
        </w:rPr>
        <w:t>《</w:t>
      </w:r>
      <w:r w:rsidR="00F22DF0" w:rsidRPr="00F22DF0">
        <w:rPr>
          <w:rFonts w:ascii="Times New Roman" w:eastAsia="楷体_GB2312" w:hAnsi="Times New Roman" w:cs="Times New Roman" w:hint="eastAsia"/>
          <w:sz w:val="24"/>
          <w:szCs w:val="24"/>
        </w:rPr>
        <w:t>上海复旦张江生物医药股份有限公司首次公开发行股票并在科创板上市网下初步配售结果及网上中签结果公告</w:t>
      </w:r>
      <w:r w:rsidRPr="004343C7">
        <w:rPr>
          <w:rFonts w:ascii="Times New Roman" w:eastAsia="楷体_GB2312" w:hAnsi="Times New Roman" w:cs="Times New Roman"/>
          <w:sz w:val="24"/>
          <w:szCs w:val="24"/>
        </w:rPr>
        <w:t>》，现将</w:t>
      </w:r>
      <w:r w:rsidR="006F0B07">
        <w:rPr>
          <w:rFonts w:ascii="Times New Roman" w:eastAsia="楷体_GB2312" w:hAnsi="Times New Roman" w:cs="Times New Roman" w:hint="eastAsia"/>
          <w:sz w:val="24"/>
          <w:szCs w:val="24"/>
        </w:rPr>
        <w:t>本公司旗下基金</w:t>
      </w:r>
      <w:r w:rsidR="00EF1EDA">
        <w:rPr>
          <w:rFonts w:ascii="Times New Roman" w:eastAsia="楷体_GB2312" w:hAnsi="Times New Roman" w:cs="Times New Roman"/>
          <w:sz w:val="24"/>
          <w:szCs w:val="24"/>
        </w:rPr>
        <w:t>获配信息</w:t>
      </w:r>
      <w:r w:rsidRPr="004343C7">
        <w:rPr>
          <w:rFonts w:ascii="Times New Roman" w:eastAsia="楷体_GB2312" w:hAnsi="Times New Roman" w:cs="Times New Roman"/>
          <w:sz w:val="24"/>
          <w:szCs w:val="24"/>
        </w:rPr>
        <w:t>公告如下：</w:t>
      </w:r>
    </w:p>
    <w:tbl>
      <w:tblPr>
        <w:tblStyle w:val="a3"/>
        <w:tblW w:w="0" w:type="auto"/>
        <w:jc w:val="center"/>
        <w:tblInd w:w="-825" w:type="dxa"/>
        <w:tblLook w:val="04A0"/>
      </w:tblPr>
      <w:tblGrid>
        <w:gridCol w:w="5805"/>
        <w:gridCol w:w="947"/>
        <w:gridCol w:w="1312"/>
        <w:gridCol w:w="1283"/>
      </w:tblGrid>
      <w:tr w:rsidR="00EF6BAC" w:rsidRPr="00F81BD6" w:rsidTr="009957BF">
        <w:trPr>
          <w:jc w:val="center"/>
        </w:trPr>
        <w:tc>
          <w:tcPr>
            <w:tcW w:w="5805" w:type="dxa"/>
            <w:shd w:val="clear" w:color="auto" w:fill="D9D9D9" w:themeFill="background1" w:themeFillShade="D9"/>
            <w:vAlign w:val="center"/>
          </w:tcPr>
          <w:p w:rsidR="00EF6BAC" w:rsidRPr="00F81BD6" w:rsidRDefault="00EF6BAC" w:rsidP="00B31208">
            <w:pPr>
              <w:jc w:val="center"/>
              <w:rPr>
                <w:rFonts w:ascii="Times New Roman" w:eastAsia="楷体_GB2312" w:hAnsi="Times New Roman" w:cs="Times New Roman"/>
                <w:b/>
                <w:sz w:val="22"/>
                <w:szCs w:val="24"/>
              </w:rPr>
            </w:pPr>
            <w:r w:rsidRPr="00F81BD6">
              <w:rPr>
                <w:rFonts w:ascii="Times New Roman" w:eastAsia="楷体_GB2312" w:hAnsi="Times New Roman" w:cs="Times New Roman"/>
                <w:b/>
                <w:sz w:val="22"/>
                <w:szCs w:val="24"/>
              </w:rPr>
              <w:t>基金名称</w:t>
            </w:r>
          </w:p>
        </w:tc>
        <w:tc>
          <w:tcPr>
            <w:tcW w:w="947" w:type="dxa"/>
            <w:shd w:val="clear" w:color="auto" w:fill="D9D9D9" w:themeFill="background1" w:themeFillShade="D9"/>
            <w:vAlign w:val="center"/>
          </w:tcPr>
          <w:p w:rsidR="00EF6BAC" w:rsidRPr="00F81BD6" w:rsidRDefault="00EF6BAC" w:rsidP="00B31208">
            <w:pPr>
              <w:jc w:val="center"/>
              <w:rPr>
                <w:rFonts w:ascii="Times New Roman" w:eastAsia="楷体_GB2312" w:hAnsi="Times New Roman" w:cs="Times New Roman"/>
                <w:b/>
                <w:sz w:val="22"/>
                <w:szCs w:val="24"/>
              </w:rPr>
            </w:pPr>
            <w:r w:rsidRPr="00F81BD6">
              <w:rPr>
                <w:rFonts w:ascii="Times New Roman" w:eastAsia="楷体_GB2312" w:hAnsi="Times New Roman" w:cs="Times New Roman"/>
                <w:b/>
                <w:sz w:val="22"/>
                <w:szCs w:val="24"/>
              </w:rPr>
              <w:t>获配数量（股）</w:t>
            </w:r>
          </w:p>
        </w:tc>
        <w:tc>
          <w:tcPr>
            <w:tcW w:w="1312" w:type="dxa"/>
            <w:shd w:val="clear" w:color="auto" w:fill="D9D9D9" w:themeFill="background1" w:themeFillShade="D9"/>
            <w:vAlign w:val="center"/>
          </w:tcPr>
          <w:p w:rsidR="00EF6BAC" w:rsidRPr="00F81BD6" w:rsidRDefault="00EF6BAC" w:rsidP="00F81BD6">
            <w:pPr>
              <w:jc w:val="center"/>
              <w:rPr>
                <w:rFonts w:ascii="Times New Roman" w:eastAsia="楷体_GB2312" w:hAnsi="Times New Roman" w:cs="Times New Roman"/>
                <w:b/>
                <w:sz w:val="22"/>
                <w:szCs w:val="24"/>
              </w:rPr>
            </w:pPr>
            <w:r w:rsidRPr="00F81BD6">
              <w:rPr>
                <w:rFonts w:ascii="Times New Roman" w:eastAsia="楷体_GB2312" w:hAnsi="Times New Roman" w:cs="Times New Roman"/>
                <w:b/>
                <w:sz w:val="22"/>
                <w:szCs w:val="24"/>
              </w:rPr>
              <w:t>获配金额（元</w:t>
            </w:r>
            <w:r>
              <w:rPr>
                <w:rFonts w:ascii="Times New Roman" w:eastAsia="楷体_GB2312" w:hAnsi="Times New Roman" w:cs="Times New Roman" w:hint="eastAsia"/>
                <w:b/>
                <w:sz w:val="22"/>
                <w:szCs w:val="24"/>
              </w:rPr>
              <w:t>，</w:t>
            </w:r>
            <w:r w:rsidRPr="007F1F31">
              <w:rPr>
                <w:rFonts w:ascii="Times New Roman" w:eastAsia="楷体_GB2312" w:hAnsi="Times New Roman" w:cs="Times New Roman"/>
                <w:b/>
                <w:sz w:val="24"/>
                <w:szCs w:val="24"/>
              </w:rPr>
              <w:t>不含佣金</w:t>
            </w:r>
            <w:r w:rsidRPr="00F81BD6">
              <w:rPr>
                <w:rFonts w:ascii="Times New Roman" w:eastAsia="楷体_GB2312" w:hAnsi="Times New Roman" w:cs="Times New Roman"/>
                <w:b/>
                <w:sz w:val="22"/>
                <w:szCs w:val="24"/>
              </w:rPr>
              <w:t>）</w:t>
            </w:r>
          </w:p>
        </w:tc>
        <w:tc>
          <w:tcPr>
            <w:tcW w:w="1283" w:type="dxa"/>
            <w:shd w:val="clear" w:color="auto" w:fill="D9D9D9" w:themeFill="background1" w:themeFillShade="D9"/>
          </w:tcPr>
          <w:p w:rsidR="00EF6BAC" w:rsidRPr="00F81BD6" w:rsidRDefault="00EF6BAC" w:rsidP="00F81BD6">
            <w:pPr>
              <w:jc w:val="center"/>
              <w:rPr>
                <w:rFonts w:ascii="Times New Roman" w:eastAsia="楷体_GB2312" w:hAnsi="Times New Roman" w:cs="Times New Roman"/>
                <w:b/>
                <w:sz w:val="22"/>
                <w:szCs w:val="24"/>
              </w:rPr>
            </w:pPr>
            <w:r w:rsidRPr="007F1F31">
              <w:rPr>
                <w:rFonts w:ascii="Times New Roman" w:eastAsia="楷体_GB2312" w:hAnsi="Times New Roman" w:cs="Times New Roman"/>
                <w:b/>
                <w:sz w:val="24"/>
                <w:szCs w:val="24"/>
              </w:rPr>
              <w:t>相应新股配售经纪佣金（元）</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中金丰硕混合型证券投资基金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4</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060</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36</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337.00</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181.69</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中金瑞祥灵活配置混合型证券投资基金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5</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195</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46</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495.25</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232.48</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中金科创主题</w:t>
            </w:r>
            <w:r w:rsidRPr="009957BF">
              <w:rPr>
                <w:rFonts w:ascii="Times New Roman" w:eastAsia="楷体_GB2312" w:hAnsi="Times New Roman" w:cs="Times New Roman"/>
                <w:sz w:val="22"/>
              </w:rPr>
              <w:t>3</w:t>
            </w:r>
            <w:r w:rsidRPr="009957BF">
              <w:rPr>
                <w:rFonts w:ascii="Times New Roman" w:eastAsia="楷体_GB2312" w:hAnsi="Times New Roman" w:cs="Times New Roman"/>
                <w:sz w:val="22"/>
              </w:rPr>
              <w:t>年封闭运作灵活配置混合型证券投资基金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22</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688</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203</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057.60</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1</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015.29</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中金瑞和灵活配置混合型证券投资基金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19</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105</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170</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989.75</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854.95</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中金中证优选</w:t>
            </w:r>
            <w:r w:rsidRPr="009957BF">
              <w:rPr>
                <w:rFonts w:ascii="Times New Roman" w:eastAsia="楷体_GB2312" w:hAnsi="Times New Roman" w:cs="Times New Roman"/>
                <w:sz w:val="22"/>
              </w:rPr>
              <w:t>300</w:t>
            </w:r>
            <w:r w:rsidRPr="009957BF">
              <w:rPr>
                <w:rFonts w:ascii="Times New Roman" w:eastAsia="楷体_GB2312" w:hAnsi="Times New Roman" w:cs="Times New Roman"/>
                <w:sz w:val="22"/>
              </w:rPr>
              <w:t>指数证券投资基金</w:t>
            </w:r>
            <w:r w:rsidRPr="009957BF">
              <w:rPr>
                <w:rFonts w:ascii="Times New Roman" w:eastAsia="楷体_GB2312" w:hAnsi="Times New Roman" w:cs="Times New Roman"/>
                <w:sz w:val="22"/>
              </w:rPr>
              <w:t>(LOF</w:t>
            </w:r>
            <w:r w:rsidRPr="009957BF">
              <w:rPr>
                <w:rFonts w:ascii="Times New Roman" w:eastAsia="楷体_GB2312" w:hAnsi="Times New Roman" w:cs="Times New Roman"/>
                <w:sz w:val="22"/>
              </w:rPr>
              <w:t>）</w:t>
            </w:r>
            <w:bookmarkStart w:id="0" w:name="_GoBack"/>
            <w:bookmarkEnd w:id="0"/>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6</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986</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62</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524.70</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312.62</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中金金序量化蓝筹混合型证券投资基金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5</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613</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50</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236.35</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251.18</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中金金泽量化精选混合型发起式证券投资基金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19</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165</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171</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526.75</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857.63</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中金中证</w:t>
            </w:r>
            <w:r w:rsidRPr="009957BF">
              <w:rPr>
                <w:rFonts w:ascii="Times New Roman" w:eastAsia="楷体_GB2312" w:hAnsi="Times New Roman" w:cs="Times New Roman"/>
                <w:sz w:val="22"/>
              </w:rPr>
              <w:t>500</w:t>
            </w:r>
            <w:r w:rsidRPr="009957BF">
              <w:rPr>
                <w:rFonts w:ascii="Times New Roman" w:eastAsia="楷体_GB2312" w:hAnsi="Times New Roman" w:cs="Times New Roman"/>
                <w:sz w:val="22"/>
              </w:rPr>
              <w:t>指数增强型发起式证券投资基金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5</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254</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47</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023.30</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235.12</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中金沪深</w:t>
            </w:r>
            <w:r w:rsidRPr="009957BF">
              <w:rPr>
                <w:rFonts w:ascii="Times New Roman" w:eastAsia="楷体_GB2312" w:hAnsi="Times New Roman" w:cs="Times New Roman"/>
                <w:sz w:val="22"/>
              </w:rPr>
              <w:t>300</w:t>
            </w:r>
            <w:r w:rsidRPr="009957BF">
              <w:rPr>
                <w:rFonts w:ascii="Times New Roman" w:eastAsia="楷体_GB2312" w:hAnsi="Times New Roman" w:cs="Times New Roman"/>
                <w:sz w:val="22"/>
              </w:rPr>
              <w:t>指数增强型发起式证券投资基金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5</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732</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51</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301.40</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256.51</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中金量化多策略灵活配置混合型证券投资基金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9</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135</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81</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758.25</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408.79</w:t>
            </w:r>
          </w:p>
        </w:tc>
      </w:tr>
      <w:tr w:rsidR="00EF6BAC" w:rsidRPr="00F81BD6" w:rsidTr="009957BF">
        <w:trPr>
          <w:jc w:val="center"/>
        </w:trPr>
        <w:tc>
          <w:tcPr>
            <w:tcW w:w="5805" w:type="dxa"/>
          </w:tcPr>
          <w:p w:rsidR="00EF6BAC" w:rsidRPr="009957BF" w:rsidRDefault="00EF6BAC" w:rsidP="00781CFE">
            <w:pPr>
              <w:rPr>
                <w:rFonts w:ascii="Times New Roman" w:eastAsia="楷体_GB2312" w:hAnsi="Times New Roman" w:cs="Times New Roman"/>
                <w:sz w:val="22"/>
              </w:rPr>
            </w:pPr>
            <w:r w:rsidRPr="009957BF">
              <w:rPr>
                <w:rFonts w:ascii="Times New Roman" w:eastAsia="楷体_GB2312" w:hAnsi="Times New Roman" w:cs="Times New Roman"/>
                <w:sz w:val="22"/>
              </w:rPr>
              <w:t>中金消费升级股票型证券投资基金</w:t>
            </w:r>
          </w:p>
        </w:tc>
        <w:tc>
          <w:tcPr>
            <w:tcW w:w="947"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8</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120</w:t>
            </w:r>
          </w:p>
        </w:tc>
        <w:tc>
          <w:tcPr>
            <w:tcW w:w="1312"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72</w:t>
            </w:r>
            <w:r w:rsidR="008F4F71">
              <w:rPr>
                <w:rFonts w:ascii="Times New Roman" w:eastAsia="楷体_GB2312" w:hAnsi="Times New Roman" w:cs="Times New Roman" w:hint="eastAsia"/>
                <w:color w:val="000000"/>
                <w:sz w:val="22"/>
              </w:rPr>
              <w:t>,</w:t>
            </w:r>
            <w:r w:rsidRPr="008F4F71">
              <w:rPr>
                <w:rFonts w:ascii="Times New Roman" w:eastAsia="楷体_GB2312" w:hAnsi="Times New Roman" w:cs="Times New Roman"/>
                <w:color w:val="000000"/>
                <w:sz w:val="22"/>
              </w:rPr>
              <w:t>674.00</w:t>
            </w:r>
          </w:p>
        </w:tc>
        <w:tc>
          <w:tcPr>
            <w:tcW w:w="1283" w:type="dxa"/>
            <w:vAlign w:val="center"/>
          </w:tcPr>
          <w:p w:rsidR="00EF6BAC" w:rsidRPr="008F4F71" w:rsidRDefault="00EF6BAC">
            <w:pPr>
              <w:jc w:val="center"/>
              <w:rPr>
                <w:rFonts w:ascii="Times New Roman" w:eastAsia="楷体_GB2312" w:hAnsi="Times New Roman" w:cs="Times New Roman"/>
                <w:color w:val="000000"/>
                <w:sz w:val="22"/>
              </w:rPr>
            </w:pPr>
            <w:r w:rsidRPr="008F4F71">
              <w:rPr>
                <w:rFonts w:ascii="Times New Roman" w:eastAsia="楷体_GB2312" w:hAnsi="Times New Roman" w:cs="Times New Roman"/>
                <w:color w:val="000000"/>
                <w:sz w:val="22"/>
              </w:rPr>
              <w:t>363.37</w:t>
            </w:r>
          </w:p>
        </w:tc>
      </w:tr>
    </w:tbl>
    <w:p w:rsidR="00EF6BAC" w:rsidRDefault="00EF6BAC" w:rsidP="0033562A">
      <w:pPr>
        <w:autoSpaceDE w:val="0"/>
        <w:autoSpaceDN w:val="0"/>
        <w:adjustRightInd w:val="0"/>
        <w:spacing w:beforeLines="50" w:line="360" w:lineRule="auto"/>
        <w:ind w:firstLineChars="200" w:firstLine="420"/>
        <w:jc w:val="left"/>
        <w:rPr>
          <w:rFonts w:ascii="Times New Roman" w:eastAsia="楷体_GB2312" w:hAnsi="Times New Roman" w:cs="Times New Roman"/>
          <w:kern w:val="0"/>
          <w:szCs w:val="24"/>
        </w:rPr>
      </w:pPr>
      <w:r w:rsidRPr="007F1F31">
        <w:rPr>
          <w:rFonts w:ascii="Times New Roman" w:eastAsia="楷体_GB2312" w:hAnsi="Times New Roman" w:cs="Times New Roman"/>
          <w:kern w:val="0"/>
          <w:szCs w:val="24"/>
        </w:rPr>
        <w:t>注：上述基金新股配售经纪佣金费率为其获配金额的</w:t>
      </w:r>
      <w:r w:rsidRPr="007F1F31">
        <w:rPr>
          <w:rFonts w:ascii="Times New Roman" w:eastAsia="楷体_GB2312" w:hAnsi="Times New Roman" w:cs="Times New Roman"/>
          <w:kern w:val="0"/>
          <w:szCs w:val="24"/>
        </w:rPr>
        <w:t>0.5%</w:t>
      </w:r>
      <w:r w:rsidRPr="007F1F31">
        <w:rPr>
          <w:rFonts w:ascii="Times New Roman" w:eastAsia="楷体_GB2312" w:hAnsi="Times New Roman" w:cs="Times New Roman"/>
          <w:kern w:val="0"/>
          <w:szCs w:val="24"/>
        </w:rPr>
        <w:t>。</w:t>
      </w:r>
    </w:p>
    <w:p w:rsidR="0052668A" w:rsidRPr="0052668A" w:rsidRDefault="0052668A" w:rsidP="0033562A">
      <w:pPr>
        <w:autoSpaceDE w:val="0"/>
        <w:autoSpaceDN w:val="0"/>
        <w:adjustRightInd w:val="0"/>
        <w:spacing w:beforeLines="50" w:line="360" w:lineRule="auto"/>
        <w:ind w:firstLineChars="200" w:firstLine="480"/>
        <w:jc w:val="left"/>
        <w:rPr>
          <w:rFonts w:ascii="Times New Roman" w:eastAsia="楷体_GB2312" w:hAnsi="Times New Roman" w:cs="Times New Roman"/>
          <w:kern w:val="0"/>
          <w:sz w:val="24"/>
          <w:szCs w:val="24"/>
        </w:rPr>
      </w:pPr>
      <w:r w:rsidRPr="00336A2F">
        <w:rPr>
          <w:rFonts w:ascii="Times New Roman" w:eastAsia="楷体_GB2312" w:hAnsi="Times New Roman" w:cs="Times New Roman"/>
          <w:kern w:val="0"/>
          <w:sz w:val="24"/>
          <w:szCs w:val="24"/>
        </w:rPr>
        <w:t>特此公告</w:t>
      </w:r>
    </w:p>
    <w:p w:rsidR="00336A2F" w:rsidRPr="00336A2F" w:rsidRDefault="00336A2F" w:rsidP="00336A2F">
      <w:pPr>
        <w:autoSpaceDE w:val="0"/>
        <w:autoSpaceDN w:val="0"/>
        <w:adjustRightInd w:val="0"/>
        <w:spacing w:line="360" w:lineRule="auto"/>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w:t>
      </w:r>
      <w:r w:rsidRPr="00336A2F">
        <w:rPr>
          <w:rFonts w:ascii="Times New Roman" w:eastAsia="楷体_GB2312" w:hAnsi="Times New Roman" w:cs="Times New Roman"/>
          <w:kern w:val="0"/>
          <w:sz w:val="24"/>
          <w:szCs w:val="24"/>
        </w:rPr>
        <w:t>基金管理有限公司</w:t>
      </w:r>
    </w:p>
    <w:p w:rsidR="00336A2F" w:rsidRPr="00336A2F" w:rsidRDefault="00B6558C" w:rsidP="00336A2F">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sidR="008F4F71">
        <w:rPr>
          <w:rFonts w:ascii="Times New Roman" w:eastAsia="楷体_GB2312" w:hAnsi="Times New Roman" w:cs="Times New Roman" w:hint="eastAsia"/>
          <w:kern w:val="0"/>
          <w:sz w:val="24"/>
          <w:szCs w:val="24"/>
        </w:rPr>
        <w:t>6</w:t>
      </w:r>
      <w:r w:rsidR="00336A2F">
        <w:rPr>
          <w:rFonts w:ascii="Times New Roman" w:eastAsia="楷体_GB2312" w:hAnsi="Times New Roman" w:cs="Times New Roman"/>
          <w:kern w:val="0"/>
          <w:sz w:val="24"/>
          <w:szCs w:val="24"/>
        </w:rPr>
        <w:t>月</w:t>
      </w:r>
      <w:r w:rsidR="008F4F71">
        <w:rPr>
          <w:rFonts w:ascii="Times New Roman" w:eastAsia="楷体_GB2312" w:hAnsi="Times New Roman" w:cs="Times New Roman" w:hint="eastAsia"/>
          <w:kern w:val="0"/>
          <w:sz w:val="24"/>
          <w:szCs w:val="24"/>
        </w:rPr>
        <w:t>11</w:t>
      </w:r>
      <w:r w:rsidR="00336A2F" w:rsidRPr="00336A2F">
        <w:rPr>
          <w:rFonts w:ascii="Times New Roman" w:eastAsia="楷体_GB2312" w:hAnsi="Times New Roman" w:cs="Times New Roman"/>
          <w:kern w:val="0"/>
          <w:sz w:val="24"/>
          <w:szCs w:val="24"/>
        </w:rPr>
        <w:t>日</w:t>
      </w:r>
    </w:p>
    <w:sectPr w:rsidR="00336A2F" w:rsidRPr="00336A2F" w:rsidSect="00645C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36" w:rsidRDefault="007D5636" w:rsidP="003730B8">
      <w:r>
        <w:separator/>
      </w:r>
    </w:p>
  </w:endnote>
  <w:endnote w:type="continuationSeparator" w:id="0">
    <w:p w:rsidR="007D5636" w:rsidRDefault="007D5636" w:rsidP="00373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36" w:rsidRDefault="007D5636" w:rsidP="003730B8">
      <w:r>
        <w:separator/>
      </w:r>
    </w:p>
  </w:footnote>
  <w:footnote w:type="continuationSeparator" w:id="0">
    <w:p w:rsidR="007D5636" w:rsidRDefault="007D5636" w:rsidP="00373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C25"/>
    <w:rsid w:val="00002C5D"/>
    <w:rsid w:val="000476E7"/>
    <w:rsid w:val="00052929"/>
    <w:rsid w:val="0008360E"/>
    <w:rsid w:val="00097A2E"/>
    <w:rsid w:val="001064A8"/>
    <w:rsid w:val="0011212F"/>
    <w:rsid w:val="00117FD3"/>
    <w:rsid w:val="00156FEE"/>
    <w:rsid w:val="00162DE7"/>
    <w:rsid w:val="00163C7B"/>
    <w:rsid w:val="001643C7"/>
    <w:rsid w:val="00164CA7"/>
    <w:rsid w:val="001729E7"/>
    <w:rsid w:val="001E01E1"/>
    <w:rsid w:val="00211571"/>
    <w:rsid w:val="00222668"/>
    <w:rsid w:val="002A2594"/>
    <w:rsid w:val="002B48F4"/>
    <w:rsid w:val="002E4436"/>
    <w:rsid w:val="002E57C9"/>
    <w:rsid w:val="00311FC5"/>
    <w:rsid w:val="003202E4"/>
    <w:rsid w:val="0033562A"/>
    <w:rsid w:val="00336A2F"/>
    <w:rsid w:val="00351B6D"/>
    <w:rsid w:val="0037307F"/>
    <w:rsid w:val="003730B8"/>
    <w:rsid w:val="00383D43"/>
    <w:rsid w:val="00387283"/>
    <w:rsid w:val="003B0326"/>
    <w:rsid w:val="003C49CF"/>
    <w:rsid w:val="003D07E5"/>
    <w:rsid w:val="003E2578"/>
    <w:rsid w:val="003E25DA"/>
    <w:rsid w:val="004343C7"/>
    <w:rsid w:val="00454743"/>
    <w:rsid w:val="00495039"/>
    <w:rsid w:val="004B4629"/>
    <w:rsid w:val="004B7BC5"/>
    <w:rsid w:val="004E0EBE"/>
    <w:rsid w:val="005163E2"/>
    <w:rsid w:val="0052668A"/>
    <w:rsid w:val="00580073"/>
    <w:rsid w:val="00645C4B"/>
    <w:rsid w:val="006A26CC"/>
    <w:rsid w:val="006A36E9"/>
    <w:rsid w:val="006F0B07"/>
    <w:rsid w:val="00705D36"/>
    <w:rsid w:val="00722DD4"/>
    <w:rsid w:val="007D083F"/>
    <w:rsid w:val="007D5636"/>
    <w:rsid w:val="007F1F31"/>
    <w:rsid w:val="008320EA"/>
    <w:rsid w:val="00851B64"/>
    <w:rsid w:val="008A6302"/>
    <w:rsid w:val="008D7962"/>
    <w:rsid w:val="008F4927"/>
    <w:rsid w:val="008F4F71"/>
    <w:rsid w:val="0097486C"/>
    <w:rsid w:val="00982A53"/>
    <w:rsid w:val="009957BF"/>
    <w:rsid w:val="009D070A"/>
    <w:rsid w:val="009D6FA9"/>
    <w:rsid w:val="009F73EF"/>
    <w:rsid w:val="00A331EB"/>
    <w:rsid w:val="00A6528A"/>
    <w:rsid w:val="00A8230E"/>
    <w:rsid w:val="00A87330"/>
    <w:rsid w:val="00AA0CEA"/>
    <w:rsid w:val="00AC6C51"/>
    <w:rsid w:val="00B46517"/>
    <w:rsid w:val="00B50C25"/>
    <w:rsid w:val="00B6558C"/>
    <w:rsid w:val="00B91A14"/>
    <w:rsid w:val="00B96288"/>
    <w:rsid w:val="00BB5965"/>
    <w:rsid w:val="00BB6854"/>
    <w:rsid w:val="00C10FD9"/>
    <w:rsid w:val="00C46055"/>
    <w:rsid w:val="00C47181"/>
    <w:rsid w:val="00CA4101"/>
    <w:rsid w:val="00CB753C"/>
    <w:rsid w:val="00CD0251"/>
    <w:rsid w:val="00CE517E"/>
    <w:rsid w:val="00D26D4A"/>
    <w:rsid w:val="00D54CB9"/>
    <w:rsid w:val="00D61AF3"/>
    <w:rsid w:val="00D70082"/>
    <w:rsid w:val="00D74989"/>
    <w:rsid w:val="00DC3E7B"/>
    <w:rsid w:val="00DF7ED7"/>
    <w:rsid w:val="00E1375C"/>
    <w:rsid w:val="00E53A60"/>
    <w:rsid w:val="00EA4574"/>
    <w:rsid w:val="00EF1EDA"/>
    <w:rsid w:val="00EF6BAC"/>
    <w:rsid w:val="00F22DF0"/>
    <w:rsid w:val="00F72146"/>
    <w:rsid w:val="00F81BD6"/>
    <w:rsid w:val="00F9044B"/>
    <w:rsid w:val="00F94F4E"/>
    <w:rsid w:val="00FA33B2"/>
    <w:rsid w:val="00FF6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36A2F"/>
    <w:rPr>
      <w:sz w:val="18"/>
      <w:szCs w:val="18"/>
    </w:rPr>
  </w:style>
  <w:style w:type="character" w:customStyle="1" w:styleId="Char">
    <w:name w:val="批注框文本 Char"/>
    <w:basedOn w:val="a0"/>
    <w:link w:val="a4"/>
    <w:uiPriority w:val="99"/>
    <w:semiHidden/>
    <w:rsid w:val="00336A2F"/>
    <w:rPr>
      <w:sz w:val="18"/>
      <w:szCs w:val="18"/>
    </w:rPr>
  </w:style>
  <w:style w:type="paragraph" w:styleId="a5">
    <w:name w:val="header"/>
    <w:basedOn w:val="a"/>
    <w:link w:val="Char0"/>
    <w:uiPriority w:val="99"/>
    <w:unhideWhenUsed/>
    <w:rsid w:val="003730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30B8"/>
    <w:rPr>
      <w:sz w:val="18"/>
      <w:szCs w:val="18"/>
    </w:rPr>
  </w:style>
  <w:style w:type="paragraph" w:styleId="a6">
    <w:name w:val="footer"/>
    <w:basedOn w:val="a"/>
    <w:link w:val="Char1"/>
    <w:uiPriority w:val="99"/>
    <w:unhideWhenUsed/>
    <w:rsid w:val="003730B8"/>
    <w:pPr>
      <w:tabs>
        <w:tab w:val="center" w:pos="4153"/>
        <w:tab w:val="right" w:pos="8306"/>
      </w:tabs>
      <w:snapToGrid w:val="0"/>
      <w:jc w:val="left"/>
    </w:pPr>
    <w:rPr>
      <w:sz w:val="18"/>
      <w:szCs w:val="18"/>
    </w:rPr>
  </w:style>
  <w:style w:type="character" w:customStyle="1" w:styleId="Char1">
    <w:name w:val="页脚 Char"/>
    <w:basedOn w:val="a0"/>
    <w:link w:val="a6"/>
    <w:uiPriority w:val="99"/>
    <w:rsid w:val="003730B8"/>
    <w:rPr>
      <w:sz w:val="18"/>
      <w:szCs w:val="18"/>
    </w:rPr>
  </w:style>
  <w:style w:type="character" w:styleId="a7">
    <w:name w:val="annotation reference"/>
    <w:basedOn w:val="a0"/>
    <w:uiPriority w:val="99"/>
    <w:semiHidden/>
    <w:unhideWhenUsed/>
    <w:rsid w:val="003730B8"/>
    <w:rPr>
      <w:sz w:val="21"/>
      <w:szCs w:val="21"/>
    </w:rPr>
  </w:style>
  <w:style w:type="paragraph" w:styleId="a8">
    <w:name w:val="annotation text"/>
    <w:basedOn w:val="a"/>
    <w:link w:val="Char2"/>
    <w:uiPriority w:val="99"/>
    <w:semiHidden/>
    <w:unhideWhenUsed/>
    <w:rsid w:val="003730B8"/>
    <w:pPr>
      <w:jc w:val="left"/>
    </w:pPr>
  </w:style>
  <w:style w:type="character" w:customStyle="1" w:styleId="Char2">
    <w:name w:val="批注文字 Char"/>
    <w:basedOn w:val="a0"/>
    <w:link w:val="a8"/>
    <w:uiPriority w:val="99"/>
    <w:semiHidden/>
    <w:rsid w:val="003730B8"/>
  </w:style>
  <w:style w:type="paragraph" w:styleId="a9">
    <w:name w:val="annotation subject"/>
    <w:basedOn w:val="a8"/>
    <w:next w:val="a8"/>
    <w:link w:val="Char3"/>
    <w:uiPriority w:val="99"/>
    <w:semiHidden/>
    <w:unhideWhenUsed/>
    <w:rsid w:val="003730B8"/>
    <w:rPr>
      <w:b/>
      <w:bCs/>
    </w:rPr>
  </w:style>
  <w:style w:type="character" w:customStyle="1" w:styleId="Char3">
    <w:name w:val="批注主题 Char"/>
    <w:basedOn w:val="Char2"/>
    <w:link w:val="a9"/>
    <w:uiPriority w:val="99"/>
    <w:semiHidden/>
    <w:rsid w:val="00373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36A2F"/>
    <w:rPr>
      <w:sz w:val="18"/>
      <w:szCs w:val="18"/>
    </w:rPr>
  </w:style>
  <w:style w:type="character" w:customStyle="1" w:styleId="Char">
    <w:name w:val="批注框文本 Char"/>
    <w:basedOn w:val="a0"/>
    <w:link w:val="a4"/>
    <w:uiPriority w:val="99"/>
    <w:semiHidden/>
    <w:rsid w:val="00336A2F"/>
    <w:rPr>
      <w:sz w:val="18"/>
      <w:szCs w:val="18"/>
    </w:rPr>
  </w:style>
  <w:style w:type="paragraph" w:styleId="a5">
    <w:name w:val="header"/>
    <w:basedOn w:val="a"/>
    <w:link w:val="Char0"/>
    <w:uiPriority w:val="99"/>
    <w:unhideWhenUsed/>
    <w:rsid w:val="003730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30B8"/>
    <w:rPr>
      <w:sz w:val="18"/>
      <w:szCs w:val="18"/>
    </w:rPr>
  </w:style>
  <w:style w:type="paragraph" w:styleId="a6">
    <w:name w:val="footer"/>
    <w:basedOn w:val="a"/>
    <w:link w:val="Char1"/>
    <w:uiPriority w:val="99"/>
    <w:unhideWhenUsed/>
    <w:rsid w:val="003730B8"/>
    <w:pPr>
      <w:tabs>
        <w:tab w:val="center" w:pos="4153"/>
        <w:tab w:val="right" w:pos="8306"/>
      </w:tabs>
      <w:snapToGrid w:val="0"/>
      <w:jc w:val="left"/>
    </w:pPr>
    <w:rPr>
      <w:sz w:val="18"/>
      <w:szCs w:val="18"/>
    </w:rPr>
  </w:style>
  <w:style w:type="character" w:customStyle="1" w:styleId="Char1">
    <w:name w:val="页脚 Char"/>
    <w:basedOn w:val="a0"/>
    <w:link w:val="a6"/>
    <w:uiPriority w:val="99"/>
    <w:rsid w:val="003730B8"/>
    <w:rPr>
      <w:sz w:val="18"/>
      <w:szCs w:val="18"/>
    </w:rPr>
  </w:style>
  <w:style w:type="character" w:styleId="a7">
    <w:name w:val="annotation reference"/>
    <w:basedOn w:val="a0"/>
    <w:uiPriority w:val="99"/>
    <w:semiHidden/>
    <w:unhideWhenUsed/>
    <w:rsid w:val="003730B8"/>
    <w:rPr>
      <w:sz w:val="21"/>
      <w:szCs w:val="21"/>
    </w:rPr>
  </w:style>
  <w:style w:type="paragraph" w:styleId="a8">
    <w:name w:val="annotation text"/>
    <w:basedOn w:val="a"/>
    <w:link w:val="Char2"/>
    <w:uiPriority w:val="99"/>
    <w:semiHidden/>
    <w:unhideWhenUsed/>
    <w:rsid w:val="003730B8"/>
    <w:pPr>
      <w:jc w:val="left"/>
    </w:pPr>
  </w:style>
  <w:style w:type="character" w:customStyle="1" w:styleId="Char2">
    <w:name w:val="批注文字 Char"/>
    <w:basedOn w:val="a0"/>
    <w:link w:val="a8"/>
    <w:uiPriority w:val="99"/>
    <w:semiHidden/>
    <w:rsid w:val="003730B8"/>
  </w:style>
  <w:style w:type="paragraph" w:styleId="a9">
    <w:name w:val="annotation subject"/>
    <w:basedOn w:val="a8"/>
    <w:next w:val="a8"/>
    <w:link w:val="Char3"/>
    <w:uiPriority w:val="99"/>
    <w:semiHidden/>
    <w:unhideWhenUsed/>
    <w:rsid w:val="003730B8"/>
    <w:rPr>
      <w:b/>
      <w:bCs/>
    </w:rPr>
  </w:style>
  <w:style w:type="character" w:customStyle="1" w:styleId="Char3">
    <w:name w:val="批注主题 Char"/>
    <w:basedOn w:val="Char2"/>
    <w:link w:val="a9"/>
    <w:uiPriority w:val="99"/>
    <w:semiHidden/>
    <w:rsid w:val="003730B8"/>
    <w:rPr>
      <w:b/>
      <w:bCs/>
    </w:rPr>
  </w:style>
</w:styles>
</file>

<file path=word/webSettings.xml><?xml version="1.0" encoding="utf-8"?>
<w:webSettings xmlns:r="http://schemas.openxmlformats.org/officeDocument/2006/relationships" xmlns:w="http://schemas.openxmlformats.org/wordprocessingml/2006/main">
  <w:divs>
    <w:div w:id="85543420">
      <w:bodyDiv w:val="1"/>
      <w:marLeft w:val="0"/>
      <w:marRight w:val="0"/>
      <w:marTop w:val="0"/>
      <w:marBottom w:val="0"/>
      <w:divBdr>
        <w:top w:val="none" w:sz="0" w:space="0" w:color="auto"/>
        <w:left w:val="none" w:sz="0" w:space="0" w:color="auto"/>
        <w:bottom w:val="none" w:sz="0" w:space="0" w:color="auto"/>
        <w:right w:val="none" w:sz="0" w:space="0" w:color="auto"/>
      </w:divBdr>
    </w:div>
    <w:div w:id="328794345">
      <w:bodyDiv w:val="1"/>
      <w:marLeft w:val="0"/>
      <w:marRight w:val="0"/>
      <w:marTop w:val="0"/>
      <w:marBottom w:val="0"/>
      <w:divBdr>
        <w:top w:val="none" w:sz="0" w:space="0" w:color="auto"/>
        <w:left w:val="none" w:sz="0" w:space="0" w:color="auto"/>
        <w:bottom w:val="none" w:sz="0" w:space="0" w:color="auto"/>
        <w:right w:val="none" w:sz="0" w:space="0" w:color="auto"/>
      </w:divBdr>
    </w:div>
    <w:div w:id="1650598204">
      <w:bodyDiv w:val="1"/>
      <w:marLeft w:val="0"/>
      <w:marRight w:val="0"/>
      <w:marTop w:val="0"/>
      <w:marBottom w:val="0"/>
      <w:divBdr>
        <w:top w:val="none" w:sz="0" w:space="0" w:color="auto"/>
        <w:left w:val="none" w:sz="0" w:space="0" w:color="auto"/>
        <w:bottom w:val="none" w:sz="0" w:space="0" w:color="auto"/>
        <w:right w:val="none" w:sz="0" w:space="0" w:color="auto"/>
      </w:divBdr>
    </w:div>
    <w:div w:id="21461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4</DocSecurity>
  <Lines>7</Lines>
  <Paragraphs>1</Paragraphs>
  <ScaleCrop>false</ScaleCrop>
  <Company>HP Inc.</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2020-04-27T03:21:00Z</cp:lastPrinted>
  <dcterms:created xsi:type="dcterms:W3CDTF">2020-06-10T15:32:00Z</dcterms:created>
  <dcterms:modified xsi:type="dcterms:W3CDTF">2020-06-10T15:32:00Z</dcterms:modified>
</cp:coreProperties>
</file>