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ED" w:rsidRDefault="006145B1">
      <w:pPr>
        <w:rPr>
          <w:rFonts w:ascii="宋体" w:hAnsi="宋体"/>
          <w:b/>
          <w:bCs/>
          <w:szCs w:val="21"/>
        </w:rPr>
      </w:pPr>
      <w:r w:rsidRPr="006145B1">
        <w:rPr>
          <w:rFonts w:ascii="宋体" w:hAnsi="宋体" w:hint="eastAsia"/>
          <w:b/>
          <w:bCs/>
          <w:szCs w:val="21"/>
        </w:rPr>
        <w:t>华泰柏瑞量化绝对收益策略定期开放混合型发起式证券投资基金对冲策略执行情况公告</w:t>
      </w:r>
    </w:p>
    <w:p w:rsidR="006145B1" w:rsidRDefault="006145B1" w:rsidP="006145B1">
      <w:pPr>
        <w:jc w:val="center"/>
        <w:rPr>
          <w:rFonts w:ascii="宋体" w:hAnsi="宋体"/>
          <w:b/>
          <w:bCs/>
          <w:szCs w:val="21"/>
        </w:rPr>
      </w:pPr>
      <w:r>
        <w:rPr>
          <w:rFonts w:ascii="宋体" w:hAnsi="宋体" w:hint="eastAsia"/>
          <w:b/>
          <w:bCs/>
          <w:szCs w:val="21"/>
        </w:rPr>
        <w:t>公告送出日期</w:t>
      </w:r>
      <w:r w:rsidR="008D79DD">
        <w:rPr>
          <w:rFonts w:ascii="宋体" w:hAnsi="宋体" w:hint="eastAsia"/>
          <w:b/>
          <w:bCs/>
          <w:szCs w:val="21"/>
        </w:rPr>
        <w:t>:2020</w:t>
      </w:r>
      <w:r>
        <w:rPr>
          <w:rFonts w:ascii="宋体" w:hAnsi="宋体" w:hint="eastAsia"/>
          <w:b/>
          <w:bCs/>
          <w:szCs w:val="21"/>
        </w:rPr>
        <w:t>年</w:t>
      </w:r>
      <w:r w:rsidR="008D79DD">
        <w:rPr>
          <w:rFonts w:ascii="宋体" w:hAnsi="宋体" w:hint="eastAsia"/>
          <w:b/>
          <w:bCs/>
          <w:szCs w:val="21"/>
        </w:rPr>
        <w:t>6</w:t>
      </w:r>
      <w:r>
        <w:rPr>
          <w:rFonts w:ascii="宋体" w:hAnsi="宋体" w:hint="eastAsia"/>
          <w:b/>
          <w:bCs/>
          <w:szCs w:val="21"/>
        </w:rPr>
        <w:t>月</w:t>
      </w:r>
      <w:r w:rsidR="008D79DD">
        <w:rPr>
          <w:rFonts w:ascii="宋体" w:hAnsi="宋体" w:hint="eastAsia"/>
          <w:b/>
          <w:bCs/>
          <w:szCs w:val="21"/>
        </w:rPr>
        <w:t>10</w:t>
      </w:r>
      <w:r>
        <w:rPr>
          <w:rFonts w:ascii="宋体" w:hAnsi="宋体" w:hint="eastAsia"/>
          <w:b/>
          <w:bCs/>
          <w:szCs w:val="21"/>
        </w:rPr>
        <w:t>日</w:t>
      </w:r>
    </w:p>
    <w:p w:rsidR="006145B1" w:rsidRPr="006145B1" w:rsidRDefault="006145B1" w:rsidP="006145B1">
      <w:pPr>
        <w:pStyle w:val="a3"/>
        <w:numPr>
          <w:ilvl w:val="0"/>
          <w:numId w:val="1"/>
        </w:numPr>
        <w:ind w:firstLineChars="0"/>
        <w:rPr>
          <w:rFonts w:ascii="宋体" w:hAnsi="宋体"/>
          <w:b/>
          <w:bCs/>
          <w:szCs w:val="21"/>
        </w:rPr>
      </w:pPr>
      <w:r w:rsidRPr="006145B1">
        <w:rPr>
          <w:rFonts w:ascii="宋体" w:hAnsi="宋体" w:hint="eastAsia"/>
          <w:b/>
          <w:bCs/>
          <w:szCs w:val="21"/>
        </w:rPr>
        <w:t>公告基本信息</w:t>
      </w:r>
    </w:p>
    <w:tbl>
      <w:tblPr>
        <w:tblStyle w:val="a4"/>
        <w:tblW w:w="0" w:type="auto"/>
        <w:tblLook w:val="04A0"/>
      </w:tblPr>
      <w:tblGrid>
        <w:gridCol w:w="4261"/>
        <w:gridCol w:w="4261"/>
      </w:tblGrid>
      <w:tr w:rsidR="006145B1" w:rsidTr="006145B1">
        <w:tc>
          <w:tcPr>
            <w:tcW w:w="4261" w:type="dxa"/>
          </w:tcPr>
          <w:p w:rsidR="006145B1" w:rsidRDefault="006145B1" w:rsidP="006145B1">
            <w:pPr>
              <w:rPr>
                <w:szCs w:val="21"/>
              </w:rPr>
            </w:pPr>
            <w:r>
              <w:rPr>
                <w:rFonts w:hint="eastAsia"/>
                <w:szCs w:val="21"/>
              </w:rPr>
              <w:t>基金名称</w:t>
            </w:r>
          </w:p>
        </w:tc>
        <w:tc>
          <w:tcPr>
            <w:tcW w:w="4261" w:type="dxa"/>
          </w:tcPr>
          <w:p w:rsidR="006145B1" w:rsidRDefault="00CB2985" w:rsidP="006145B1">
            <w:pPr>
              <w:rPr>
                <w:szCs w:val="21"/>
              </w:rPr>
            </w:pPr>
            <w:r w:rsidRPr="00CB2985">
              <w:rPr>
                <w:rFonts w:hint="eastAsia"/>
                <w:szCs w:val="21"/>
              </w:rPr>
              <w:t>华泰柏瑞量化绝对收益策略定期开放混合型发起式证券投资基金</w:t>
            </w:r>
          </w:p>
        </w:tc>
      </w:tr>
      <w:tr w:rsidR="00CB2985" w:rsidTr="006145B1">
        <w:tc>
          <w:tcPr>
            <w:tcW w:w="4261" w:type="dxa"/>
          </w:tcPr>
          <w:p w:rsidR="00CB2985" w:rsidRDefault="00CB2985" w:rsidP="006145B1">
            <w:pPr>
              <w:rPr>
                <w:szCs w:val="21"/>
              </w:rPr>
            </w:pPr>
            <w:r>
              <w:rPr>
                <w:rFonts w:hint="eastAsia"/>
                <w:szCs w:val="21"/>
              </w:rPr>
              <w:t>基金简称</w:t>
            </w:r>
          </w:p>
        </w:tc>
        <w:tc>
          <w:tcPr>
            <w:tcW w:w="4261" w:type="dxa"/>
          </w:tcPr>
          <w:p w:rsidR="00CB2985" w:rsidRDefault="00CB2985" w:rsidP="00A833EB">
            <w:pPr>
              <w:jc w:val="left"/>
              <w:rPr>
                <w:rFonts w:ascii="宋体" w:hAnsi="宋体"/>
                <w:kern w:val="0"/>
                <w:szCs w:val="24"/>
              </w:rPr>
            </w:pPr>
            <w:r>
              <w:rPr>
                <w:rFonts w:ascii="宋体" w:hAnsi="宋体" w:hint="eastAsia"/>
                <w:kern w:val="0"/>
                <w:szCs w:val="24"/>
              </w:rPr>
              <w:t>华泰柏瑞量化绝对收益混合</w:t>
            </w:r>
          </w:p>
        </w:tc>
      </w:tr>
      <w:tr w:rsidR="00CB2985" w:rsidTr="006145B1">
        <w:tc>
          <w:tcPr>
            <w:tcW w:w="4261" w:type="dxa"/>
          </w:tcPr>
          <w:p w:rsidR="00CB2985" w:rsidRDefault="00CB2985" w:rsidP="006145B1">
            <w:pPr>
              <w:rPr>
                <w:szCs w:val="21"/>
              </w:rPr>
            </w:pPr>
            <w:r>
              <w:rPr>
                <w:rFonts w:hint="eastAsia"/>
                <w:szCs w:val="21"/>
              </w:rPr>
              <w:t>基金主代码</w:t>
            </w:r>
          </w:p>
        </w:tc>
        <w:tc>
          <w:tcPr>
            <w:tcW w:w="4261" w:type="dxa"/>
          </w:tcPr>
          <w:p w:rsidR="00CB2985" w:rsidRDefault="00CB2985" w:rsidP="006145B1">
            <w:pPr>
              <w:rPr>
                <w:szCs w:val="21"/>
              </w:rPr>
            </w:pPr>
            <w:r>
              <w:rPr>
                <w:rFonts w:ascii="宋体" w:hAnsi="宋体"/>
                <w:kern w:val="0"/>
                <w:szCs w:val="24"/>
              </w:rPr>
              <w:t>001073</w:t>
            </w:r>
          </w:p>
        </w:tc>
      </w:tr>
      <w:tr w:rsidR="00CB2985" w:rsidTr="006145B1">
        <w:tc>
          <w:tcPr>
            <w:tcW w:w="4261" w:type="dxa"/>
          </w:tcPr>
          <w:p w:rsidR="00CB2985" w:rsidRDefault="00CB2985" w:rsidP="006145B1">
            <w:pPr>
              <w:rPr>
                <w:szCs w:val="21"/>
              </w:rPr>
            </w:pPr>
            <w:r>
              <w:rPr>
                <w:rFonts w:hint="eastAsia"/>
                <w:szCs w:val="21"/>
              </w:rPr>
              <w:t>基金运作方式</w:t>
            </w:r>
          </w:p>
        </w:tc>
        <w:tc>
          <w:tcPr>
            <w:tcW w:w="4261" w:type="dxa"/>
          </w:tcPr>
          <w:p w:rsidR="00CB2985" w:rsidRDefault="00CB2985" w:rsidP="006145B1">
            <w:pPr>
              <w:rPr>
                <w:szCs w:val="21"/>
              </w:rPr>
            </w:pPr>
            <w:r>
              <w:rPr>
                <w:rFonts w:ascii="宋体" w:hAnsi="宋体" w:hint="eastAsia"/>
                <w:kern w:val="0"/>
                <w:szCs w:val="24"/>
              </w:rPr>
              <w:t>契约型开放式</w:t>
            </w:r>
          </w:p>
        </w:tc>
      </w:tr>
      <w:tr w:rsidR="00CB2985" w:rsidTr="006145B1">
        <w:tc>
          <w:tcPr>
            <w:tcW w:w="4261" w:type="dxa"/>
          </w:tcPr>
          <w:p w:rsidR="00CB2985" w:rsidRDefault="00CB2985" w:rsidP="006145B1">
            <w:pPr>
              <w:rPr>
                <w:szCs w:val="21"/>
              </w:rPr>
            </w:pPr>
            <w:r>
              <w:rPr>
                <w:rFonts w:hint="eastAsia"/>
                <w:szCs w:val="21"/>
              </w:rPr>
              <w:t>基金合同生效日</w:t>
            </w:r>
          </w:p>
        </w:tc>
        <w:tc>
          <w:tcPr>
            <w:tcW w:w="4261" w:type="dxa"/>
          </w:tcPr>
          <w:p w:rsidR="00CB2985" w:rsidRDefault="00CB2985" w:rsidP="006145B1">
            <w:pPr>
              <w:rPr>
                <w:szCs w:val="21"/>
              </w:rPr>
            </w:pPr>
            <w:r>
              <w:rPr>
                <w:rFonts w:ascii="宋体" w:hAnsi="宋体"/>
                <w:kern w:val="0"/>
                <w:szCs w:val="24"/>
              </w:rPr>
              <w:t>2015年6月29日</w:t>
            </w:r>
          </w:p>
        </w:tc>
      </w:tr>
      <w:tr w:rsidR="00CB2985" w:rsidTr="006145B1">
        <w:tc>
          <w:tcPr>
            <w:tcW w:w="4261" w:type="dxa"/>
          </w:tcPr>
          <w:p w:rsidR="00CB2985" w:rsidRDefault="00CB2985" w:rsidP="006145B1">
            <w:pPr>
              <w:rPr>
                <w:szCs w:val="21"/>
              </w:rPr>
            </w:pPr>
            <w:r>
              <w:rPr>
                <w:rFonts w:hint="eastAsia"/>
                <w:szCs w:val="21"/>
              </w:rPr>
              <w:t>基金管理人名称</w:t>
            </w:r>
          </w:p>
        </w:tc>
        <w:tc>
          <w:tcPr>
            <w:tcW w:w="4261" w:type="dxa"/>
          </w:tcPr>
          <w:p w:rsidR="00CB2985" w:rsidRDefault="00CB2985" w:rsidP="00A833EB">
            <w:pPr>
              <w:jc w:val="left"/>
              <w:rPr>
                <w:rFonts w:ascii="宋体" w:hAnsi="宋体"/>
                <w:kern w:val="0"/>
                <w:szCs w:val="24"/>
              </w:rPr>
            </w:pPr>
            <w:bookmarkStart w:id="0" w:name="OLE_LINK3"/>
            <w:bookmarkStart w:id="1" w:name="OLE_LINK4"/>
            <w:r>
              <w:rPr>
                <w:rFonts w:ascii="宋体" w:hAnsi="宋体" w:hint="eastAsia"/>
                <w:kern w:val="0"/>
                <w:szCs w:val="24"/>
              </w:rPr>
              <w:t>华泰柏瑞基金管理有限公司</w:t>
            </w:r>
            <w:bookmarkEnd w:id="0"/>
            <w:bookmarkEnd w:id="1"/>
          </w:p>
        </w:tc>
      </w:tr>
      <w:tr w:rsidR="00CB2985" w:rsidTr="006145B1">
        <w:tc>
          <w:tcPr>
            <w:tcW w:w="4261" w:type="dxa"/>
          </w:tcPr>
          <w:p w:rsidR="00CB2985" w:rsidRDefault="00CB2985" w:rsidP="006145B1">
            <w:pPr>
              <w:rPr>
                <w:szCs w:val="21"/>
              </w:rPr>
            </w:pPr>
            <w:r>
              <w:rPr>
                <w:rFonts w:hint="eastAsia"/>
                <w:szCs w:val="21"/>
              </w:rPr>
              <w:t>基金托管人名称</w:t>
            </w:r>
          </w:p>
        </w:tc>
        <w:tc>
          <w:tcPr>
            <w:tcW w:w="4261" w:type="dxa"/>
          </w:tcPr>
          <w:p w:rsidR="00CB2985" w:rsidRDefault="00CB2985" w:rsidP="00A833EB">
            <w:pPr>
              <w:jc w:val="left"/>
              <w:rPr>
                <w:rFonts w:ascii="宋体" w:hAnsi="宋体"/>
                <w:kern w:val="0"/>
                <w:szCs w:val="24"/>
              </w:rPr>
            </w:pPr>
            <w:r>
              <w:rPr>
                <w:rFonts w:ascii="宋体" w:hAnsi="宋体" w:hint="eastAsia"/>
                <w:kern w:val="0"/>
                <w:szCs w:val="24"/>
              </w:rPr>
              <w:t>中国建设银行股份有限公司</w:t>
            </w:r>
          </w:p>
        </w:tc>
      </w:tr>
      <w:tr w:rsidR="00CB2985" w:rsidTr="006145B1">
        <w:tc>
          <w:tcPr>
            <w:tcW w:w="4261" w:type="dxa"/>
          </w:tcPr>
          <w:p w:rsidR="00CB2985" w:rsidRDefault="00CB2985" w:rsidP="006145B1">
            <w:pPr>
              <w:rPr>
                <w:szCs w:val="21"/>
              </w:rPr>
            </w:pPr>
            <w:r>
              <w:rPr>
                <w:rFonts w:hint="eastAsia"/>
                <w:szCs w:val="21"/>
              </w:rPr>
              <w:t>基金注册登记机构名称</w:t>
            </w:r>
          </w:p>
        </w:tc>
        <w:tc>
          <w:tcPr>
            <w:tcW w:w="4261" w:type="dxa"/>
          </w:tcPr>
          <w:p w:rsidR="00CB2985" w:rsidRDefault="00CB2985" w:rsidP="006145B1">
            <w:pPr>
              <w:rPr>
                <w:szCs w:val="21"/>
              </w:rPr>
            </w:pPr>
            <w:r>
              <w:rPr>
                <w:rFonts w:ascii="宋体" w:hAnsi="宋体" w:hint="eastAsia"/>
                <w:kern w:val="0"/>
                <w:szCs w:val="24"/>
              </w:rPr>
              <w:t>华泰柏瑞基金管理有限公司</w:t>
            </w:r>
          </w:p>
        </w:tc>
      </w:tr>
      <w:tr w:rsidR="00CB2985" w:rsidTr="006145B1">
        <w:tc>
          <w:tcPr>
            <w:tcW w:w="4261" w:type="dxa"/>
          </w:tcPr>
          <w:p w:rsidR="00CB2985" w:rsidRDefault="00CB2985" w:rsidP="006145B1">
            <w:pPr>
              <w:rPr>
                <w:szCs w:val="21"/>
              </w:rPr>
            </w:pPr>
            <w:r>
              <w:rPr>
                <w:rFonts w:hint="eastAsia"/>
                <w:szCs w:val="21"/>
              </w:rPr>
              <w:t>公告依据</w:t>
            </w:r>
          </w:p>
        </w:tc>
        <w:tc>
          <w:tcPr>
            <w:tcW w:w="4261" w:type="dxa"/>
          </w:tcPr>
          <w:p w:rsidR="00CB2985" w:rsidRDefault="003E623E" w:rsidP="00CB2985">
            <w:pPr>
              <w:rPr>
                <w:szCs w:val="21"/>
              </w:rPr>
            </w:pPr>
            <w:r>
              <w:rPr>
                <w:rFonts w:hint="eastAsia"/>
                <w:szCs w:val="21"/>
              </w:rPr>
              <w:t>《中华人民共和国证券投资基金法》及配套法规、</w:t>
            </w:r>
            <w:r w:rsidR="00CB2985" w:rsidRPr="00CB2985">
              <w:rPr>
                <w:rFonts w:hint="eastAsia"/>
                <w:szCs w:val="21"/>
              </w:rPr>
              <w:t>《华泰柏瑞量化绝对收益策略定期开放混合型发起式证券投资基金基金合同》、《华泰柏瑞量化绝对收益策略定期开放混合型发起式证券投资基金招募说明书》以及《华泰柏瑞量化绝对收益策略定期开放混合型发起式证券投资基金更新招募说明书》</w:t>
            </w:r>
          </w:p>
        </w:tc>
      </w:tr>
    </w:tbl>
    <w:p w:rsidR="006145B1" w:rsidRPr="006145B1" w:rsidRDefault="006145B1" w:rsidP="006145B1">
      <w:pPr>
        <w:pStyle w:val="a3"/>
        <w:numPr>
          <w:ilvl w:val="0"/>
          <w:numId w:val="1"/>
        </w:numPr>
        <w:ind w:firstLineChars="0"/>
        <w:rPr>
          <w:rFonts w:ascii="宋体" w:hAnsi="宋体"/>
          <w:b/>
          <w:bCs/>
          <w:szCs w:val="21"/>
        </w:rPr>
      </w:pPr>
      <w:r w:rsidRPr="006145B1">
        <w:rPr>
          <w:rFonts w:ascii="宋体" w:hAnsi="宋体" w:hint="eastAsia"/>
          <w:b/>
          <w:bCs/>
          <w:szCs w:val="21"/>
        </w:rPr>
        <w:t>对冲策略执行情况说明</w:t>
      </w:r>
    </w:p>
    <w:tbl>
      <w:tblPr>
        <w:tblStyle w:val="a4"/>
        <w:tblW w:w="0" w:type="auto"/>
        <w:tblLook w:val="04A0"/>
      </w:tblPr>
      <w:tblGrid>
        <w:gridCol w:w="4261"/>
        <w:gridCol w:w="4261"/>
      </w:tblGrid>
      <w:tr w:rsidR="00971F35" w:rsidTr="00971F35">
        <w:tc>
          <w:tcPr>
            <w:tcW w:w="4261" w:type="dxa"/>
          </w:tcPr>
          <w:p w:rsidR="00971F35" w:rsidRDefault="00971F35" w:rsidP="006145B1">
            <w:pPr>
              <w:rPr>
                <w:szCs w:val="21"/>
              </w:rPr>
            </w:pPr>
            <w:r>
              <w:rPr>
                <w:rFonts w:hint="eastAsia"/>
                <w:szCs w:val="21"/>
              </w:rPr>
              <w:t>投资策略</w:t>
            </w:r>
          </w:p>
        </w:tc>
        <w:tc>
          <w:tcPr>
            <w:tcW w:w="4261" w:type="dxa"/>
          </w:tcPr>
          <w:p w:rsidR="00971F35" w:rsidRDefault="004D7E95" w:rsidP="006145B1">
            <w:pPr>
              <w:rPr>
                <w:szCs w:val="21"/>
              </w:rPr>
            </w:pPr>
            <w:r>
              <w:rPr>
                <w:rFonts w:ascii="宋体" w:hAnsi="宋体" w:hint="eastAsia"/>
                <w:kern w:val="0"/>
                <w:szCs w:val="24"/>
              </w:rPr>
              <w:t>在力求有效控制投资风险的前提下，通过全市场选股构建预期收益高于市场回报的投资组合，同时利用股指期货等多种策略对冲投资组合的市场风险，以求获得不依赖市场整体走向的比较稳定的长期资产增值。</w:t>
            </w:r>
          </w:p>
        </w:tc>
      </w:tr>
      <w:tr w:rsidR="00971F35" w:rsidTr="00971F35">
        <w:tc>
          <w:tcPr>
            <w:tcW w:w="4261" w:type="dxa"/>
          </w:tcPr>
          <w:p w:rsidR="00971F35" w:rsidRPr="00382CB8" w:rsidRDefault="00971F35" w:rsidP="006145B1">
            <w:pPr>
              <w:rPr>
                <w:szCs w:val="21"/>
              </w:rPr>
            </w:pPr>
            <w:r w:rsidRPr="00382CB8">
              <w:rPr>
                <w:rFonts w:hint="eastAsia"/>
                <w:szCs w:val="21"/>
              </w:rPr>
              <w:t>对冲策略的限制</w:t>
            </w:r>
          </w:p>
        </w:tc>
        <w:tc>
          <w:tcPr>
            <w:tcW w:w="4261" w:type="dxa"/>
          </w:tcPr>
          <w:p w:rsidR="00971F35" w:rsidRDefault="000C598E" w:rsidP="006145B1">
            <w:pPr>
              <w:rPr>
                <w:szCs w:val="21"/>
              </w:rPr>
            </w:pPr>
            <w:r>
              <w:rPr>
                <w:rFonts w:hint="eastAsia"/>
                <w:szCs w:val="21"/>
              </w:rPr>
              <w:t>本基金</w:t>
            </w:r>
            <w:r w:rsidR="00317DA8">
              <w:rPr>
                <w:rFonts w:hint="eastAsia"/>
                <w:szCs w:val="21"/>
              </w:rPr>
              <w:t>权益类空头头寸</w:t>
            </w:r>
            <w:r w:rsidR="00A63500">
              <w:rPr>
                <w:rFonts w:hint="eastAsia"/>
                <w:szCs w:val="21"/>
              </w:rPr>
              <w:t>的价值占本基金权益类多头头寸的价值的比例范围</w:t>
            </w:r>
            <w:r w:rsidR="00BD6F3D">
              <w:rPr>
                <w:rFonts w:hint="eastAsia"/>
                <w:szCs w:val="21"/>
              </w:rPr>
              <w:t>为</w:t>
            </w:r>
            <w:r w:rsidR="00A63500">
              <w:rPr>
                <w:rFonts w:hint="eastAsia"/>
                <w:szCs w:val="21"/>
              </w:rPr>
              <w:t>80%-120%</w:t>
            </w:r>
            <w:r w:rsidR="00A63500">
              <w:rPr>
                <w:rFonts w:hint="eastAsia"/>
                <w:szCs w:val="21"/>
              </w:rPr>
              <w:t>。</w:t>
            </w:r>
          </w:p>
        </w:tc>
      </w:tr>
      <w:tr w:rsidR="00971F35" w:rsidTr="00971F35">
        <w:tc>
          <w:tcPr>
            <w:tcW w:w="4261" w:type="dxa"/>
          </w:tcPr>
          <w:p w:rsidR="00971F35" w:rsidRPr="00382CB8" w:rsidRDefault="00971F35" w:rsidP="006145B1">
            <w:pPr>
              <w:rPr>
                <w:szCs w:val="21"/>
              </w:rPr>
            </w:pPr>
            <w:r w:rsidRPr="00382CB8">
              <w:rPr>
                <w:rFonts w:hint="eastAsia"/>
                <w:szCs w:val="21"/>
              </w:rPr>
              <w:t>对冲策略的执行情况</w:t>
            </w:r>
          </w:p>
        </w:tc>
        <w:tc>
          <w:tcPr>
            <w:tcW w:w="4261" w:type="dxa"/>
          </w:tcPr>
          <w:p w:rsidR="00971F35" w:rsidRDefault="00C15A47" w:rsidP="006145B1">
            <w:pPr>
              <w:rPr>
                <w:szCs w:val="21"/>
              </w:rPr>
            </w:pPr>
            <w:r>
              <w:rPr>
                <w:rFonts w:hint="eastAsia"/>
                <w:szCs w:val="21"/>
              </w:rPr>
              <w:t>本基金管理人严格遵照合同约定，运用量化多因子选股模型构建股票现货组合，并在此基础上采用套保账户卖出相应股指期货合约对冲系统性风险，对冲比例在基金运作期间均符合相关要求，未发生基金投资策略与对冲策略发生偏离的情形。</w:t>
            </w:r>
          </w:p>
        </w:tc>
      </w:tr>
      <w:tr w:rsidR="00971F35" w:rsidTr="00971F35">
        <w:tc>
          <w:tcPr>
            <w:tcW w:w="4261" w:type="dxa"/>
          </w:tcPr>
          <w:p w:rsidR="00971F35" w:rsidRPr="00971F35" w:rsidRDefault="00971F35" w:rsidP="00971F35">
            <w:pPr>
              <w:pStyle w:val="Default"/>
              <w:jc w:val="both"/>
              <w:rPr>
                <w:sz w:val="23"/>
                <w:szCs w:val="23"/>
              </w:rPr>
            </w:pPr>
            <w:r>
              <w:rPr>
                <w:rFonts w:hint="eastAsia"/>
                <w:sz w:val="23"/>
                <w:szCs w:val="23"/>
              </w:rPr>
              <w:t>股票资产的规模（单位：元）</w:t>
            </w:r>
            <w:r>
              <w:rPr>
                <w:sz w:val="23"/>
                <w:szCs w:val="23"/>
              </w:rPr>
              <w:t xml:space="preserve"> </w:t>
            </w:r>
          </w:p>
        </w:tc>
        <w:tc>
          <w:tcPr>
            <w:tcW w:w="4261" w:type="dxa"/>
          </w:tcPr>
          <w:p w:rsidR="00971F35" w:rsidRDefault="00BA2B38" w:rsidP="006145B1">
            <w:pPr>
              <w:rPr>
                <w:szCs w:val="21"/>
              </w:rPr>
            </w:pPr>
            <w:r>
              <w:rPr>
                <w:rFonts w:hint="eastAsia"/>
                <w:szCs w:val="21"/>
              </w:rPr>
              <w:t>674,304,984.33</w:t>
            </w:r>
          </w:p>
        </w:tc>
      </w:tr>
      <w:tr w:rsidR="00971F35" w:rsidTr="00971F35">
        <w:tc>
          <w:tcPr>
            <w:tcW w:w="4261" w:type="dxa"/>
          </w:tcPr>
          <w:p w:rsidR="00971F35" w:rsidRPr="00971F35" w:rsidRDefault="00971F35" w:rsidP="00971F35">
            <w:pPr>
              <w:pStyle w:val="Default"/>
              <w:jc w:val="both"/>
              <w:rPr>
                <w:sz w:val="23"/>
                <w:szCs w:val="23"/>
              </w:rPr>
            </w:pPr>
            <w:r>
              <w:rPr>
                <w:rFonts w:hint="eastAsia"/>
                <w:sz w:val="23"/>
                <w:szCs w:val="23"/>
              </w:rPr>
              <w:t>股票资产占基金资产净值的比例</w:t>
            </w:r>
            <w:r>
              <w:rPr>
                <w:sz w:val="23"/>
                <w:szCs w:val="23"/>
              </w:rPr>
              <w:t xml:space="preserve"> </w:t>
            </w:r>
          </w:p>
        </w:tc>
        <w:tc>
          <w:tcPr>
            <w:tcW w:w="4261" w:type="dxa"/>
          </w:tcPr>
          <w:p w:rsidR="00971F35" w:rsidRDefault="00BA2B38" w:rsidP="000D14F6">
            <w:pPr>
              <w:rPr>
                <w:szCs w:val="21"/>
              </w:rPr>
            </w:pPr>
            <w:r>
              <w:rPr>
                <w:rFonts w:hint="eastAsia"/>
                <w:szCs w:val="21"/>
              </w:rPr>
              <w:t>63.65%</w:t>
            </w:r>
          </w:p>
        </w:tc>
      </w:tr>
      <w:tr w:rsidR="00971F35" w:rsidTr="00971F35">
        <w:tc>
          <w:tcPr>
            <w:tcW w:w="4261" w:type="dxa"/>
          </w:tcPr>
          <w:p w:rsidR="00971F35" w:rsidRPr="00971F35" w:rsidRDefault="00971F35" w:rsidP="00971F35">
            <w:pPr>
              <w:pStyle w:val="Default"/>
              <w:jc w:val="both"/>
              <w:rPr>
                <w:sz w:val="23"/>
                <w:szCs w:val="23"/>
              </w:rPr>
            </w:pPr>
            <w:r>
              <w:rPr>
                <w:rFonts w:hint="eastAsia"/>
                <w:sz w:val="23"/>
                <w:szCs w:val="23"/>
              </w:rPr>
              <w:t>运用股指期货进行对冲的空头合约市值（单位：元）</w:t>
            </w:r>
          </w:p>
        </w:tc>
        <w:tc>
          <w:tcPr>
            <w:tcW w:w="4261" w:type="dxa"/>
          </w:tcPr>
          <w:p w:rsidR="00971F35" w:rsidRDefault="00BA2B38" w:rsidP="003A1CFD">
            <w:pPr>
              <w:rPr>
                <w:szCs w:val="21"/>
              </w:rPr>
            </w:pPr>
            <w:r>
              <w:rPr>
                <w:rFonts w:hint="eastAsia"/>
                <w:szCs w:val="21"/>
              </w:rPr>
              <w:t>655,270,560.00</w:t>
            </w:r>
          </w:p>
        </w:tc>
      </w:tr>
      <w:tr w:rsidR="00971F35" w:rsidTr="00971F35">
        <w:tc>
          <w:tcPr>
            <w:tcW w:w="4261" w:type="dxa"/>
          </w:tcPr>
          <w:p w:rsidR="00971F35" w:rsidRPr="00971F35" w:rsidRDefault="00971F35" w:rsidP="00971F35">
            <w:pPr>
              <w:pStyle w:val="Default"/>
              <w:jc w:val="both"/>
              <w:rPr>
                <w:sz w:val="23"/>
                <w:szCs w:val="23"/>
              </w:rPr>
            </w:pPr>
            <w:r>
              <w:rPr>
                <w:rFonts w:hint="eastAsia"/>
                <w:sz w:val="23"/>
                <w:szCs w:val="23"/>
              </w:rPr>
              <w:t>股指期货占基金资产净值的比例</w:t>
            </w:r>
            <w:r>
              <w:rPr>
                <w:sz w:val="23"/>
                <w:szCs w:val="23"/>
              </w:rPr>
              <w:t xml:space="preserve"> </w:t>
            </w:r>
          </w:p>
        </w:tc>
        <w:tc>
          <w:tcPr>
            <w:tcW w:w="4261" w:type="dxa"/>
          </w:tcPr>
          <w:p w:rsidR="00971F35" w:rsidRDefault="00BA2B38" w:rsidP="006145B1">
            <w:pPr>
              <w:rPr>
                <w:szCs w:val="21"/>
              </w:rPr>
            </w:pPr>
            <w:r>
              <w:rPr>
                <w:rFonts w:hint="eastAsia"/>
                <w:szCs w:val="21"/>
              </w:rPr>
              <w:t>61.86%</w:t>
            </w:r>
          </w:p>
        </w:tc>
      </w:tr>
    </w:tbl>
    <w:p w:rsidR="006145B1" w:rsidRDefault="00FD08D7" w:rsidP="00FD08D7">
      <w:pPr>
        <w:pStyle w:val="a3"/>
        <w:numPr>
          <w:ilvl w:val="0"/>
          <w:numId w:val="1"/>
        </w:numPr>
        <w:ind w:firstLineChars="0"/>
        <w:rPr>
          <w:rFonts w:ascii="宋体" w:hAnsi="宋体"/>
          <w:b/>
          <w:bCs/>
          <w:szCs w:val="21"/>
        </w:rPr>
      </w:pPr>
      <w:r w:rsidRPr="00FD08D7">
        <w:rPr>
          <w:rFonts w:ascii="宋体" w:hAnsi="宋体" w:hint="eastAsia"/>
          <w:b/>
          <w:bCs/>
          <w:szCs w:val="21"/>
        </w:rPr>
        <w:t>其它需要提示的事项</w:t>
      </w:r>
    </w:p>
    <w:p w:rsidR="00FD08D7" w:rsidRDefault="00FD08D7" w:rsidP="00FD08D7">
      <w:pPr>
        <w:pStyle w:val="Default"/>
        <w:ind w:firstLineChars="200" w:firstLine="460"/>
        <w:rPr>
          <w:rFonts w:hAnsi="Times New Roman"/>
          <w:sz w:val="23"/>
          <w:szCs w:val="23"/>
        </w:rPr>
      </w:pPr>
      <w:r>
        <w:rPr>
          <w:rFonts w:hint="eastAsia"/>
          <w:sz w:val="23"/>
          <w:szCs w:val="23"/>
        </w:rPr>
        <w:t>本公告仅对本基金对冲策略执行情况予以说明。投资人欲了解本基金的详细情况，请登录本公司网站（</w:t>
      </w:r>
      <w:r w:rsidRPr="00FD08D7">
        <w:rPr>
          <w:rFonts w:ascii="Times New Roman" w:hAnsi="Times New Roman" w:cs="Times New Roman"/>
          <w:sz w:val="23"/>
          <w:szCs w:val="23"/>
        </w:rPr>
        <w:t>www.huatai-pb.com</w:t>
      </w:r>
      <w:r>
        <w:rPr>
          <w:rFonts w:hAnsi="Times New Roman" w:hint="eastAsia"/>
          <w:sz w:val="23"/>
          <w:szCs w:val="23"/>
        </w:rPr>
        <w:t>）或拨打本公司客服电话</w:t>
      </w:r>
      <w:r>
        <w:rPr>
          <w:rFonts w:ascii="Times New Roman" w:hAnsi="Times New Roman" w:cs="Times New Roman" w:hint="eastAsia"/>
          <w:sz w:val="23"/>
          <w:szCs w:val="23"/>
        </w:rPr>
        <w:t>400-888-0001</w:t>
      </w:r>
      <w:r>
        <w:rPr>
          <w:rFonts w:hAnsi="Times New Roman" w:hint="eastAsia"/>
          <w:sz w:val="23"/>
          <w:szCs w:val="23"/>
        </w:rPr>
        <w:t>。</w:t>
      </w:r>
      <w:r>
        <w:rPr>
          <w:rFonts w:hAnsi="Times New Roman"/>
          <w:sz w:val="23"/>
          <w:szCs w:val="23"/>
        </w:rPr>
        <w:t xml:space="preserve"> </w:t>
      </w:r>
    </w:p>
    <w:p w:rsidR="00FD08D7" w:rsidRDefault="00FD08D7" w:rsidP="00FD08D7">
      <w:pPr>
        <w:ind w:firstLineChars="200" w:firstLine="460"/>
        <w:rPr>
          <w:rFonts w:ascii="宋体" w:eastAsia="宋体" w:cs="宋体"/>
          <w:color w:val="000000"/>
          <w:kern w:val="0"/>
          <w:sz w:val="23"/>
          <w:szCs w:val="23"/>
        </w:rPr>
      </w:pPr>
      <w:r w:rsidRPr="00FD08D7">
        <w:rPr>
          <w:rFonts w:ascii="宋体" w:eastAsia="宋体" w:cs="宋体" w:hint="eastAsia"/>
          <w:color w:val="000000"/>
          <w:kern w:val="0"/>
          <w:sz w:val="23"/>
          <w:szCs w:val="23"/>
        </w:rPr>
        <w:t>风险提示：本公司承诺以诚实信用、勤勉尽责的原则管理和运用基金资产，但不保证基金一定盈利，也不保证最低收益。基金的过往业绩及其净值高低并不预示其未来业绩表现。公司在此提醒广大投资者，投资者应了解基金投资的</w:t>
      </w:r>
      <w:r>
        <w:rPr>
          <w:rFonts w:ascii="宋体" w:eastAsia="宋体" w:cs="宋体" w:hint="eastAsia"/>
          <w:color w:val="000000"/>
          <w:kern w:val="0"/>
          <w:sz w:val="23"/>
          <w:szCs w:val="23"/>
        </w:rPr>
        <w:t>“</w:t>
      </w:r>
      <w:r w:rsidRPr="00FD08D7">
        <w:rPr>
          <w:rFonts w:ascii="宋体" w:eastAsia="宋体" w:cs="宋体" w:hint="eastAsia"/>
          <w:color w:val="000000"/>
          <w:kern w:val="0"/>
          <w:sz w:val="23"/>
          <w:szCs w:val="23"/>
        </w:rPr>
        <w:t>买者自负</w:t>
      </w:r>
      <w:r>
        <w:rPr>
          <w:rFonts w:ascii="宋体" w:eastAsia="宋体" w:cs="宋体" w:hint="eastAsia"/>
          <w:color w:val="000000"/>
          <w:kern w:val="0"/>
          <w:sz w:val="23"/>
          <w:szCs w:val="23"/>
        </w:rPr>
        <w:t>”</w:t>
      </w:r>
      <w:r>
        <w:rPr>
          <w:rFonts w:ascii="宋体" w:eastAsia="宋体" w:cs="宋体" w:hint="eastAsia"/>
          <w:color w:val="000000"/>
          <w:kern w:val="0"/>
          <w:sz w:val="23"/>
          <w:szCs w:val="23"/>
        </w:rPr>
        <w:lastRenderedPageBreak/>
        <w:t>原则，</w:t>
      </w:r>
      <w:r w:rsidRPr="00FD08D7">
        <w:rPr>
          <w:rFonts w:ascii="宋体" w:eastAsia="宋体" w:cs="宋体" w:hint="eastAsia"/>
          <w:color w:val="000000"/>
          <w:kern w:val="0"/>
          <w:sz w:val="23"/>
          <w:szCs w:val="23"/>
        </w:rPr>
        <w:t>在做出投资决策后，基金运营状况与基金净值变化引致的投资风险，投资者需自行负担。</w:t>
      </w:r>
    </w:p>
    <w:p w:rsidR="00382CB8" w:rsidRDefault="00382CB8" w:rsidP="00FD08D7">
      <w:pPr>
        <w:ind w:firstLineChars="200" w:firstLine="460"/>
        <w:rPr>
          <w:rFonts w:ascii="宋体" w:eastAsia="宋体" w:cs="宋体"/>
          <w:color w:val="000000"/>
          <w:kern w:val="0"/>
          <w:sz w:val="23"/>
          <w:szCs w:val="23"/>
        </w:rPr>
      </w:pPr>
    </w:p>
    <w:p w:rsidR="00382CB8" w:rsidRDefault="00382CB8" w:rsidP="00FD08D7">
      <w:pPr>
        <w:ind w:firstLineChars="200" w:firstLine="460"/>
        <w:rPr>
          <w:rFonts w:ascii="宋体" w:eastAsia="宋体" w:cs="宋体"/>
          <w:color w:val="000000"/>
          <w:kern w:val="0"/>
          <w:sz w:val="23"/>
          <w:szCs w:val="23"/>
        </w:rPr>
      </w:pPr>
    </w:p>
    <w:p w:rsidR="00382CB8" w:rsidRDefault="00382CB8" w:rsidP="00584ACC">
      <w:pPr>
        <w:ind w:firstLineChars="200" w:firstLine="460"/>
        <w:rPr>
          <w:rFonts w:ascii="宋体" w:eastAsia="宋体" w:cs="宋体"/>
          <w:color w:val="000000"/>
          <w:kern w:val="0"/>
          <w:sz w:val="23"/>
          <w:szCs w:val="23"/>
        </w:rPr>
      </w:pPr>
      <w:r>
        <w:rPr>
          <w:rFonts w:ascii="宋体" w:eastAsia="宋体" w:cs="宋体" w:hint="eastAsia"/>
          <w:color w:val="000000"/>
          <w:kern w:val="0"/>
          <w:sz w:val="23"/>
          <w:szCs w:val="23"/>
        </w:rPr>
        <w:t xml:space="preserve">                                          华泰柏瑞基金管理有限公司</w:t>
      </w:r>
    </w:p>
    <w:p w:rsidR="00382CB8" w:rsidRPr="00FD08D7" w:rsidRDefault="00382CB8" w:rsidP="00FD08D7">
      <w:pPr>
        <w:ind w:firstLineChars="200" w:firstLine="460"/>
        <w:rPr>
          <w:rFonts w:ascii="宋体" w:eastAsia="宋体" w:cs="宋体"/>
          <w:color w:val="000000"/>
          <w:kern w:val="0"/>
          <w:sz w:val="23"/>
          <w:szCs w:val="23"/>
        </w:rPr>
      </w:pPr>
      <w:r>
        <w:rPr>
          <w:rFonts w:ascii="宋体" w:eastAsia="宋体" w:cs="宋体" w:hint="eastAsia"/>
          <w:color w:val="000000"/>
          <w:kern w:val="0"/>
          <w:sz w:val="23"/>
          <w:szCs w:val="23"/>
        </w:rPr>
        <w:t xml:space="preserve">                                          </w:t>
      </w:r>
      <w:r w:rsidR="00C54B05">
        <w:rPr>
          <w:rFonts w:ascii="宋体" w:eastAsia="宋体" w:cs="宋体" w:hint="eastAsia"/>
          <w:color w:val="000000"/>
          <w:kern w:val="0"/>
          <w:sz w:val="23"/>
          <w:szCs w:val="23"/>
        </w:rPr>
        <w:t xml:space="preserve">    </w:t>
      </w:r>
      <w:r w:rsidR="00BA2B38">
        <w:rPr>
          <w:rFonts w:ascii="宋体" w:eastAsia="宋体" w:cs="宋体" w:hint="eastAsia"/>
          <w:color w:val="000000"/>
          <w:kern w:val="0"/>
          <w:sz w:val="23"/>
          <w:szCs w:val="23"/>
        </w:rPr>
        <w:t>2020</w:t>
      </w:r>
      <w:r>
        <w:rPr>
          <w:rFonts w:ascii="宋体" w:eastAsia="宋体" w:cs="宋体" w:hint="eastAsia"/>
          <w:color w:val="000000"/>
          <w:kern w:val="0"/>
          <w:sz w:val="23"/>
          <w:szCs w:val="23"/>
        </w:rPr>
        <w:t>年</w:t>
      </w:r>
      <w:r w:rsidR="00BA2B38">
        <w:rPr>
          <w:rFonts w:ascii="宋体" w:eastAsia="宋体" w:cs="宋体" w:hint="eastAsia"/>
          <w:color w:val="000000"/>
          <w:kern w:val="0"/>
          <w:sz w:val="23"/>
          <w:szCs w:val="23"/>
        </w:rPr>
        <w:t>6</w:t>
      </w:r>
      <w:r>
        <w:rPr>
          <w:rFonts w:ascii="宋体" w:eastAsia="宋体" w:cs="宋体" w:hint="eastAsia"/>
          <w:color w:val="000000"/>
          <w:kern w:val="0"/>
          <w:sz w:val="23"/>
          <w:szCs w:val="23"/>
        </w:rPr>
        <w:t>月</w:t>
      </w:r>
      <w:r w:rsidR="00BA2B38">
        <w:rPr>
          <w:rFonts w:ascii="宋体" w:eastAsia="宋体" w:cs="宋体" w:hint="eastAsia"/>
          <w:color w:val="000000"/>
          <w:kern w:val="0"/>
          <w:sz w:val="23"/>
          <w:szCs w:val="23"/>
        </w:rPr>
        <w:t>10</w:t>
      </w:r>
      <w:r>
        <w:rPr>
          <w:rFonts w:ascii="宋体" w:eastAsia="宋体" w:cs="宋体" w:hint="eastAsia"/>
          <w:color w:val="000000"/>
          <w:kern w:val="0"/>
          <w:sz w:val="23"/>
          <w:szCs w:val="23"/>
        </w:rPr>
        <w:t>日</w:t>
      </w:r>
    </w:p>
    <w:sectPr w:rsidR="00382CB8" w:rsidRPr="00FD08D7" w:rsidSect="00D13C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6B7" w:rsidRDefault="00C836B7" w:rsidP="00317DA8">
      <w:r>
        <w:separator/>
      </w:r>
    </w:p>
  </w:endnote>
  <w:endnote w:type="continuationSeparator" w:id="0">
    <w:p w:rsidR="00C836B7" w:rsidRDefault="00C836B7" w:rsidP="00317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6B7" w:rsidRDefault="00C836B7" w:rsidP="00317DA8">
      <w:r>
        <w:separator/>
      </w:r>
    </w:p>
  </w:footnote>
  <w:footnote w:type="continuationSeparator" w:id="0">
    <w:p w:rsidR="00C836B7" w:rsidRDefault="00C836B7" w:rsidP="00317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91C71"/>
    <w:multiLevelType w:val="hybridMultilevel"/>
    <w:tmpl w:val="4FE0BD2A"/>
    <w:lvl w:ilvl="0" w:tplc="FDDCA9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5B1"/>
    <w:rsid w:val="00060C61"/>
    <w:rsid w:val="00086C3F"/>
    <w:rsid w:val="000C598E"/>
    <w:rsid w:val="000D14F6"/>
    <w:rsid w:val="000D256C"/>
    <w:rsid w:val="0010505E"/>
    <w:rsid w:val="001245C7"/>
    <w:rsid w:val="0012569F"/>
    <w:rsid w:val="00184965"/>
    <w:rsid w:val="00217605"/>
    <w:rsid w:val="0022273C"/>
    <w:rsid w:val="0023522E"/>
    <w:rsid w:val="00265BD6"/>
    <w:rsid w:val="00272A84"/>
    <w:rsid w:val="00283014"/>
    <w:rsid w:val="002A2DB6"/>
    <w:rsid w:val="00317DA8"/>
    <w:rsid w:val="00361A23"/>
    <w:rsid w:val="003723E0"/>
    <w:rsid w:val="00382CB8"/>
    <w:rsid w:val="003A1CFD"/>
    <w:rsid w:val="003E623E"/>
    <w:rsid w:val="00497B36"/>
    <w:rsid w:val="004B22D1"/>
    <w:rsid w:val="004D7E95"/>
    <w:rsid w:val="0050085C"/>
    <w:rsid w:val="00502426"/>
    <w:rsid w:val="00577132"/>
    <w:rsid w:val="00577AC3"/>
    <w:rsid w:val="00584ACC"/>
    <w:rsid w:val="005B7E6C"/>
    <w:rsid w:val="0060049F"/>
    <w:rsid w:val="006145B1"/>
    <w:rsid w:val="006479AE"/>
    <w:rsid w:val="00691B6B"/>
    <w:rsid w:val="006B3702"/>
    <w:rsid w:val="006C740A"/>
    <w:rsid w:val="006D08C1"/>
    <w:rsid w:val="00712BFE"/>
    <w:rsid w:val="00722F00"/>
    <w:rsid w:val="00786CE2"/>
    <w:rsid w:val="00790690"/>
    <w:rsid w:val="008B26D1"/>
    <w:rsid w:val="008C3236"/>
    <w:rsid w:val="008D79DD"/>
    <w:rsid w:val="00971F35"/>
    <w:rsid w:val="009F0843"/>
    <w:rsid w:val="00A24FC8"/>
    <w:rsid w:val="00A343F3"/>
    <w:rsid w:val="00A431BB"/>
    <w:rsid w:val="00A5368B"/>
    <w:rsid w:val="00A63500"/>
    <w:rsid w:val="00A66878"/>
    <w:rsid w:val="00A7163F"/>
    <w:rsid w:val="00A7420C"/>
    <w:rsid w:val="00AA701F"/>
    <w:rsid w:val="00B00793"/>
    <w:rsid w:val="00B20057"/>
    <w:rsid w:val="00B334F6"/>
    <w:rsid w:val="00B341DB"/>
    <w:rsid w:val="00B75BB9"/>
    <w:rsid w:val="00B87D1E"/>
    <w:rsid w:val="00BA2B38"/>
    <w:rsid w:val="00BD6F3D"/>
    <w:rsid w:val="00C00752"/>
    <w:rsid w:val="00C15A47"/>
    <w:rsid w:val="00C167D3"/>
    <w:rsid w:val="00C54B05"/>
    <w:rsid w:val="00C809CB"/>
    <w:rsid w:val="00C836B7"/>
    <w:rsid w:val="00CA6F62"/>
    <w:rsid w:val="00CB2985"/>
    <w:rsid w:val="00CC1C60"/>
    <w:rsid w:val="00CC5B68"/>
    <w:rsid w:val="00CF5FDA"/>
    <w:rsid w:val="00D13CED"/>
    <w:rsid w:val="00D353A8"/>
    <w:rsid w:val="00D77BDD"/>
    <w:rsid w:val="00E230D5"/>
    <w:rsid w:val="00E4426B"/>
    <w:rsid w:val="00E572A0"/>
    <w:rsid w:val="00E84119"/>
    <w:rsid w:val="00E91779"/>
    <w:rsid w:val="00F57B76"/>
    <w:rsid w:val="00F711D7"/>
    <w:rsid w:val="00F81513"/>
    <w:rsid w:val="00FA58A7"/>
    <w:rsid w:val="00FD0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5B1"/>
    <w:pPr>
      <w:ind w:firstLineChars="200" w:firstLine="420"/>
    </w:pPr>
  </w:style>
  <w:style w:type="table" w:styleId="a4">
    <w:name w:val="Table Grid"/>
    <w:basedOn w:val="a1"/>
    <w:uiPriority w:val="59"/>
    <w:rsid w:val="006145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71F35"/>
    <w:pPr>
      <w:widowControl w:val="0"/>
      <w:autoSpaceDE w:val="0"/>
      <w:autoSpaceDN w:val="0"/>
      <w:adjustRightInd w:val="0"/>
    </w:pPr>
    <w:rPr>
      <w:rFonts w:ascii="宋体" w:eastAsia="宋体" w:cs="宋体"/>
      <w:color w:val="000000"/>
      <w:kern w:val="0"/>
      <w:sz w:val="24"/>
      <w:szCs w:val="24"/>
    </w:rPr>
  </w:style>
  <w:style w:type="paragraph" w:styleId="a5">
    <w:name w:val="header"/>
    <w:basedOn w:val="a"/>
    <w:link w:val="Char"/>
    <w:uiPriority w:val="99"/>
    <w:semiHidden/>
    <w:unhideWhenUsed/>
    <w:rsid w:val="00317D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17DA8"/>
    <w:rPr>
      <w:sz w:val="18"/>
      <w:szCs w:val="18"/>
    </w:rPr>
  </w:style>
  <w:style w:type="paragraph" w:styleId="a6">
    <w:name w:val="footer"/>
    <w:basedOn w:val="a"/>
    <w:link w:val="Char0"/>
    <w:uiPriority w:val="99"/>
    <w:semiHidden/>
    <w:unhideWhenUsed/>
    <w:rsid w:val="00317DA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17DA8"/>
    <w:rPr>
      <w:sz w:val="18"/>
      <w:szCs w:val="18"/>
    </w:rPr>
  </w:style>
</w:styles>
</file>

<file path=word/webSettings.xml><?xml version="1.0" encoding="utf-8"?>
<w:webSettings xmlns:r="http://schemas.openxmlformats.org/officeDocument/2006/relationships" xmlns:w="http://schemas.openxmlformats.org/wordprocessingml/2006/main">
  <w:divs>
    <w:div w:id="20934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966</Characters>
  <Application>Microsoft Office Word</Application>
  <DocSecurity>4</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zengly</dc:creator>
  <cp:lastModifiedBy>ZHONGM</cp:lastModifiedBy>
  <cp:revision>2</cp:revision>
  <dcterms:created xsi:type="dcterms:W3CDTF">2020-06-09T15:30:00Z</dcterms:created>
  <dcterms:modified xsi:type="dcterms:W3CDTF">2020-06-09T15:30:00Z</dcterms:modified>
</cp:coreProperties>
</file>