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CF7D44">
      <w:pPr>
        <w:jc w:val="center"/>
        <w:rPr>
          <w:rFonts w:ascii="宋体" w:hAnsi="宋体" w:hint="eastAsia"/>
          <w:b/>
          <w:sz w:val="48"/>
          <w:szCs w:val="48"/>
        </w:rPr>
      </w:pPr>
      <w:bookmarkStart w:id="0" w:name="t_2_0_table"/>
      <w:bookmarkEnd w:id="0"/>
      <w:r>
        <w:rPr>
          <w:rFonts w:ascii="宋体" w:hAnsi="宋体" w:hint="eastAsia"/>
          <w:b/>
          <w:sz w:val="48"/>
          <w:szCs w:val="48"/>
        </w:rPr>
        <w:t>关</w:t>
      </w:r>
      <w:r w:rsidR="004E328C">
        <w:rPr>
          <w:rFonts w:ascii="宋体" w:hAnsi="宋体" w:hint="eastAsia"/>
          <w:b/>
          <w:sz w:val="48"/>
          <w:szCs w:val="48"/>
        </w:rPr>
        <w:t>于华泰柏瑞量化绝对收益策略定期开放混合型发起式证券投资基金第二十</w:t>
      </w:r>
      <w:r>
        <w:rPr>
          <w:rFonts w:ascii="宋体" w:hAnsi="宋体" w:hint="eastAsia"/>
          <w:b/>
          <w:sz w:val="48"/>
          <w:szCs w:val="48"/>
        </w:rPr>
        <w:t>个开放期开放申购赎回及转换业务的公告</w:t>
      </w:r>
    </w:p>
    <w:p w:rsidR="00243D8F" w:rsidRPr="004E328C"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bookmarkStart w:id="1" w:name="t_2_0_0002_a2_fm1"/>
      <w:bookmarkEnd w:id="1"/>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B03783">
        <w:rPr>
          <w:rFonts w:ascii="宋体" w:hAnsi="宋体"/>
          <w:b/>
          <w:sz w:val="28"/>
          <w:szCs w:val="28"/>
        </w:rPr>
        <w:t>20</w:t>
      </w:r>
      <w:r w:rsidR="00B03783">
        <w:rPr>
          <w:rFonts w:ascii="宋体" w:hAnsi="宋体" w:hint="eastAsia"/>
          <w:b/>
          <w:sz w:val="28"/>
          <w:szCs w:val="28"/>
        </w:rPr>
        <w:t>20</w:t>
      </w:r>
      <w:r w:rsidR="00CF7D44">
        <w:rPr>
          <w:rFonts w:ascii="宋体" w:hAnsi="宋体"/>
          <w:b/>
          <w:sz w:val="28"/>
          <w:szCs w:val="28"/>
        </w:rPr>
        <w:t>年</w:t>
      </w:r>
      <w:r w:rsidR="004E328C">
        <w:rPr>
          <w:rFonts w:ascii="宋体" w:hAnsi="宋体" w:hint="eastAsia"/>
          <w:b/>
          <w:sz w:val="28"/>
          <w:szCs w:val="28"/>
        </w:rPr>
        <w:t>6</w:t>
      </w:r>
      <w:r w:rsidR="00CF7D44">
        <w:rPr>
          <w:rFonts w:ascii="宋体" w:hAnsi="宋体"/>
          <w:b/>
          <w:sz w:val="28"/>
          <w:szCs w:val="28"/>
        </w:rPr>
        <w:t>月</w:t>
      </w:r>
      <w:r w:rsidR="004E328C">
        <w:rPr>
          <w:rFonts w:ascii="宋体" w:hAnsi="宋体" w:hint="eastAsia"/>
          <w:b/>
          <w:sz w:val="28"/>
          <w:szCs w:val="28"/>
        </w:rPr>
        <w:t>6</w:t>
      </w:r>
      <w:r w:rsidR="00CF7D44">
        <w:rPr>
          <w:rFonts w:ascii="宋体" w:hAnsi="宋体"/>
          <w:b/>
          <w:sz w:val="28"/>
          <w:szCs w:val="28"/>
        </w:rPr>
        <w:t>日</w:t>
      </w:r>
    </w:p>
    <w:p w:rsidR="00243D8F" w:rsidRPr="004E328C"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rPr>
      </w:pPr>
    </w:p>
    <w:p w:rsidR="00243D8F" w:rsidRDefault="00243D8F" w:rsidP="001906ED">
      <w:pPr>
        <w:pStyle w:val="2"/>
        <w:numPr>
          <w:ilvl w:val="0"/>
          <w:numId w:val="1"/>
        </w:numPr>
        <w:spacing w:beforeLines="50" w:afterLines="50" w:line="240" w:lineRule="auto"/>
        <w:rPr>
          <w:rFonts w:ascii="宋体" w:eastAsia="宋体" w:hAnsi="宋体" w:hint="eastAsia"/>
          <w:bCs/>
          <w:sz w:val="24"/>
          <w:szCs w:val="24"/>
        </w:rPr>
      </w:pPr>
      <w:bookmarkStart w:id="3" w:name="m01"/>
      <w:bookmarkStart w:id="4" w:name="t_2_1_table"/>
      <w:bookmarkEnd w:id="4"/>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220"/>
      </w:tblGrid>
      <w:tr w:rsidR="00243D8F" w:rsidTr="00CF7D44">
        <w:tc>
          <w:tcPr>
            <w:tcW w:w="3600" w:type="dxa"/>
          </w:tcPr>
          <w:p w:rsidR="00243D8F" w:rsidRDefault="00243D8F">
            <w:pPr>
              <w:rPr>
                <w:rFonts w:ascii="宋体" w:hAnsi="宋体" w:hint="eastAsia"/>
                <w:szCs w:val="21"/>
              </w:rPr>
            </w:pPr>
            <w:bookmarkStart w:id="5" w:name="m01_tab"/>
            <w:r>
              <w:rPr>
                <w:rFonts w:ascii="宋体" w:hAnsi="宋体" w:hint="eastAsia"/>
                <w:szCs w:val="21"/>
              </w:rPr>
              <w:t>基金名称</w:t>
            </w:r>
          </w:p>
        </w:tc>
        <w:tc>
          <w:tcPr>
            <w:tcW w:w="5220" w:type="dxa"/>
          </w:tcPr>
          <w:p w:rsidR="00243D8F" w:rsidRDefault="00CF7D44">
            <w:pPr>
              <w:rPr>
                <w:rFonts w:ascii="宋体" w:hAnsi="宋体" w:hint="eastAsia"/>
                <w:szCs w:val="21"/>
              </w:rPr>
            </w:pPr>
            <w:bookmarkStart w:id="6" w:name="t_2_1_0009_a1_fm1"/>
            <w:bookmarkEnd w:id="6"/>
            <w:r>
              <w:rPr>
                <w:rFonts w:ascii="宋体" w:hAnsi="宋体" w:hint="eastAsia"/>
                <w:szCs w:val="21"/>
              </w:rPr>
              <w:t>华泰柏瑞量化绝对收益策略定期开放混合型发起式证券投资基金</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基金简称</w:t>
            </w:r>
          </w:p>
        </w:tc>
        <w:tc>
          <w:tcPr>
            <w:tcW w:w="5220" w:type="dxa"/>
          </w:tcPr>
          <w:p w:rsidR="00243D8F" w:rsidRDefault="00CF7D44">
            <w:pPr>
              <w:rPr>
                <w:rFonts w:ascii="宋体" w:hAnsi="宋体" w:hint="eastAsia"/>
                <w:szCs w:val="21"/>
              </w:rPr>
            </w:pPr>
            <w:bookmarkStart w:id="7" w:name="t_2_1_0011_a1_fm1"/>
            <w:bookmarkEnd w:id="7"/>
            <w:r>
              <w:rPr>
                <w:rFonts w:ascii="宋体" w:hAnsi="宋体" w:hint="eastAsia"/>
                <w:szCs w:val="21"/>
              </w:rPr>
              <w:t>华泰柏瑞量化绝对收益混合</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基金主代码</w:t>
            </w:r>
          </w:p>
        </w:tc>
        <w:tc>
          <w:tcPr>
            <w:tcW w:w="5220" w:type="dxa"/>
          </w:tcPr>
          <w:p w:rsidR="00243D8F" w:rsidRDefault="00CF7D44">
            <w:pPr>
              <w:rPr>
                <w:rFonts w:ascii="宋体" w:hAnsi="宋体" w:hint="eastAsia"/>
                <w:szCs w:val="21"/>
              </w:rPr>
            </w:pPr>
            <w:bookmarkStart w:id="8" w:name="t_2_1_0012_a1_fm1"/>
            <w:bookmarkEnd w:id="8"/>
            <w:r>
              <w:rPr>
                <w:rFonts w:ascii="宋体" w:hAnsi="宋体"/>
                <w:szCs w:val="21"/>
              </w:rPr>
              <w:t>001073</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基金运作方式</w:t>
            </w:r>
          </w:p>
        </w:tc>
        <w:tc>
          <w:tcPr>
            <w:tcW w:w="5220" w:type="dxa"/>
          </w:tcPr>
          <w:p w:rsidR="00243D8F" w:rsidRDefault="007E18BB">
            <w:pPr>
              <w:rPr>
                <w:rFonts w:ascii="宋体" w:hAnsi="宋体" w:hint="eastAsia"/>
                <w:szCs w:val="21"/>
              </w:rPr>
            </w:pPr>
            <w:bookmarkStart w:id="9" w:name="t_2_1_0017_a1_fm1"/>
            <w:bookmarkEnd w:id="9"/>
            <w:r>
              <w:rPr>
                <w:rFonts w:ascii="宋体" w:hAnsi="宋体" w:hint="eastAsia"/>
                <w:szCs w:val="21"/>
              </w:rPr>
              <w:t>定期开放、契</w:t>
            </w:r>
            <w:r w:rsidR="00CF7D44">
              <w:rPr>
                <w:rFonts w:ascii="宋体" w:hAnsi="宋体" w:hint="eastAsia"/>
                <w:szCs w:val="21"/>
              </w:rPr>
              <w:t>约型开放式</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基金合同生效日</w:t>
            </w:r>
          </w:p>
        </w:tc>
        <w:tc>
          <w:tcPr>
            <w:tcW w:w="5220" w:type="dxa"/>
          </w:tcPr>
          <w:p w:rsidR="00243D8F" w:rsidRDefault="00CF7D44">
            <w:pPr>
              <w:rPr>
                <w:rFonts w:ascii="宋体" w:hAnsi="宋体" w:hint="eastAsia"/>
                <w:szCs w:val="21"/>
              </w:rPr>
            </w:pPr>
            <w:bookmarkStart w:id="10" w:name="t_2_1_0018_a1_fm1"/>
            <w:bookmarkEnd w:id="10"/>
            <w:r>
              <w:rPr>
                <w:rFonts w:ascii="宋体" w:hAnsi="宋体"/>
                <w:szCs w:val="21"/>
              </w:rPr>
              <w:t>2015年6月29日</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基金管理人名称</w:t>
            </w:r>
          </w:p>
        </w:tc>
        <w:tc>
          <w:tcPr>
            <w:tcW w:w="5220" w:type="dxa"/>
          </w:tcPr>
          <w:p w:rsidR="00243D8F" w:rsidRDefault="00CF7D44">
            <w:pPr>
              <w:rPr>
                <w:rFonts w:ascii="宋体" w:hAnsi="宋体" w:hint="eastAsia"/>
                <w:szCs w:val="21"/>
              </w:rPr>
            </w:pPr>
            <w:bookmarkStart w:id="11" w:name="t_2_1_0186_a1_fm1"/>
            <w:bookmarkEnd w:id="11"/>
            <w:r>
              <w:rPr>
                <w:rFonts w:ascii="宋体" w:hAnsi="宋体" w:hint="eastAsia"/>
                <w:szCs w:val="21"/>
              </w:rPr>
              <w:t>华泰柏瑞基金管理有限公司</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基金托管人名称</w:t>
            </w:r>
          </w:p>
        </w:tc>
        <w:tc>
          <w:tcPr>
            <w:tcW w:w="5220" w:type="dxa"/>
          </w:tcPr>
          <w:p w:rsidR="00243D8F" w:rsidRDefault="00CF7D44">
            <w:pPr>
              <w:rPr>
                <w:rFonts w:ascii="宋体" w:hAnsi="宋体" w:hint="eastAsia"/>
                <w:szCs w:val="21"/>
              </w:rPr>
            </w:pPr>
            <w:bookmarkStart w:id="12" w:name="t_2_1_0213_a1_fm1"/>
            <w:bookmarkEnd w:id="12"/>
            <w:r>
              <w:rPr>
                <w:rFonts w:ascii="宋体" w:hAnsi="宋体" w:hint="eastAsia"/>
                <w:szCs w:val="21"/>
              </w:rPr>
              <w:t>中国建设银行股份有限公司</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基金注册登记机构名称</w:t>
            </w:r>
          </w:p>
        </w:tc>
        <w:tc>
          <w:tcPr>
            <w:tcW w:w="5220" w:type="dxa"/>
          </w:tcPr>
          <w:p w:rsidR="00243D8F" w:rsidRDefault="00CF7D44">
            <w:pPr>
              <w:rPr>
                <w:rFonts w:ascii="宋体" w:hAnsi="宋体" w:hint="eastAsia"/>
                <w:szCs w:val="21"/>
              </w:rPr>
            </w:pPr>
            <w:bookmarkStart w:id="13" w:name="t_2_1_0310_a1_fm1"/>
            <w:bookmarkEnd w:id="13"/>
            <w:r>
              <w:rPr>
                <w:rFonts w:ascii="宋体" w:hAnsi="宋体" w:hint="eastAsia"/>
                <w:szCs w:val="21"/>
              </w:rPr>
              <w:t>华泰柏瑞基金管理有限公司</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公告依据</w:t>
            </w:r>
          </w:p>
        </w:tc>
        <w:tc>
          <w:tcPr>
            <w:tcW w:w="5220" w:type="dxa"/>
          </w:tcPr>
          <w:p w:rsidR="00243D8F" w:rsidRDefault="00CF7D44">
            <w:pPr>
              <w:rPr>
                <w:rFonts w:ascii="宋体" w:hAnsi="宋体" w:hint="eastAsia"/>
                <w:szCs w:val="21"/>
              </w:rPr>
            </w:pPr>
            <w:bookmarkStart w:id="14" w:name="t_2_1_2631_a1_fm1"/>
            <w:bookmarkEnd w:id="14"/>
            <w:r>
              <w:rPr>
                <w:rFonts w:ascii="宋体" w:hAnsi="宋体" w:hint="eastAsia"/>
                <w:szCs w:val="21"/>
              </w:rPr>
              <w:t>《中华人民共和国证券投资基金法》、《公开募集证券投资基金运作管理办法》等法律法规以及《华泰柏瑞量化绝对收益策略定期开放混合型发起式证券投资基金基金合同》、《华泰柏瑞量化绝对收益策略定期开放混合型发起式证券投资基金招募说明书》</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申购起始日</w:t>
            </w:r>
          </w:p>
        </w:tc>
        <w:tc>
          <w:tcPr>
            <w:tcW w:w="5220" w:type="dxa"/>
          </w:tcPr>
          <w:p w:rsidR="00243D8F" w:rsidRDefault="00B03783">
            <w:pPr>
              <w:rPr>
                <w:rFonts w:ascii="宋体" w:hAnsi="宋体" w:hint="eastAsia"/>
                <w:szCs w:val="21"/>
              </w:rPr>
            </w:pPr>
            <w:bookmarkStart w:id="15" w:name="t_2_1_2660_a1_fm1"/>
            <w:bookmarkEnd w:id="15"/>
            <w:r>
              <w:rPr>
                <w:rFonts w:ascii="宋体" w:hAnsi="宋体"/>
                <w:szCs w:val="21"/>
              </w:rPr>
              <w:t>20</w:t>
            </w:r>
            <w:r>
              <w:rPr>
                <w:rFonts w:ascii="宋体" w:hAnsi="宋体" w:hint="eastAsia"/>
                <w:szCs w:val="21"/>
              </w:rPr>
              <w:t>20</w:t>
            </w:r>
            <w:r w:rsidR="00CF7D44">
              <w:rPr>
                <w:rFonts w:ascii="宋体" w:hAnsi="宋体"/>
                <w:szCs w:val="21"/>
              </w:rPr>
              <w:t>年</w:t>
            </w:r>
            <w:r w:rsidR="004E328C">
              <w:rPr>
                <w:rFonts w:ascii="宋体" w:hAnsi="宋体" w:hint="eastAsia"/>
                <w:szCs w:val="21"/>
              </w:rPr>
              <w:t>6</w:t>
            </w:r>
            <w:r w:rsidR="00CF7D44">
              <w:rPr>
                <w:rFonts w:ascii="宋体" w:hAnsi="宋体"/>
                <w:szCs w:val="21"/>
              </w:rPr>
              <w:t>月</w:t>
            </w:r>
            <w:r w:rsidR="004E328C">
              <w:rPr>
                <w:rFonts w:ascii="宋体" w:hAnsi="宋体" w:hint="eastAsia"/>
                <w:szCs w:val="21"/>
              </w:rPr>
              <w:t>12</w:t>
            </w:r>
            <w:r w:rsidR="00CF7D44">
              <w:rPr>
                <w:rFonts w:ascii="宋体" w:hAnsi="宋体"/>
                <w:szCs w:val="21"/>
              </w:rPr>
              <w:t>日</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赎回起始日</w:t>
            </w:r>
          </w:p>
        </w:tc>
        <w:tc>
          <w:tcPr>
            <w:tcW w:w="5220" w:type="dxa"/>
          </w:tcPr>
          <w:p w:rsidR="00243D8F" w:rsidRDefault="00B03783">
            <w:pPr>
              <w:rPr>
                <w:rFonts w:ascii="宋体" w:hAnsi="宋体" w:hint="eastAsia"/>
                <w:szCs w:val="21"/>
              </w:rPr>
            </w:pPr>
            <w:bookmarkStart w:id="16" w:name="t_2_1_2661_a1_fm1"/>
            <w:bookmarkEnd w:id="16"/>
            <w:r>
              <w:rPr>
                <w:rFonts w:ascii="宋体" w:hAnsi="宋体"/>
                <w:szCs w:val="21"/>
              </w:rPr>
              <w:t>20</w:t>
            </w:r>
            <w:r>
              <w:rPr>
                <w:rFonts w:ascii="宋体" w:hAnsi="宋体" w:hint="eastAsia"/>
                <w:szCs w:val="21"/>
              </w:rPr>
              <w:t>20</w:t>
            </w:r>
            <w:r w:rsidR="00CF7D44">
              <w:rPr>
                <w:rFonts w:ascii="宋体" w:hAnsi="宋体"/>
                <w:szCs w:val="21"/>
              </w:rPr>
              <w:t>年</w:t>
            </w:r>
            <w:r w:rsidR="004E328C">
              <w:rPr>
                <w:rFonts w:ascii="宋体" w:hAnsi="宋体" w:hint="eastAsia"/>
                <w:szCs w:val="21"/>
              </w:rPr>
              <w:t>6</w:t>
            </w:r>
            <w:r w:rsidR="00CF7D44">
              <w:rPr>
                <w:rFonts w:ascii="宋体" w:hAnsi="宋体"/>
                <w:szCs w:val="21"/>
              </w:rPr>
              <w:t>月</w:t>
            </w:r>
            <w:r w:rsidR="004E328C">
              <w:rPr>
                <w:rFonts w:ascii="宋体" w:hAnsi="宋体"/>
                <w:szCs w:val="21"/>
              </w:rPr>
              <w:t>1</w:t>
            </w:r>
            <w:r w:rsidR="004E328C">
              <w:rPr>
                <w:rFonts w:ascii="宋体" w:hAnsi="宋体" w:hint="eastAsia"/>
                <w:szCs w:val="21"/>
              </w:rPr>
              <w:t>2</w:t>
            </w:r>
            <w:r w:rsidR="00CF7D44">
              <w:rPr>
                <w:rFonts w:ascii="宋体" w:hAnsi="宋体"/>
                <w:szCs w:val="21"/>
              </w:rPr>
              <w:t>日</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转换转入起始日</w:t>
            </w:r>
          </w:p>
        </w:tc>
        <w:tc>
          <w:tcPr>
            <w:tcW w:w="5220" w:type="dxa"/>
          </w:tcPr>
          <w:p w:rsidR="00243D8F" w:rsidRDefault="004E328C">
            <w:pPr>
              <w:rPr>
                <w:rFonts w:ascii="宋体" w:hAnsi="宋体" w:hint="eastAsia"/>
                <w:szCs w:val="21"/>
              </w:rPr>
            </w:pPr>
            <w:bookmarkStart w:id="17" w:name="t_2_1_2793_a1_fm1"/>
            <w:bookmarkEnd w:id="17"/>
            <w:r>
              <w:rPr>
                <w:rFonts w:ascii="宋体" w:hAnsi="宋体"/>
                <w:szCs w:val="21"/>
              </w:rPr>
              <w:t>20</w:t>
            </w:r>
            <w:r>
              <w:rPr>
                <w:rFonts w:ascii="宋体" w:hAnsi="宋体" w:hint="eastAsia"/>
                <w:szCs w:val="21"/>
              </w:rPr>
              <w:t>20</w:t>
            </w:r>
            <w:r>
              <w:rPr>
                <w:rFonts w:ascii="宋体" w:hAnsi="宋体"/>
                <w:szCs w:val="21"/>
              </w:rPr>
              <w:t>年</w:t>
            </w:r>
            <w:r>
              <w:rPr>
                <w:rFonts w:ascii="宋体" w:hAnsi="宋体" w:hint="eastAsia"/>
                <w:szCs w:val="21"/>
              </w:rPr>
              <w:t>6</w:t>
            </w:r>
            <w:r>
              <w:rPr>
                <w:rFonts w:ascii="宋体" w:hAnsi="宋体"/>
                <w:szCs w:val="21"/>
              </w:rPr>
              <w:t>月1</w:t>
            </w:r>
            <w:r>
              <w:rPr>
                <w:rFonts w:ascii="宋体" w:hAnsi="宋体" w:hint="eastAsia"/>
                <w:szCs w:val="21"/>
              </w:rPr>
              <w:t>2</w:t>
            </w:r>
            <w:r>
              <w:rPr>
                <w:rFonts w:ascii="宋体" w:hAnsi="宋体"/>
                <w:szCs w:val="21"/>
              </w:rPr>
              <w:t>日</w:t>
            </w:r>
          </w:p>
        </w:tc>
      </w:tr>
      <w:tr w:rsidR="00243D8F" w:rsidTr="00CF7D44">
        <w:tc>
          <w:tcPr>
            <w:tcW w:w="3600" w:type="dxa"/>
          </w:tcPr>
          <w:p w:rsidR="00243D8F" w:rsidRDefault="00243D8F">
            <w:pPr>
              <w:rPr>
                <w:rFonts w:ascii="宋体" w:hAnsi="宋体" w:hint="eastAsia"/>
                <w:szCs w:val="21"/>
              </w:rPr>
            </w:pPr>
            <w:r>
              <w:rPr>
                <w:rFonts w:ascii="宋体" w:hAnsi="宋体" w:hint="eastAsia"/>
                <w:szCs w:val="21"/>
              </w:rPr>
              <w:t>转换转出起始日</w:t>
            </w:r>
          </w:p>
        </w:tc>
        <w:tc>
          <w:tcPr>
            <w:tcW w:w="5220" w:type="dxa"/>
          </w:tcPr>
          <w:p w:rsidR="00243D8F" w:rsidRDefault="004E328C">
            <w:pPr>
              <w:rPr>
                <w:rFonts w:ascii="宋体" w:hAnsi="宋体" w:hint="eastAsia"/>
                <w:szCs w:val="21"/>
              </w:rPr>
            </w:pPr>
            <w:bookmarkStart w:id="18" w:name="t_2_1_2794_a1_fm1"/>
            <w:bookmarkEnd w:id="18"/>
            <w:r>
              <w:rPr>
                <w:rFonts w:ascii="宋体" w:hAnsi="宋体"/>
                <w:szCs w:val="21"/>
              </w:rPr>
              <w:t>20</w:t>
            </w:r>
            <w:r>
              <w:rPr>
                <w:rFonts w:ascii="宋体" w:hAnsi="宋体" w:hint="eastAsia"/>
                <w:szCs w:val="21"/>
              </w:rPr>
              <w:t>20</w:t>
            </w:r>
            <w:r>
              <w:rPr>
                <w:rFonts w:ascii="宋体" w:hAnsi="宋体"/>
                <w:szCs w:val="21"/>
              </w:rPr>
              <w:t>年</w:t>
            </w:r>
            <w:r>
              <w:rPr>
                <w:rFonts w:ascii="宋体" w:hAnsi="宋体" w:hint="eastAsia"/>
                <w:szCs w:val="21"/>
              </w:rPr>
              <w:t>6</w:t>
            </w:r>
            <w:r>
              <w:rPr>
                <w:rFonts w:ascii="宋体" w:hAnsi="宋体"/>
                <w:szCs w:val="21"/>
              </w:rPr>
              <w:t>月1</w:t>
            </w:r>
            <w:r>
              <w:rPr>
                <w:rFonts w:ascii="宋体" w:hAnsi="宋体" w:hint="eastAsia"/>
                <w:szCs w:val="21"/>
              </w:rPr>
              <w:t>2</w:t>
            </w:r>
            <w:r>
              <w:rPr>
                <w:rFonts w:ascii="宋体" w:hAnsi="宋体"/>
                <w:szCs w:val="21"/>
              </w:rPr>
              <w:t>日</w:t>
            </w:r>
          </w:p>
        </w:tc>
      </w:tr>
    </w:tbl>
    <w:p w:rsidR="00243D8F" w:rsidRPr="00BF1EEE" w:rsidRDefault="00243D8F">
      <w:pPr>
        <w:spacing w:line="360" w:lineRule="auto"/>
        <w:jc w:val="left"/>
        <w:rPr>
          <w:rFonts w:ascii="宋体" w:hAnsi="宋体" w:hint="eastAsia"/>
          <w:color w:val="0000FF"/>
          <w:kern w:val="0"/>
          <w:sz w:val="20"/>
          <w:szCs w:val="20"/>
        </w:rPr>
      </w:pPr>
      <w:bookmarkStart w:id="19" w:name="t_2_1_2645_a1_fm1"/>
      <w:bookmarkEnd w:id="5"/>
      <w:r>
        <w:rPr>
          <w:rFonts w:hint="eastAsia"/>
          <w:szCs w:val="21"/>
        </w:rPr>
        <w:t>注：</w:t>
      </w:r>
      <w:bookmarkEnd w:id="19"/>
      <w:r w:rsidR="00CF7D44" w:rsidRPr="00BF1EEE">
        <w:rPr>
          <w:rFonts w:ascii="宋体" w:hAnsi="宋体" w:hint="eastAsia"/>
          <w:sz w:val="20"/>
          <w:szCs w:val="20"/>
        </w:rPr>
        <w:t>投资者范围：符合法律法规规定的可投资于证券投资基金的个人投资者、机构投资者和合格境外机构投资者以及法律法规或中国证监会允许购买证券投资基金的其他投资人。</w:t>
      </w:r>
    </w:p>
    <w:bookmarkEnd w:id="3"/>
    <w:p w:rsidR="00243D8F" w:rsidRDefault="00243D8F">
      <w:pPr>
        <w:rPr>
          <w:rFonts w:ascii="宋体" w:hAnsi="宋体" w:hint="eastAsia"/>
          <w:color w:val="0000FF"/>
          <w:kern w:val="0"/>
          <w:sz w:val="18"/>
        </w:rPr>
      </w:pPr>
    </w:p>
    <w:p w:rsidR="00243D8F" w:rsidRDefault="00716A1B" w:rsidP="001906ED">
      <w:pPr>
        <w:pStyle w:val="2"/>
        <w:numPr>
          <w:ilvl w:val="0"/>
          <w:numId w:val="1"/>
        </w:numPr>
        <w:spacing w:beforeLines="50" w:afterLines="50" w:line="240" w:lineRule="auto"/>
        <w:jc w:val="left"/>
        <w:rPr>
          <w:rFonts w:ascii="宋体" w:eastAsia="宋体" w:hAnsi="宋体" w:hint="eastAsia"/>
          <w:bCs/>
          <w:sz w:val="24"/>
          <w:szCs w:val="24"/>
        </w:rPr>
      </w:pPr>
      <w:bookmarkStart w:id="20" w:name="t_2_2_table"/>
      <w:bookmarkEnd w:id="20"/>
      <w:r>
        <w:rPr>
          <w:rFonts w:ascii="宋体" w:eastAsia="宋体" w:hAnsi="宋体" w:hint="eastAsia"/>
          <w:bCs/>
          <w:sz w:val="24"/>
          <w:szCs w:val="24"/>
        </w:rPr>
        <w:t>日常申购、赎回（</w:t>
      </w:r>
      <w:r w:rsidR="00243D8F">
        <w:rPr>
          <w:rFonts w:ascii="宋体" w:eastAsia="宋体" w:hAnsi="宋体" w:hint="eastAsia"/>
          <w:bCs/>
          <w:sz w:val="24"/>
          <w:szCs w:val="24"/>
        </w:rPr>
        <w:t>转换）业务的办理时间</w:t>
      </w:r>
    </w:p>
    <w:p w:rsidR="00CF7D44" w:rsidRDefault="00CF7D44">
      <w:pPr>
        <w:spacing w:line="360" w:lineRule="auto"/>
        <w:ind w:firstLineChars="200" w:firstLine="420"/>
        <w:rPr>
          <w:rFonts w:ascii="宋体" w:hAnsi="宋体"/>
          <w:szCs w:val="21"/>
        </w:rPr>
      </w:pPr>
      <w:bookmarkStart w:id="21" w:name="t_2_2_2819_a1_fm1"/>
      <w:bookmarkEnd w:id="21"/>
      <w:r>
        <w:rPr>
          <w:rFonts w:ascii="宋体" w:hAnsi="宋体"/>
          <w:szCs w:val="21"/>
        </w:rPr>
        <w:t>1、开放日及开放时间</w:t>
      </w:r>
    </w:p>
    <w:p w:rsidR="00CF7D44" w:rsidRDefault="00CF7D44">
      <w:pPr>
        <w:spacing w:line="360" w:lineRule="auto"/>
        <w:ind w:firstLineChars="200" w:firstLine="420"/>
        <w:rPr>
          <w:rFonts w:ascii="宋体" w:hAnsi="宋体"/>
          <w:szCs w:val="21"/>
        </w:rPr>
      </w:pPr>
      <w:r>
        <w:rPr>
          <w:rFonts w:ascii="宋体" w:hAnsi="宋体" w:hint="eastAsia"/>
          <w:szCs w:val="21"/>
        </w:rPr>
        <w:t>投资人在开放日办理基金份额的申购、赎回与转换，开放日为开放期内的每个工作日。</w:t>
      </w:r>
      <w:r w:rsidR="00B03783">
        <w:rPr>
          <w:rFonts w:ascii="宋体" w:hAnsi="宋体"/>
          <w:szCs w:val="21"/>
        </w:rPr>
        <w:t>20</w:t>
      </w:r>
      <w:r w:rsidR="00B03783">
        <w:rPr>
          <w:rFonts w:ascii="宋体" w:hAnsi="宋体" w:hint="eastAsia"/>
          <w:szCs w:val="21"/>
        </w:rPr>
        <w:t>20</w:t>
      </w:r>
      <w:r>
        <w:rPr>
          <w:rFonts w:ascii="宋体" w:hAnsi="宋体"/>
          <w:szCs w:val="21"/>
        </w:rPr>
        <w:t>年</w:t>
      </w:r>
      <w:r w:rsidR="004E328C">
        <w:rPr>
          <w:rFonts w:ascii="宋体" w:hAnsi="宋体" w:hint="eastAsia"/>
          <w:szCs w:val="21"/>
        </w:rPr>
        <w:t>6</w:t>
      </w:r>
      <w:r>
        <w:rPr>
          <w:rFonts w:ascii="宋体" w:hAnsi="宋体"/>
          <w:szCs w:val="21"/>
        </w:rPr>
        <w:t>月</w:t>
      </w:r>
      <w:r w:rsidR="004E328C">
        <w:rPr>
          <w:rFonts w:ascii="宋体" w:hAnsi="宋体"/>
          <w:szCs w:val="21"/>
        </w:rPr>
        <w:t>1</w:t>
      </w:r>
      <w:r w:rsidR="004E328C">
        <w:rPr>
          <w:rFonts w:ascii="宋体" w:hAnsi="宋体" w:hint="eastAsia"/>
          <w:szCs w:val="21"/>
        </w:rPr>
        <w:t>2</w:t>
      </w:r>
      <w:r>
        <w:rPr>
          <w:rFonts w:ascii="宋体" w:hAnsi="宋体"/>
          <w:szCs w:val="21"/>
        </w:rPr>
        <w:t>日(含该日)至</w:t>
      </w:r>
      <w:r w:rsidR="00B03783">
        <w:rPr>
          <w:rFonts w:ascii="宋体" w:hAnsi="宋体"/>
          <w:szCs w:val="21"/>
        </w:rPr>
        <w:t>20</w:t>
      </w:r>
      <w:r w:rsidR="00B03783">
        <w:rPr>
          <w:rFonts w:ascii="宋体" w:hAnsi="宋体" w:hint="eastAsia"/>
          <w:szCs w:val="21"/>
        </w:rPr>
        <w:t>20</w:t>
      </w:r>
      <w:r>
        <w:rPr>
          <w:rFonts w:ascii="宋体" w:hAnsi="宋体"/>
          <w:szCs w:val="21"/>
        </w:rPr>
        <w:t>年</w:t>
      </w:r>
      <w:r w:rsidR="004E328C">
        <w:rPr>
          <w:rFonts w:ascii="宋体" w:hAnsi="宋体" w:hint="eastAsia"/>
          <w:szCs w:val="21"/>
        </w:rPr>
        <w:t>6</w:t>
      </w:r>
      <w:r>
        <w:rPr>
          <w:rFonts w:ascii="宋体" w:hAnsi="宋体"/>
          <w:szCs w:val="21"/>
        </w:rPr>
        <w:t>月</w:t>
      </w:r>
      <w:r w:rsidR="004E328C">
        <w:rPr>
          <w:rFonts w:ascii="宋体" w:hAnsi="宋体"/>
          <w:szCs w:val="21"/>
        </w:rPr>
        <w:t>1</w:t>
      </w:r>
      <w:r w:rsidR="004E328C">
        <w:rPr>
          <w:rFonts w:ascii="宋体" w:hAnsi="宋体" w:hint="eastAsia"/>
          <w:szCs w:val="21"/>
        </w:rPr>
        <w:t>8</w:t>
      </w:r>
      <w:r>
        <w:rPr>
          <w:rFonts w:ascii="宋体" w:hAnsi="宋体"/>
          <w:szCs w:val="21"/>
        </w:rPr>
        <w:t>日（含该日)</w:t>
      </w:r>
      <w:r w:rsidR="004E328C">
        <w:rPr>
          <w:rFonts w:ascii="宋体" w:hAnsi="宋体"/>
          <w:szCs w:val="21"/>
        </w:rPr>
        <w:t>为本基金第</w:t>
      </w:r>
      <w:r w:rsidR="004E328C">
        <w:rPr>
          <w:rFonts w:ascii="宋体" w:hAnsi="宋体" w:hint="eastAsia"/>
          <w:szCs w:val="21"/>
        </w:rPr>
        <w:t>二十</w:t>
      </w:r>
      <w:r>
        <w:rPr>
          <w:rFonts w:ascii="宋体" w:hAnsi="宋体"/>
          <w:szCs w:val="21"/>
        </w:rPr>
        <w:t>个开放期，具体办理时间为上海证券交易所、深圳证券交易所的正常交易日的交易时间，但基金管理人根据法律法规、中国证监会的要求或基金合同的规定公告暂停申购、赎回与转换时除外。</w:t>
      </w:r>
    </w:p>
    <w:p w:rsidR="00CF7D44" w:rsidRDefault="00CF7D44">
      <w:pPr>
        <w:spacing w:line="360" w:lineRule="auto"/>
        <w:ind w:firstLineChars="200" w:firstLine="420"/>
        <w:rPr>
          <w:rFonts w:ascii="宋体" w:hAnsi="宋体"/>
          <w:szCs w:val="21"/>
        </w:rPr>
      </w:pPr>
      <w:r>
        <w:rPr>
          <w:rFonts w:ascii="宋体" w:hAnsi="宋体"/>
          <w:szCs w:val="21"/>
        </w:rPr>
        <w:t>2、基金合同生效后，若出现新的证券交易市场、证券交易所交易时间变更或其他特殊情况，基金管理人将视情况对前述开放日及开放时间进行相应的调整，但应在实施日前依照有关法</w:t>
      </w:r>
      <w:r>
        <w:rPr>
          <w:rFonts w:ascii="宋体" w:hAnsi="宋体" w:hint="eastAsia"/>
          <w:szCs w:val="21"/>
        </w:rPr>
        <w:t>规规定在指定媒介上公告。</w:t>
      </w:r>
    </w:p>
    <w:p w:rsidR="00243D8F" w:rsidRDefault="00243D8F">
      <w:pPr>
        <w:spacing w:line="360" w:lineRule="auto"/>
        <w:ind w:firstLineChars="200" w:firstLine="420"/>
        <w:rPr>
          <w:rFonts w:ascii="宋体" w:hAnsi="宋体" w:hint="eastAsia"/>
          <w:szCs w:val="21"/>
        </w:rPr>
      </w:pPr>
    </w:p>
    <w:p w:rsidR="00CF7D44" w:rsidRPr="00BF1EEE" w:rsidRDefault="00BF1EEE" w:rsidP="00BF1EEE">
      <w:pPr>
        <w:pStyle w:val="2"/>
        <w:numPr>
          <w:ilvl w:val="0"/>
          <w:numId w:val="1"/>
        </w:numPr>
        <w:spacing w:beforeLines="50" w:afterLines="50" w:line="240" w:lineRule="auto"/>
        <w:rPr>
          <w:rFonts w:ascii="宋体" w:eastAsia="宋体" w:hAnsi="宋体"/>
          <w:bCs/>
          <w:sz w:val="24"/>
          <w:szCs w:val="24"/>
        </w:rPr>
      </w:pPr>
      <w:bookmarkStart w:id="22" w:name="t_2_3_1_table"/>
      <w:bookmarkStart w:id="23" w:name="t_2_3_1_2820_a1_fm1"/>
      <w:bookmarkStart w:id="24" w:name="t_2_5_2824_a1_fm1"/>
      <w:bookmarkEnd w:id="22"/>
      <w:bookmarkEnd w:id="23"/>
      <w:bookmarkEnd w:id="24"/>
      <w:r w:rsidRPr="00BF1EEE">
        <w:rPr>
          <w:rFonts w:ascii="宋体" w:eastAsia="宋体" w:hAnsi="宋体" w:hint="eastAsia"/>
          <w:bCs/>
          <w:sz w:val="24"/>
          <w:szCs w:val="24"/>
        </w:rPr>
        <w:lastRenderedPageBreak/>
        <w:t>转</w:t>
      </w:r>
      <w:r w:rsidR="00CF7D44" w:rsidRPr="00BF1EEE">
        <w:rPr>
          <w:rFonts w:ascii="宋体" w:eastAsia="宋体" w:hAnsi="宋体" w:hint="eastAsia"/>
          <w:bCs/>
          <w:sz w:val="24"/>
          <w:szCs w:val="24"/>
        </w:rPr>
        <w:t>换业务适用基金</w:t>
      </w:r>
    </w:p>
    <w:p w:rsidR="00BF1EEE" w:rsidRDefault="00BF1EEE" w:rsidP="00BF1EEE">
      <w:pPr>
        <w:spacing w:line="360" w:lineRule="auto"/>
        <w:ind w:left="420"/>
        <w:jc w:val="left"/>
        <w:rPr>
          <w:rFonts w:ascii="宋体" w:hAnsi="宋体"/>
          <w:szCs w:val="21"/>
        </w:rPr>
      </w:pPr>
      <w:r>
        <w:rPr>
          <w:rFonts w:ascii="宋体" w:hAnsi="宋体" w:hint="eastAsia"/>
          <w:szCs w:val="21"/>
        </w:rPr>
        <w:t>开放期内投资者可办理本基金与以下基金的转换业务：</w:t>
      </w:r>
      <w:r>
        <w:rPr>
          <w:rFonts w:ascii="宋体" w:hAnsi="宋体"/>
          <w:szCs w:val="21"/>
        </w:rPr>
        <w:t xml:space="preserve"> </w:t>
      </w:r>
    </w:p>
    <w:tbl>
      <w:tblPr>
        <w:tblW w:w="8926" w:type="dxa"/>
        <w:tblInd w:w="93" w:type="dxa"/>
        <w:tblLook w:val="04A0"/>
      </w:tblPr>
      <w:tblGrid>
        <w:gridCol w:w="580"/>
        <w:gridCol w:w="6806"/>
        <w:gridCol w:w="1540"/>
      </w:tblGrid>
      <w:tr w:rsidR="00BF1EEE" w:rsidRPr="004663B8" w:rsidTr="003E323E">
        <w:trPr>
          <w:trHeight w:val="270"/>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b/>
                <w:bCs/>
                <w:color w:val="000000"/>
                <w:kern w:val="0"/>
                <w:sz w:val="18"/>
                <w:szCs w:val="18"/>
              </w:rPr>
            </w:pPr>
            <w:r w:rsidRPr="004663B8">
              <w:rPr>
                <w:rFonts w:ascii="宋体" w:hAnsi="宋体" w:cs="Arial" w:hint="eastAsia"/>
                <w:b/>
                <w:bCs/>
                <w:color w:val="000000"/>
                <w:kern w:val="0"/>
                <w:sz w:val="18"/>
                <w:szCs w:val="18"/>
              </w:rPr>
              <w:t>序号</w:t>
            </w:r>
          </w:p>
        </w:tc>
        <w:tc>
          <w:tcPr>
            <w:tcW w:w="6806" w:type="dxa"/>
            <w:tcBorders>
              <w:top w:val="single" w:sz="8" w:space="0" w:color="auto"/>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b/>
                <w:bCs/>
                <w:color w:val="000000"/>
                <w:kern w:val="0"/>
                <w:sz w:val="18"/>
                <w:szCs w:val="18"/>
              </w:rPr>
            </w:pPr>
            <w:r w:rsidRPr="004663B8">
              <w:rPr>
                <w:rFonts w:ascii="宋体" w:hAnsi="宋体" w:cs="Arial" w:hint="eastAsia"/>
                <w:b/>
                <w:bCs/>
                <w:color w:val="000000"/>
                <w:kern w:val="0"/>
                <w:sz w:val="18"/>
                <w:szCs w:val="18"/>
              </w:rPr>
              <w:t>基金名称</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b/>
                <w:bCs/>
                <w:color w:val="000000"/>
                <w:kern w:val="0"/>
                <w:sz w:val="18"/>
                <w:szCs w:val="18"/>
              </w:rPr>
            </w:pPr>
            <w:r w:rsidRPr="004663B8">
              <w:rPr>
                <w:rFonts w:ascii="宋体" w:hAnsi="宋体" w:cs="Arial" w:hint="eastAsia"/>
                <w:b/>
                <w:bCs/>
                <w:color w:val="000000"/>
                <w:kern w:val="0"/>
                <w:sz w:val="18"/>
                <w:szCs w:val="18"/>
              </w:rPr>
              <w:t>基金代码</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w:t>
            </w:r>
          </w:p>
        </w:tc>
        <w:tc>
          <w:tcPr>
            <w:tcW w:w="6806"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华泰柏瑞盛世中国混合型证券投资基金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460001</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w:t>
            </w:r>
          </w:p>
        </w:tc>
        <w:tc>
          <w:tcPr>
            <w:tcW w:w="6806"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华泰柏瑞积极成长混合型证券投资基金A类</w:t>
            </w:r>
          </w:p>
        </w:tc>
        <w:tc>
          <w:tcPr>
            <w:tcW w:w="1540"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460002</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w:t>
            </w:r>
          </w:p>
        </w:tc>
        <w:tc>
          <w:tcPr>
            <w:tcW w:w="6806"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华泰柏瑞金字塔稳本增利债券型证券投资基金B类</w:t>
            </w:r>
          </w:p>
        </w:tc>
        <w:tc>
          <w:tcPr>
            <w:tcW w:w="1540"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460003</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w:t>
            </w:r>
          </w:p>
        </w:tc>
        <w:tc>
          <w:tcPr>
            <w:tcW w:w="6806"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华泰柏瑞价值增长混合型证券投资基金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460005</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5</w:t>
            </w:r>
          </w:p>
        </w:tc>
        <w:tc>
          <w:tcPr>
            <w:tcW w:w="6806"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华泰柏瑞货币市场证券投资基金A类/B类</w:t>
            </w:r>
          </w:p>
        </w:tc>
        <w:tc>
          <w:tcPr>
            <w:tcW w:w="1540"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460006/460106</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6</w:t>
            </w:r>
          </w:p>
        </w:tc>
        <w:tc>
          <w:tcPr>
            <w:tcW w:w="6806"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华泰柏瑞行业领先混合型证券投资基金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460007</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7</w:t>
            </w:r>
          </w:p>
        </w:tc>
        <w:tc>
          <w:tcPr>
            <w:tcW w:w="6806"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华泰柏瑞稳健收益债券型证券投资基金A类/C类</w:t>
            </w:r>
          </w:p>
        </w:tc>
        <w:tc>
          <w:tcPr>
            <w:tcW w:w="1540"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460008/460108</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8</w:t>
            </w:r>
          </w:p>
        </w:tc>
        <w:tc>
          <w:tcPr>
            <w:tcW w:w="6806"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华泰柏瑞量化先行混合型证券投资基金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460009</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9</w:t>
            </w:r>
          </w:p>
        </w:tc>
        <w:tc>
          <w:tcPr>
            <w:tcW w:w="6806"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华泰柏瑞上证中小盘交易型开放式指数证券投资基金联接基金</w:t>
            </w:r>
          </w:p>
        </w:tc>
        <w:tc>
          <w:tcPr>
            <w:tcW w:w="1540"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460220</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10</w:t>
            </w:r>
          </w:p>
        </w:tc>
        <w:tc>
          <w:tcPr>
            <w:tcW w:w="6806" w:type="dxa"/>
            <w:tcBorders>
              <w:top w:val="nil"/>
              <w:left w:val="nil"/>
              <w:bottom w:val="single" w:sz="8" w:space="0" w:color="auto"/>
              <w:right w:val="single" w:sz="8" w:space="0" w:color="auto"/>
            </w:tcBorders>
            <w:shd w:val="clear" w:color="auto" w:fill="auto"/>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华泰柏瑞沪深300交易型开放式指数证券投资基金联接基金A类/C类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460300/006131</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11</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华泰柏瑞量化增强混合型证券投资基金A类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000</w:t>
            </w:r>
            <w:r w:rsidRPr="004663B8">
              <w:rPr>
                <w:rFonts w:ascii="宋体" w:hAnsi="宋体" w:cs="Arial" w:hint="eastAsia"/>
                <w:color w:val="000000"/>
                <w:kern w:val="0"/>
                <w:sz w:val="18"/>
                <w:szCs w:val="18"/>
              </w:rPr>
              <w:t>172</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12</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华泰柏瑞季季红债券型证券投资基金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000</w:t>
            </w:r>
            <w:r w:rsidRPr="004663B8">
              <w:rPr>
                <w:rFonts w:ascii="宋体" w:hAnsi="宋体" w:cs="Arial" w:hint="eastAsia"/>
                <w:color w:val="000000"/>
                <w:kern w:val="0"/>
                <w:sz w:val="18"/>
                <w:szCs w:val="18"/>
              </w:rPr>
              <w:t>186</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13</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华泰柏瑞丰盛纯债债券型证券投资基金A类/C类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000187/000188</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14</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华泰柏瑞丰汇债券型证券投资基金A类/C类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000421/000422</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15</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华泰柏瑞创新升级混合型证券投资基金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000</w:t>
            </w:r>
            <w:r w:rsidRPr="004663B8">
              <w:rPr>
                <w:rFonts w:ascii="宋体" w:hAnsi="宋体" w:cs="Arial" w:hint="eastAsia"/>
                <w:color w:val="000000"/>
                <w:kern w:val="0"/>
                <w:sz w:val="18"/>
                <w:szCs w:val="18"/>
              </w:rPr>
              <w:t>566</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16</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华泰柏瑞量化优选灵活配置混合型证券投资基金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000</w:t>
            </w:r>
            <w:r w:rsidRPr="004663B8">
              <w:rPr>
                <w:rFonts w:ascii="宋体" w:hAnsi="宋体" w:cs="Arial" w:hint="eastAsia"/>
                <w:color w:val="000000"/>
                <w:kern w:val="0"/>
                <w:sz w:val="18"/>
                <w:szCs w:val="18"/>
              </w:rPr>
              <w:t>877</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17</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华泰柏瑞创新动力灵活配置混合型证券投资基金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000</w:t>
            </w:r>
            <w:r w:rsidRPr="004663B8">
              <w:rPr>
                <w:rFonts w:ascii="宋体" w:hAnsi="宋体" w:cs="Arial" w:hint="eastAsia"/>
                <w:color w:val="000000"/>
                <w:kern w:val="0"/>
                <w:sz w:val="18"/>
                <w:szCs w:val="18"/>
              </w:rPr>
              <w:t>967</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18</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华泰柏瑞消费成长灵活配置混合型证券投资基金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1069</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19</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华泰柏瑞量化阿尔法灵活配置混合型证券投资基金A类/C类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005055/006532</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20</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华泰柏瑞量化驱动灵活配置混合型证券投资基金A类/C类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1074</w:t>
            </w:r>
            <w:r>
              <w:rPr>
                <w:rFonts w:ascii="宋体" w:hAnsi="宋体" w:cs="Arial" w:hint="eastAsia"/>
                <w:color w:val="000000"/>
                <w:kern w:val="0"/>
                <w:sz w:val="18"/>
                <w:szCs w:val="18"/>
              </w:rPr>
              <w:t>/006531</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21</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华泰柏瑞积极优选股票型证券投资基金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1097</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22</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华泰柏瑞中证500交易型开放式指数证券投资基金联接基金A类/C类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001214/006087</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23</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华泰柏瑞量化智慧灵活配置混合型证券投资基金A类/C类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001244/006104</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24</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华泰柏瑞新利灵活配置混合型证券投资基金A类/C类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001247/002091</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25</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华泰柏瑞健康生活灵活配置混合型证券投资基金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1398</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26</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华泰柏瑞精选回报灵活配置混合型证券投资基金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1524</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27</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华泰柏瑞激励动力灵活配置混合型证券投资基金A类/C类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001815/002082</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28</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390772" w:rsidRDefault="00BF1EEE" w:rsidP="003E323E">
            <w:pPr>
              <w:widowControl/>
              <w:jc w:val="center"/>
              <w:rPr>
                <w:rFonts w:ascii="宋体" w:hAnsi="宋体" w:cs="宋体"/>
                <w:color w:val="000000"/>
                <w:kern w:val="0"/>
                <w:sz w:val="18"/>
                <w:szCs w:val="18"/>
              </w:rPr>
            </w:pPr>
            <w:r w:rsidRPr="004663B8">
              <w:rPr>
                <w:rFonts w:ascii="宋体" w:hAnsi="宋体" w:cs="Arial" w:hint="eastAsia"/>
                <w:color w:val="000000"/>
                <w:kern w:val="0"/>
                <w:sz w:val="18"/>
                <w:szCs w:val="18"/>
              </w:rPr>
              <w:t>华泰柏瑞量化对冲稳健收益定期开放混合型发起式证券投资基金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390772" w:rsidRDefault="00BF1EEE" w:rsidP="003E323E">
            <w:pPr>
              <w:widowControl/>
              <w:jc w:val="center"/>
              <w:rPr>
                <w:rFonts w:ascii="宋体" w:hAnsi="宋体" w:cs="宋体"/>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2804</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29</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华泰柏瑞多策略灵活配置混合型证券投资基金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3175</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30</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华泰柏瑞天添宝货币市场基金A类/B类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003246/003871</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31</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华泰柏瑞新经济沪港深灵活配置混合型证券投资基金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3413</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32</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华泰柏瑞享利灵活配置混合型证券投资基金A类/C类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003591/003592</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33</w:t>
            </w:r>
          </w:p>
        </w:tc>
        <w:tc>
          <w:tcPr>
            <w:tcW w:w="6806"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华泰柏瑞鼎利灵活配置混合型证券投资基金A类/C类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004010/004011</w:t>
            </w:r>
          </w:p>
        </w:tc>
      </w:tr>
      <w:tr w:rsidR="007E18BB"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7E18BB" w:rsidRDefault="007E18BB" w:rsidP="00264316">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6806" w:type="dxa"/>
            <w:tcBorders>
              <w:top w:val="nil"/>
              <w:left w:val="nil"/>
              <w:bottom w:val="single" w:sz="8" w:space="0" w:color="auto"/>
              <w:right w:val="single" w:sz="8" w:space="0" w:color="auto"/>
            </w:tcBorders>
            <w:shd w:val="clear" w:color="auto" w:fill="auto"/>
            <w:noWrap/>
            <w:vAlign w:val="bottom"/>
            <w:hideMark/>
          </w:tcPr>
          <w:p w:rsidR="007E18BB" w:rsidRPr="003255BE" w:rsidRDefault="007E18BB" w:rsidP="00264316">
            <w:pPr>
              <w:widowControl/>
              <w:jc w:val="center"/>
              <w:rPr>
                <w:rFonts w:ascii="宋体" w:hAnsi="宋体" w:cs="Arial"/>
                <w:color w:val="000000"/>
                <w:kern w:val="0"/>
                <w:sz w:val="18"/>
                <w:szCs w:val="18"/>
              </w:rPr>
            </w:pPr>
            <w:r w:rsidRPr="005F57F3">
              <w:rPr>
                <w:rFonts w:ascii="宋体" w:hAnsi="宋体" w:cs="Arial" w:hint="eastAsia"/>
                <w:color w:val="000000"/>
                <w:kern w:val="0"/>
                <w:sz w:val="18"/>
                <w:szCs w:val="18"/>
              </w:rPr>
              <w:t>华泰柏瑞研究精选混合型证券投资基金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7E18BB" w:rsidRDefault="007E18BB" w:rsidP="00264316">
            <w:pPr>
              <w:widowControl/>
              <w:jc w:val="center"/>
              <w:rPr>
                <w:rFonts w:ascii="宋体" w:hAnsi="宋体" w:cs="Arial"/>
                <w:color w:val="000000"/>
                <w:kern w:val="0"/>
                <w:sz w:val="18"/>
                <w:szCs w:val="18"/>
              </w:rPr>
            </w:pPr>
            <w:r>
              <w:rPr>
                <w:rFonts w:ascii="宋体" w:hAnsi="宋体" w:cs="Arial" w:hint="eastAsia"/>
                <w:color w:val="000000"/>
                <w:kern w:val="0"/>
                <w:sz w:val="18"/>
                <w:szCs w:val="18"/>
              </w:rPr>
              <w:t>007968</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35</w:t>
            </w:r>
          </w:p>
        </w:tc>
        <w:tc>
          <w:tcPr>
            <w:tcW w:w="6806"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华泰柏瑞医疗健康混合型证券投资基金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5805</w:t>
            </w:r>
          </w:p>
        </w:tc>
      </w:tr>
      <w:tr w:rsidR="004E328C"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4E328C" w:rsidRPr="004663B8" w:rsidRDefault="004E328C"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36</w:t>
            </w:r>
          </w:p>
        </w:tc>
        <w:tc>
          <w:tcPr>
            <w:tcW w:w="6806" w:type="dxa"/>
            <w:tcBorders>
              <w:top w:val="nil"/>
              <w:left w:val="nil"/>
              <w:bottom w:val="single" w:sz="8" w:space="0" w:color="auto"/>
              <w:right w:val="single" w:sz="8" w:space="0" w:color="auto"/>
            </w:tcBorders>
            <w:shd w:val="clear" w:color="auto" w:fill="auto"/>
            <w:noWrap/>
            <w:vAlign w:val="bottom"/>
            <w:hideMark/>
          </w:tcPr>
          <w:p w:rsidR="004E328C" w:rsidRDefault="004E328C">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华泰柏瑞锦瑞债券型证券投资基金A类/C类</w:t>
            </w:r>
          </w:p>
        </w:tc>
        <w:tc>
          <w:tcPr>
            <w:tcW w:w="1540" w:type="dxa"/>
            <w:tcBorders>
              <w:top w:val="nil"/>
              <w:left w:val="nil"/>
              <w:bottom w:val="single" w:sz="8" w:space="0" w:color="auto"/>
              <w:right w:val="single" w:sz="8" w:space="0" w:color="auto"/>
            </w:tcBorders>
            <w:shd w:val="clear" w:color="auto" w:fill="auto"/>
            <w:noWrap/>
            <w:vAlign w:val="bottom"/>
            <w:hideMark/>
          </w:tcPr>
          <w:p w:rsidR="004E328C" w:rsidRDefault="004E328C">
            <w:pPr>
              <w:jc w:val="center"/>
              <w:rPr>
                <w:rFonts w:ascii="宋体" w:hAnsi="宋体" w:cs="宋体"/>
                <w:bCs/>
                <w:color w:val="000000"/>
                <w:kern w:val="0"/>
                <w:sz w:val="18"/>
                <w:szCs w:val="18"/>
              </w:rPr>
            </w:pPr>
            <w:r>
              <w:rPr>
                <w:rFonts w:ascii="宋体" w:hAnsi="宋体" w:cs="宋体" w:hint="eastAsia"/>
                <w:bCs/>
                <w:color w:val="000000"/>
                <w:kern w:val="0"/>
                <w:sz w:val="18"/>
                <w:szCs w:val="18"/>
              </w:rPr>
              <w:t>008524/008525</w:t>
            </w:r>
          </w:p>
        </w:tc>
      </w:tr>
      <w:tr w:rsidR="00BF1EEE" w:rsidRPr="004663B8" w:rsidTr="003E323E">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37</w:t>
            </w:r>
          </w:p>
        </w:tc>
        <w:tc>
          <w:tcPr>
            <w:tcW w:w="6806"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华泰柏瑞MSCI中国A股国际通交易型开放式指数证券投资基金联接基金A类/C类</w:t>
            </w:r>
          </w:p>
        </w:tc>
        <w:tc>
          <w:tcPr>
            <w:tcW w:w="1540" w:type="dxa"/>
            <w:tcBorders>
              <w:top w:val="nil"/>
              <w:left w:val="nil"/>
              <w:bottom w:val="single" w:sz="8"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006286/006293</w:t>
            </w:r>
          </w:p>
        </w:tc>
      </w:tr>
      <w:tr w:rsidR="00BF1EEE" w:rsidRPr="004663B8" w:rsidTr="00BF1EEE">
        <w:trPr>
          <w:trHeight w:val="270"/>
        </w:trPr>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38</w:t>
            </w:r>
          </w:p>
        </w:tc>
        <w:tc>
          <w:tcPr>
            <w:tcW w:w="6806" w:type="dxa"/>
            <w:tcBorders>
              <w:top w:val="nil"/>
              <w:left w:val="nil"/>
              <w:bottom w:val="single" w:sz="4"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华泰柏瑞交易型货币市场证券投资基金B类</w:t>
            </w:r>
          </w:p>
        </w:tc>
        <w:tc>
          <w:tcPr>
            <w:tcW w:w="1540" w:type="dxa"/>
            <w:tcBorders>
              <w:top w:val="nil"/>
              <w:left w:val="nil"/>
              <w:bottom w:val="single" w:sz="4" w:space="0" w:color="auto"/>
              <w:right w:val="single" w:sz="8"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2469</w:t>
            </w:r>
          </w:p>
        </w:tc>
      </w:tr>
      <w:tr w:rsidR="00BF1EEE" w:rsidRPr="004663B8" w:rsidTr="00BF1EEE">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39</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华泰柏瑞量化创优灵活配置混合型证券投资基金</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4394</w:t>
            </w:r>
          </w:p>
        </w:tc>
      </w:tr>
      <w:tr w:rsidR="00BF1EEE" w:rsidRPr="004663B8" w:rsidTr="003E323E">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40</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华泰柏瑞生物医药灵活配置混合型证券投资基金</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4905</w:t>
            </w:r>
          </w:p>
        </w:tc>
      </w:tr>
      <w:tr w:rsidR="00BF1EEE" w:rsidRPr="004663B8" w:rsidTr="003E323E">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41</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华泰柏瑞富利灵活配置混合型证券投资基金</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4475</w:t>
            </w:r>
          </w:p>
        </w:tc>
      </w:tr>
      <w:tr w:rsidR="00BF1EEE" w:rsidRPr="004663B8" w:rsidTr="003E323E">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42</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华泰柏瑞战略新兴产业混合型证券投资基金</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5409</w:t>
            </w:r>
          </w:p>
        </w:tc>
      </w:tr>
      <w:tr w:rsidR="00BF1EEE" w:rsidRPr="004663B8" w:rsidTr="003E323E">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43</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华泰柏瑞新金融地产灵活配置混合型证券投资基金</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EEE" w:rsidRPr="004663B8" w:rsidRDefault="00BF1EEE"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5576</w:t>
            </w:r>
          </w:p>
        </w:tc>
      </w:tr>
      <w:tr w:rsidR="00194306" w:rsidRPr="004663B8" w:rsidTr="003E323E">
        <w:trPr>
          <w:trHeight w:val="270"/>
        </w:trPr>
        <w:tc>
          <w:tcPr>
            <w:tcW w:w="5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94306" w:rsidRPr="004663B8" w:rsidRDefault="00194306"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44</w:t>
            </w:r>
          </w:p>
        </w:tc>
        <w:tc>
          <w:tcPr>
            <w:tcW w:w="6806" w:type="dxa"/>
            <w:tcBorders>
              <w:top w:val="single" w:sz="4" w:space="0" w:color="auto"/>
              <w:left w:val="nil"/>
              <w:bottom w:val="single" w:sz="4" w:space="0" w:color="auto"/>
              <w:right w:val="single" w:sz="8" w:space="0" w:color="auto"/>
            </w:tcBorders>
            <w:shd w:val="clear" w:color="auto" w:fill="auto"/>
            <w:noWrap/>
            <w:vAlign w:val="bottom"/>
            <w:hideMark/>
          </w:tcPr>
          <w:p w:rsidR="00194306" w:rsidRPr="00E61EBD" w:rsidRDefault="00194306" w:rsidP="003D4D94">
            <w:pPr>
              <w:widowControl/>
              <w:jc w:val="center"/>
              <w:rPr>
                <w:rFonts w:ascii="宋体" w:hAnsi="宋体" w:cs="Arial"/>
                <w:color w:val="000000"/>
                <w:kern w:val="0"/>
                <w:sz w:val="18"/>
                <w:szCs w:val="18"/>
              </w:rPr>
            </w:pPr>
            <w:r w:rsidRPr="003255BE">
              <w:rPr>
                <w:rFonts w:ascii="宋体" w:hAnsi="宋体" w:cs="Arial" w:hint="eastAsia"/>
                <w:color w:val="000000"/>
                <w:kern w:val="0"/>
                <w:sz w:val="18"/>
                <w:szCs w:val="18"/>
              </w:rPr>
              <w:t>华泰柏瑞中证红利低波动交易型开放式指数证券投资基金联接基金</w:t>
            </w:r>
            <w:r w:rsidRPr="004663B8">
              <w:rPr>
                <w:rFonts w:ascii="宋体" w:hAnsi="宋体" w:cs="Arial" w:hint="eastAsia"/>
                <w:color w:val="000000"/>
                <w:kern w:val="0"/>
                <w:sz w:val="18"/>
                <w:szCs w:val="18"/>
              </w:rPr>
              <w:t>A类/C类</w:t>
            </w:r>
          </w:p>
        </w:tc>
        <w:tc>
          <w:tcPr>
            <w:tcW w:w="1540" w:type="dxa"/>
            <w:tcBorders>
              <w:top w:val="single" w:sz="4" w:space="0" w:color="auto"/>
              <w:left w:val="nil"/>
              <w:bottom w:val="single" w:sz="4" w:space="0" w:color="auto"/>
              <w:right w:val="single" w:sz="8" w:space="0" w:color="auto"/>
            </w:tcBorders>
            <w:shd w:val="clear" w:color="auto" w:fill="auto"/>
            <w:noWrap/>
            <w:vAlign w:val="bottom"/>
            <w:hideMark/>
          </w:tcPr>
          <w:p w:rsidR="00194306" w:rsidRPr="003255BE" w:rsidRDefault="00194306" w:rsidP="003D4D94">
            <w:pPr>
              <w:widowControl/>
              <w:jc w:val="center"/>
              <w:rPr>
                <w:rFonts w:ascii="宋体" w:hAnsi="宋体" w:cs="Arial"/>
                <w:color w:val="000000"/>
                <w:kern w:val="0"/>
                <w:sz w:val="18"/>
                <w:szCs w:val="18"/>
              </w:rPr>
            </w:pPr>
            <w:r>
              <w:rPr>
                <w:rFonts w:ascii="宋体" w:hAnsi="宋体" w:cs="Arial" w:hint="eastAsia"/>
                <w:color w:val="000000"/>
                <w:kern w:val="0"/>
                <w:sz w:val="18"/>
                <w:szCs w:val="18"/>
              </w:rPr>
              <w:t>007466/007467</w:t>
            </w:r>
          </w:p>
        </w:tc>
      </w:tr>
      <w:tr w:rsidR="00194306" w:rsidRPr="004663B8" w:rsidTr="003E323E">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Pr="004663B8" w:rsidRDefault="00194306"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45</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Default="00194306">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华泰柏瑞中证科技100交易型开放式指数证券投资基金联接基金A类/C类</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Default="00194306">
            <w:pPr>
              <w:jc w:val="center"/>
              <w:rPr>
                <w:rFonts w:ascii="宋体" w:hAnsi="宋体" w:cs="宋体"/>
                <w:bCs/>
                <w:color w:val="000000"/>
                <w:kern w:val="0"/>
                <w:sz w:val="18"/>
                <w:szCs w:val="18"/>
              </w:rPr>
            </w:pPr>
            <w:r>
              <w:rPr>
                <w:rFonts w:ascii="宋体" w:hAnsi="宋体" w:cs="宋体" w:hint="eastAsia"/>
                <w:bCs/>
                <w:color w:val="000000"/>
                <w:kern w:val="0"/>
                <w:sz w:val="18"/>
                <w:szCs w:val="18"/>
              </w:rPr>
              <w:t>008399/008400</w:t>
            </w:r>
          </w:p>
        </w:tc>
      </w:tr>
      <w:tr w:rsidR="00194306" w:rsidRPr="004663B8" w:rsidTr="003E323E">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Pr="004663B8" w:rsidRDefault="00194306" w:rsidP="003E323E">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Pr="001559D4" w:rsidRDefault="00194306" w:rsidP="003E323E">
            <w:pPr>
              <w:widowControl/>
              <w:jc w:val="center"/>
              <w:rPr>
                <w:rFonts w:ascii="宋体" w:hAnsi="宋体" w:cs="Arial"/>
                <w:color w:val="000000"/>
                <w:kern w:val="0"/>
                <w:sz w:val="18"/>
                <w:szCs w:val="18"/>
              </w:rPr>
            </w:pPr>
            <w:r w:rsidRPr="00E61EBD">
              <w:rPr>
                <w:rFonts w:ascii="宋体" w:hAnsi="宋体" w:cs="Arial" w:hint="eastAsia"/>
                <w:color w:val="000000"/>
                <w:kern w:val="0"/>
                <w:sz w:val="18"/>
                <w:szCs w:val="18"/>
              </w:rPr>
              <w:t>华泰柏瑞量化明选混合型证券投资基金</w:t>
            </w:r>
            <w:r w:rsidRPr="004663B8">
              <w:rPr>
                <w:rFonts w:ascii="宋体" w:hAnsi="宋体" w:cs="Arial" w:hint="eastAsia"/>
                <w:color w:val="000000"/>
                <w:kern w:val="0"/>
                <w:sz w:val="18"/>
                <w:szCs w:val="18"/>
              </w:rPr>
              <w:t>A类/C类</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Pr="001559D4" w:rsidRDefault="00194306" w:rsidP="003E323E">
            <w:pPr>
              <w:widowControl/>
              <w:jc w:val="center"/>
              <w:rPr>
                <w:rFonts w:ascii="宋体" w:hAnsi="宋体" w:cs="Arial"/>
                <w:color w:val="000000"/>
                <w:kern w:val="0"/>
                <w:sz w:val="18"/>
                <w:szCs w:val="18"/>
              </w:rPr>
            </w:pPr>
            <w:r w:rsidRPr="00E61EBD">
              <w:rPr>
                <w:rFonts w:ascii="宋体" w:hAnsi="宋体" w:cs="Arial"/>
                <w:color w:val="000000"/>
                <w:kern w:val="0"/>
                <w:sz w:val="18"/>
                <w:szCs w:val="18"/>
              </w:rPr>
              <w:t>006942</w:t>
            </w:r>
            <w:r w:rsidRPr="00E61EBD">
              <w:rPr>
                <w:rFonts w:ascii="宋体" w:hAnsi="宋体" w:cs="Arial" w:hint="eastAsia"/>
                <w:color w:val="000000"/>
                <w:kern w:val="0"/>
                <w:sz w:val="18"/>
                <w:szCs w:val="18"/>
              </w:rPr>
              <w:t>/</w:t>
            </w:r>
            <w:r w:rsidRPr="00E61EBD">
              <w:rPr>
                <w:rFonts w:ascii="宋体" w:hAnsi="宋体" w:cs="Arial"/>
                <w:color w:val="000000"/>
                <w:kern w:val="0"/>
                <w:sz w:val="18"/>
                <w:szCs w:val="18"/>
              </w:rPr>
              <w:t>006943</w:t>
            </w:r>
          </w:p>
        </w:tc>
      </w:tr>
      <w:tr w:rsidR="00194306" w:rsidRPr="004663B8" w:rsidTr="003E323E">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Pr="004663B8" w:rsidRDefault="00194306"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Pr="00E61EBD" w:rsidRDefault="00194306" w:rsidP="003E323E">
            <w:pPr>
              <w:widowControl/>
              <w:jc w:val="center"/>
              <w:rPr>
                <w:rFonts w:ascii="宋体" w:hAnsi="宋体" w:cs="Arial"/>
                <w:color w:val="000000"/>
                <w:kern w:val="0"/>
                <w:sz w:val="18"/>
                <w:szCs w:val="18"/>
              </w:rPr>
            </w:pPr>
            <w:r w:rsidRPr="003255BE">
              <w:rPr>
                <w:rFonts w:ascii="宋体" w:hAnsi="宋体" w:cs="Arial" w:hint="eastAsia"/>
                <w:color w:val="000000"/>
                <w:kern w:val="0"/>
                <w:sz w:val="18"/>
                <w:szCs w:val="18"/>
              </w:rPr>
              <w:t>华泰柏瑞基本面智选混合型证券投资基金</w:t>
            </w:r>
            <w:r w:rsidRPr="004663B8">
              <w:rPr>
                <w:rFonts w:ascii="宋体" w:hAnsi="宋体" w:cs="Arial" w:hint="eastAsia"/>
                <w:color w:val="000000"/>
                <w:kern w:val="0"/>
                <w:sz w:val="18"/>
                <w:szCs w:val="18"/>
              </w:rPr>
              <w:t>A类/C类</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Pr="003255BE" w:rsidRDefault="00194306"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007306/007307</w:t>
            </w:r>
          </w:p>
        </w:tc>
      </w:tr>
      <w:tr w:rsidR="00194306" w:rsidRPr="004663B8" w:rsidTr="003E323E">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Default="00194306"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Pr="00E61EBD" w:rsidRDefault="00194306" w:rsidP="003E323E">
            <w:pPr>
              <w:widowControl/>
              <w:jc w:val="center"/>
              <w:rPr>
                <w:rFonts w:ascii="宋体" w:hAnsi="宋体" w:cs="Arial"/>
                <w:color w:val="000000"/>
                <w:kern w:val="0"/>
                <w:sz w:val="18"/>
                <w:szCs w:val="18"/>
              </w:rPr>
            </w:pPr>
            <w:r w:rsidRPr="00194306">
              <w:rPr>
                <w:rFonts w:ascii="宋体" w:hAnsi="宋体" w:cs="Arial" w:hint="eastAsia"/>
                <w:color w:val="000000"/>
                <w:kern w:val="0"/>
                <w:sz w:val="18"/>
                <w:szCs w:val="18"/>
              </w:rPr>
              <w:t>华泰柏瑞质量成长混合型证券投资基金</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306" w:rsidRPr="003255BE" w:rsidRDefault="00194306" w:rsidP="003E323E">
            <w:pPr>
              <w:widowControl/>
              <w:jc w:val="center"/>
              <w:rPr>
                <w:rFonts w:ascii="宋体" w:hAnsi="宋体" w:cs="Arial"/>
                <w:color w:val="000000"/>
                <w:kern w:val="0"/>
                <w:sz w:val="18"/>
                <w:szCs w:val="18"/>
              </w:rPr>
            </w:pPr>
            <w:r>
              <w:rPr>
                <w:rFonts w:ascii="宋体" w:hAnsi="宋体" w:cs="Arial" w:hint="eastAsia"/>
                <w:color w:val="000000"/>
                <w:kern w:val="0"/>
                <w:sz w:val="18"/>
                <w:szCs w:val="18"/>
              </w:rPr>
              <w:t>008528</w:t>
            </w:r>
          </w:p>
        </w:tc>
      </w:tr>
    </w:tbl>
    <w:p w:rsidR="00CF7D44" w:rsidRDefault="00CF7D44">
      <w:pPr>
        <w:spacing w:line="360" w:lineRule="auto"/>
        <w:ind w:firstLineChars="200" w:firstLine="420"/>
        <w:jc w:val="left"/>
        <w:rPr>
          <w:rFonts w:ascii="宋体" w:hAnsi="宋体"/>
          <w:szCs w:val="21"/>
        </w:rPr>
      </w:pPr>
    </w:p>
    <w:p w:rsidR="00CF7D44" w:rsidRDefault="00CF7D44">
      <w:pPr>
        <w:spacing w:line="360" w:lineRule="auto"/>
        <w:ind w:firstLineChars="200" w:firstLine="420"/>
        <w:jc w:val="left"/>
        <w:rPr>
          <w:rFonts w:ascii="宋体" w:hAnsi="宋体"/>
          <w:szCs w:val="21"/>
        </w:rPr>
      </w:pPr>
      <w:r>
        <w:rPr>
          <w:rFonts w:ascii="宋体" w:hAnsi="宋体" w:hint="eastAsia"/>
          <w:szCs w:val="21"/>
        </w:rPr>
        <w:t>注：</w:t>
      </w:r>
      <w:r>
        <w:rPr>
          <w:rFonts w:ascii="宋体" w:hAnsi="宋体"/>
          <w:szCs w:val="21"/>
        </w:rPr>
        <w:t>1、上述目前正在封闭期</w:t>
      </w:r>
      <w:r>
        <w:rPr>
          <w:rFonts w:ascii="宋体" w:hAnsi="宋体" w:hint="eastAsia"/>
          <w:szCs w:val="21"/>
        </w:rPr>
        <w:t>内的基金不能参与此次转换；</w:t>
      </w:r>
    </w:p>
    <w:p w:rsidR="00CF7D44" w:rsidRDefault="00CF7D44">
      <w:pPr>
        <w:spacing w:line="360" w:lineRule="auto"/>
        <w:ind w:firstLineChars="200" w:firstLine="420"/>
        <w:jc w:val="left"/>
        <w:rPr>
          <w:rFonts w:ascii="宋体" w:hAnsi="宋体"/>
          <w:szCs w:val="21"/>
        </w:rPr>
      </w:pPr>
      <w:r>
        <w:rPr>
          <w:rFonts w:ascii="宋体" w:hAnsi="宋体"/>
          <w:szCs w:val="21"/>
        </w:rPr>
        <w:t xml:space="preserve">    2、基金转换的具体业务办理规则请参见各基金最新的招募说明书等公告及本公司已刊登的基金间办理转换业务的相关公告， 投资者申请基金转换时应遵循规定提交业务申请。</w:t>
      </w:r>
    </w:p>
    <w:p w:rsidR="00243D8F" w:rsidRDefault="00243D8F">
      <w:pPr>
        <w:spacing w:line="360" w:lineRule="auto"/>
        <w:ind w:firstLineChars="200" w:firstLine="420"/>
        <w:jc w:val="left"/>
        <w:rPr>
          <w:rFonts w:ascii="宋体" w:hAnsi="宋体" w:hint="eastAsia"/>
          <w:szCs w:val="21"/>
        </w:rPr>
      </w:pPr>
    </w:p>
    <w:p w:rsidR="00243D8F" w:rsidRPr="00BF1EEE" w:rsidRDefault="00243D8F" w:rsidP="00BF1EEE">
      <w:pPr>
        <w:pStyle w:val="2"/>
        <w:numPr>
          <w:ilvl w:val="0"/>
          <w:numId w:val="1"/>
        </w:numPr>
        <w:spacing w:beforeLines="50" w:afterLines="50" w:line="240" w:lineRule="auto"/>
        <w:rPr>
          <w:rFonts w:ascii="宋体" w:eastAsia="宋体" w:hAnsi="宋体" w:hint="eastAsia"/>
          <w:bCs/>
          <w:sz w:val="24"/>
          <w:szCs w:val="24"/>
        </w:rPr>
      </w:pPr>
      <w:bookmarkStart w:id="25" w:name="t_2_6_table"/>
      <w:bookmarkStart w:id="26" w:name="t_2_6_2825_a1_fm1"/>
      <w:bookmarkStart w:id="27" w:name="t_2_9_table"/>
      <w:bookmarkEnd w:id="25"/>
      <w:bookmarkEnd w:id="26"/>
      <w:bookmarkEnd w:id="27"/>
      <w:r w:rsidRPr="00BF1EEE">
        <w:rPr>
          <w:rFonts w:ascii="宋体" w:eastAsia="宋体" w:hAnsi="宋体" w:hint="eastAsia"/>
          <w:bCs/>
          <w:sz w:val="24"/>
          <w:szCs w:val="24"/>
        </w:rPr>
        <w:t>其他需要提示的事项</w:t>
      </w:r>
    </w:p>
    <w:p w:rsidR="00243D8F" w:rsidRDefault="00CF7D44">
      <w:pPr>
        <w:spacing w:line="360" w:lineRule="auto"/>
        <w:ind w:firstLineChars="200" w:firstLine="420"/>
        <w:jc w:val="left"/>
        <w:rPr>
          <w:rFonts w:ascii="宋体" w:hAnsi="宋体"/>
          <w:szCs w:val="21"/>
        </w:rPr>
      </w:pPr>
      <w:bookmarkStart w:id="28" w:name="t_2_9_2646_a1_fm1"/>
      <w:bookmarkEnd w:id="28"/>
      <w:r>
        <w:rPr>
          <w:rFonts w:ascii="宋体" w:hAnsi="宋体" w:hint="eastAsia"/>
          <w:szCs w:val="21"/>
        </w:rPr>
        <w:t>风险提示：本公司承诺以诚实信用、勤勉尽责的原则管理和运用基金资产，但不保证基金一定盈利，也不保证最低收益。敬请投资者留意投资风险。</w:t>
      </w:r>
    </w:p>
    <w:p w:rsidR="00243D8F" w:rsidRDefault="00243D8F">
      <w:pPr>
        <w:spacing w:line="360" w:lineRule="auto"/>
        <w:ind w:firstLineChars="200" w:firstLine="420"/>
        <w:jc w:val="left"/>
        <w:rPr>
          <w:rFonts w:ascii="宋体" w:hAnsi="宋体"/>
          <w:szCs w:val="21"/>
        </w:rPr>
      </w:pPr>
    </w:p>
    <w:p w:rsidR="00243D8F" w:rsidRDefault="00243D8F">
      <w:pPr>
        <w:spacing w:line="360" w:lineRule="auto"/>
        <w:ind w:firstLineChars="200" w:firstLine="420"/>
        <w:jc w:val="left"/>
        <w:rPr>
          <w:rFonts w:ascii="宋体" w:hAnsi="宋体"/>
          <w:szCs w:val="21"/>
        </w:rPr>
      </w:pPr>
    </w:p>
    <w:p w:rsidR="00CF7D44" w:rsidRDefault="00CF7D44">
      <w:pPr>
        <w:spacing w:line="360" w:lineRule="auto"/>
        <w:jc w:val="right"/>
        <w:rPr>
          <w:rFonts w:ascii="宋体" w:hAnsi="宋体"/>
          <w:sz w:val="24"/>
          <w:szCs w:val="30"/>
        </w:rPr>
      </w:pPr>
      <w:r>
        <w:rPr>
          <w:rFonts w:ascii="宋体" w:hAnsi="宋体" w:hint="eastAsia"/>
          <w:sz w:val="24"/>
          <w:szCs w:val="30"/>
        </w:rPr>
        <w:t>华泰柏瑞基金管理有限公司</w:t>
      </w:r>
    </w:p>
    <w:p w:rsidR="00243D8F" w:rsidRDefault="00B03783">
      <w:pPr>
        <w:spacing w:line="360" w:lineRule="auto"/>
        <w:jc w:val="right"/>
        <w:rPr>
          <w:rFonts w:ascii="宋体" w:hAnsi="宋体" w:hint="eastAsia"/>
          <w:szCs w:val="21"/>
        </w:rPr>
      </w:pPr>
      <w:r>
        <w:rPr>
          <w:rFonts w:ascii="宋体" w:hAnsi="宋体"/>
          <w:sz w:val="24"/>
          <w:szCs w:val="30"/>
        </w:rPr>
        <w:t>20</w:t>
      </w:r>
      <w:r>
        <w:rPr>
          <w:rFonts w:ascii="宋体" w:hAnsi="宋体" w:hint="eastAsia"/>
          <w:sz w:val="24"/>
          <w:szCs w:val="30"/>
        </w:rPr>
        <w:t>20</w:t>
      </w:r>
      <w:r w:rsidR="00CF7D44">
        <w:rPr>
          <w:rFonts w:ascii="宋体" w:hAnsi="宋体"/>
          <w:sz w:val="24"/>
          <w:szCs w:val="30"/>
        </w:rPr>
        <w:t>年</w:t>
      </w:r>
      <w:r w:rsidR="00194306">
        <w:rPr>
          <w:rFonts w:ascii="宋体" w:hAnsi="宋体" w:hint="eastAsia"/>
          <w:sz w:val="24"/>
          <w:szCs w:val="30"/>
        </w:rPr>
        <w:t>6</w:t>
      </w:r>
      <w:r w:rsidR="00CF7D44">
        <w:rPr>
          <w:rFonts w:ascii="宋体" w:hAnsi="宋体"/>
          <w:sz w:val="24"/>
          <w:szCs w:val="30"/>
        </w:rPr>
        <w:t>月</w:t>
      </w:r>
      <w:r>
        <w:rPr>
          <w:rFonts w:ascii="宋体" w:hAnsi="宋体" w:hint="eastAsia"/>
          <w:sz w:val="24"/>
          <w:szCs w:val="30"/>
        </w:rPr>
        <w:t>6</w:t>
      </w:r>
      <w:r w:rsidR="00CF7D44">
        <w:rPr>
          <w:rFonts w:ascii="宋体" w:hAnsi="宋体"/>
          <w:sz w:val="24"/>
          <w:szCs w:val="30"/>
        </w:rPr>
        <w:t>日</w:t>
      </w:r>
    </w:p>
    <w:sectPr w:rsidR="00243D8F">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F9F" w:rsidRDefault="000A0F9F" w:rsidP="00716A1B">
      <w:r>
        <w:separator/>
      </w:r>
    </w:p>
  </w:endnote>
  <w:endnote w:type="continuationSeparator" w:id="1">
    <w:p w:rsidR="000A0F9F" w:rsidRDefault="000A0F9F" w:rsidP="0071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8C" w:rsidRDefault="004E328C" w:rsidP="00CF7D44">
    <w:pPr>
      <w:pStyle w:val="a5"/>
      <w:jc w:val="center"/>
    </w:pPr>
    <w:r>
      <w:rPr>
        <w:rFonts w:hint="eastAsia"/>
      </w:rPr>
      <w:t>第</w:t>
    </w:r>
    <w:r>
      <w:rPr>
        <w:rFonts w:hint="eastAsia"/>
      </w:rPr>
      <w:t xml:space="preserve"> </w:t>
    </w:r>
    <w:fldSimple w:instr=" PAGE   \* MERGEFORMAT ">
      <w:r w:rsidR="006A2F18">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A2F18">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F9F" w:rsidRDefault="000A0F9F" w:rsidP="00716A1B">
      <w:r>
        <w:separator/>
      </w:r>
    </w:p>
  </w:footnote>
  <w:footnote w:type="continuationSeparator" w:id="1">
    <w:p w:rsidR="000A0F9F" w:rsidRDefault="000A0F9F" w:rsidP="0071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8C" w:rsidRDefault="004E328C" w:rsidP="00CF7D44">
    <w:pPr>
      <w:pStyle w:val="a4"/>
      <w:jc w:val="right"/>
      <w:rPr>
        <w:rFonts w:hint="eastAsia"/>
        <w:lang w:eastAsia="zh-CN"/>
      </w:rPr>
    </w:pPr>
    <w:r>
      <w:rPr>
        <w:rFonts w:hint="eastAsia"/>
      </w:rPr>
      <w:t>关于华泰柏瑞量化绝对收益策略定期开放混合型发起式证券投资基金</w:t>
    </w:r>
  </w:p>
  <w:p w:rsidR="004E328C" w:rsidRDefault="004E328C" w:rsidP="00CF7D44">
    <w:pPr>
      <w:pStyle w:val="a4"/>
      <w:jc w:val="right"/>
    </w:pPr>
    <w:r>
      <w:rPr>
        <w:rFonts w:hint="eastAsia"/>
      </w:rPr>
      <w:t>第</w:t>
    </w:r>
    <w:r>
      <w:rPr>
        <w:rFonts w:hint="eastAsia"/>
        <w:lang w:eastAsia="zh-CN"/>
      </w:rPr>
      <w:t>二十</w:t>
    </w:r>
    <w:r>
      <w:rPr>
        <w:rFonts w:hint="eastAsia"/>
      </w:rPr>
      <w:t>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4E6A"/>
    <w:rsid w:val="00054B55"/>
    <w:rsid w:val="000A0F9F"/>
    <w:rsid w:val="00102C6F"/>
    <w:rsid w:val="00160321"/>
    <w:rsid w:val="001906ED"/>
    <w:rsid w:val="00194306"/>
    <w:rsid w:val="001F180D"/>
    <w:rsid w:val="00243D8F"/>
    <w:rsid w:val="00264316"/>
    <w:rsid w:val="00351B6E"/>
    <w:rsid w:val="003D4D94"/>
    <w:rsid w:val="003E323E"/>
    <w:rsid w:val="004E328C"/>
    <w:rsid w:val="005719A6"/>
    <w:rsid w:val="006A2F18"/>
    <w:rsid w:val="006C7484"/>
    <w:rsid w:val="00716A1B"/>
    <w:rsid w:val="00725D59"/>
    <w:rsid w:val="007E18BB"/>
    <w:rsid w:val="00870952"/>
    <w:rsid w:val="00932F6C"/>
    <w:rsid w:val="009D0AFF"/>
    <w:rsid w:val="00AD0752"/>
    <w:rsid w:val="00B03783"/>
    <w:rsid w:val="00BA2217"/>
    <w:rsid w:val="00BB15D8"/>
    <w:rsid w:val="00BF1EEE"/>
    <w:rsid w:val="00C81E37"/>
    <w:rsid w:val="00CF7D44"/>
    <w:rsid w:val="00DB0726"/>
    <w:rsid w:val="00E93025"/>
    <w:rsid w:val="00F828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footnote text"/>
    <w:basedOn w:val="a"/>
    <w:link w:val="Char"/>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430</Words>
  <Characters>2454</Characters>
  <Application>Microsoft Office Word</Application>
  <DocSecurity>4</DocSecurity>
  <PresentationFormat/>
  <Lines>20</Lines>
  <Paragraphs>5</Paragraphs>
  <Slides>0</Slides>
  <Notes>0</Notes>
  <HiddenSlides>0</HiddenSlides>
  <MMClips>0</MMClip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JonMMx 2000</cp:lastModifiedBy>
  <cp:revision>2</cp:revision>
  <cp:lastPrinted>1899-12-30T00:00:00Z</cp:lastPrinted>
  <dcterms:created xsi:type="dcterms:W3CDTF">2020-06-05T16:23:00Z</dcterms:created>
  <dcterms:modified xsi:type="dcterms:W3CDTF">2020-06-05T16:23:00Z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