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E" w:rsidRPr="00FF0CB3" w:rsidRDefault="00F30209" w:rsidP="0035696D">
      <w:pPr>
        <w:spacing w:line="360" w:lineRule="auto"/>
        <w:jc w:val="center"/>
        <w:rPr>
          <w:rFonts w:asciiTheme="minorEastAsia" w:eastAsiaTheme="minorEastAsia" w:hAnsiTheme="minorEastAsia"/>
          <w:szCs w:val="21"/>
        </w:rPr>
      </w:pPr>
      <w:bookmarkStart w:id="0" w:name="_GoBack"/>
      <w:bookmarkEnd w:id="0"/>
      <w:r w:rsidRPr="00F30209">
        <w:rPr>
          <w:rFonts w:ascii="宋体" w:hAnsi="宋体" w:hint="eastAsia"/>
          <w:b/>
          <w:sz w:val="28"/>
          <w:szCs w:val="28"/>
        </w:rPr>
        <w:t>易方达基金管理有限公司关于调整旗下部分开放式基金在招商银行最低定期定额投资金额限制的公告</w:t>
      </w:r>
    </w:p>
    <w:p w:rsidR="007F003E" w:rsidRPr="00F30209" w:rsidRDefault="007F003E" w:rsidP="007F003E">
      <w:pPr>
        <w:spacing w:line="360" w:lineRule="auto"/>
        <w:ind w:firstLineChars="200" w:firstLine="420"/>
        <w:jc w:val="left"/>
        <w:rPr>
          <w:rStyle w:val="HTML"/>
          <w:rFonts w:asciiTheme="minorEastAsia" w:eastAsiaTheme="minorEastAsia" w:hAnsiTheme="minorEastAsia"/>
          <w:sz w:val="21"/>
          <w:szCs w:val="21"/>
        </w:rPr>
      </w:pPr>
      <w:r w:rsidRPr="00F30209">
        <w:rPr>
          <w:rFonts w:asciiTheme="minorEastAsia" w:eastAsiaTheme="minorEastAsia" w:hAnsiTheme="minorEastAsia" w:hint="eastAsia"/>
          <w:szCs w:val="21"/>
        </w:rPr>
        <w:t>为满足广大投资者的理财需求，经易方达基金管理有限公司（以下简称“本公司”）与</w:t>
      </w:r>
      <w:r w:rsidR="00F30209" w:rsidRPr="00F30209">
        <w:rPr>
          <w:rFonts w:asciiTheme="minorEastAsia" w:eastAsiaTheme="minorEastAsia" w:hAnsiTheme="minorEastAsia" w:hint="eastAsia"/>
          <w:szCs w:val="21"/>
        </w:rPr>
        <w:t>招商银行股份有限公司（以下简称“招商银行”）</w:t>
      </w:r>
      <w:r w:rsidRPr="00F30209">
        <w:rPr>
          <w:rFonts w:asciiTheme="minorEastAsia" w:eastAsiaTheme="minorEastAsia" w:hAnsiTheme="minorEastAsia" w:hint="eastAsia"/>
          <w:szCs w:val="21"/>
        </w:rPr>
        <w:t>协商一致，自20</w:t>
      </w:r>
      <w:r w:rsidR="007300E7">
        <w:rPr>
          <w:rFonts w:asciiTheme="minorEastAsia" w:eastAsiaTheme="minorEastAsia" w:hAnsiTheme="minorEastAsia" w:hint="eastAsia"/>
          <w:szCs w:val="21"/>
        </w:rPr>
        <w:t>20</w:t>
      </w:r>
      <w:r w:rsidRPr="00F30209">
        <w:rPr>
          <w:rFonts w:asciiTheme="minorEastAsia" w:eastAsiaTheme="minorEastAsia" w:hAnsiTheme="minorEastAsia" w:hint="eastAsia"/>
          <w:szCs w:val="21"/>
        </w:rPr>
        <w:t>年</w:t>
      </w:r>
      <w:r w:rsidR="007300E7">
        <w:rPr>
          <w:rFonts w:asciiTheme="minorEastAsia" w:eastAsiaTheme="minorEastAsia" w:hAnsiTheme="minorEastAsia"/>
          <w:szCs w:val="21"/>
        </w:rPr>
        <w:t>6</w:t>
      </w:r>
      <w:r w:rsidRPr="00F30209">
        <w:rPr>
          <w:rFonts w:asciiTheme="minorEastAsia" w:eastAsiaTheme="minorEastAsia" w:hAnsiTheme="minorEastAsia" w:hint="eastAsia"/>
          <w:szCs w:val="21"/>
        </w:rPr>
        <w:t>月</w:t>
      </w:r>
      <w:r w:rsidR="007300E7">
        <w:rPr>
          <w:rFonts w:asciiTheme="minorEastAsia" w:eastAsiaTheme="minorEastAsia" w:hAnsiTheme="minorEastAsia"/>
          <w:szCs w:val="21"/>
        </w:rPr>
        <w:t>4</w:t>
      </w:r>
      <w:r w:rsidRPr="00F30209">
        <w:rPr>
          <w:rFonts w:asciiTheme="minorEastAsia" w:eastAsiaTheme="minorEastAsia" w:hAnsiTheme="minorEastAsia" w:hint="eastAsia"/>
          <w:szCs w:val="21"/>
        </w:rPr>
        <w:t>日起，</w:t>
      </w:r>
      <w:r w:rsidR="00F30209" w:rsidRPr="00F30209">
        <w:rPr>
          <w:rFonts w:asciiTheme="minorEastAsia" w:eastAsiaTheme="minorEastAsia" w:hAnsiTheme="minorEastAsia" w:hint="eastAsia"/>
          <w:szCs w:val="21"/>
        </w:rPr>
        <w:t>调整旗下部分开放式基金在招商银行</w:t>
      </w:r>
      <w:r w:rsidR="00F30209">
        <w:rPr>
          <w:rFonts w:asciiTheme="minorEastAsia" w:eastAsiaTheme="minorEastAsia" w:hAnsiTheme="minorEastAsia" w:hint="eastAsia"/>
          <w:szCs w:val="21"/>
        </w:rPr>
        <w:t>的</w:t>
      </w:r>
      <w:r w:rsidR="00F30209" w:rsidRPr="00F30209">
        <w:rPr>
          <w:rFonts w:asciiTheme="minorEastAsia" w:eastAsiaTheme="minorEastAsia" w:hAnsiTheme="minorEastAsia" w:hint="eastAsia"/>
          <w:szCs w:val="21"/>
        </w:rPr>
        <w:t>最低定期定额投资金额限制</w:t>
      </w:r>
      <w:r w:rsidRPr="00F30209">
        <w:rPr>
          <w:rStyle w:val="HTML"/>
          <w:rFonts w:asciiTheme="minorEastAsia" w:eastAsiaTheme="minorEastAsia" w:hAnsiTheme="minorEastAsia" w:hint="eastAsia"/>
          <w:sz w:val="21"/>
          <w:szCs w:val="21"/>
        </w:rPr>
        <w:t>。</w:t>
      </w:r>
    </w:p>
    <w:p w:rsidR="007F003E" w:rsidRPr="00F30209" w:rsidRDefault="007F003E"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sz w:val="21"/>
          <w:szCs w:val="21"/>
        </w:rPr>
        <w:t>现将有关事项公告如下：</w:t>
      </w:r>
    </w:p>
    <w:p w:rsidR="007F003E" w:rsidRDefault="007F003E"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hint="eastAsia"/>
          <w:sz w:val="21"/>
          <w:szCs w:val="21"/>
        </w:rPr>
        <w:t>一、适用基金</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276"/>
        <w:gridCol w:w="6237"/>
      </w:tblGrid>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序号</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hint="eastAsia"/>
                <w:kern w:val="0"/>
                <w:szCs w:val="21"/>
              </w:rPr>
              <w:t>基金代码</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基金名称</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000009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易方达天天理财货币市场基金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000147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易方达高等级信用债债券型基金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000148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易方达高等级信用债债券型基金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000171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易方达裕丰回报债券型基金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000189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易方达丰华债券型基金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000205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易方达投资级信用债债券型基金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000206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易方达投资级信用债债券型基金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000307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易方达黄金交易型开放式基金联接基金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000404</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易方达新兴成长灵活配置混合型基金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000603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易方达创新驱动灵活配置混合型基金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000647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易方达财富快线货币市场基金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000704</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易方达天天增利货币市场基金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000789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易方达龙宝货币市场基金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000950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易方达沪深</w:t>
            </w:r>
            <w:r w:rsidRPr="0035696D">
              <w:rPr>
                <w:rFonts w:ascii="宋体" w:hAnsi="宋体" w:cs="宋体"/>
                <w:color w:val="000000"/>
                <w:kern w:val="0"/>
                <w:szCs w:val="21"/>
              </w:rPr>
              <w:t>300非银行金融交易型开放式指数基金联接基金A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001018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易方达新经济灵活配置混合型基金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001076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易方达改革红利混合型基金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w:t>
            </w:r>
            <w:r w:rsidR="00B270CA">
              <w:rPr>
                <w:rFonts w:ascii="宋体" w:hAnsi="宋体" w:cs="宋体"/>
                <w:color w:val="000000"/>
                <w:kern w:val="0"/>
                <w:szCs w:val="21"/>
              </w:rPr>
              <w:t>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001184</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易方达新常态灵活配置混合型基金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18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001373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易方达新丝路灵活配置混合型基金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19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001382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易方达国企改革混合型基金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001433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易方达瑞景灵活配置混合型基金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001475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易方达国防军工混合型基金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001513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易方达信息产业混合型基金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001562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易方达瑞和灵活配置混合型基金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001603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易方达安盈回报混合型基金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001832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易方达瑞恒灵活配置混合型基金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001856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易方达环保主题灵活配置混合型基金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2</w:t>
            </w:r>
            <w:r w:rsidR="00B270CA">
              <w:rPr>
                <w:rFonts w:ascii="宋体" w:hAnsi="宋体" w:cs="宋体"/>
                <w:color w:val="000000"/>
                <w:kern w:val="0"/>
                <w:szCs w:val="21"/>
              </w:rPr>
              <w:t>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001857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易方达现代服务业灵活配置混合型基金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28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001898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易方达大健康主题灵活配置混合型基金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29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002216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易方达量化策略精选灵活配置混合型基金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002217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易方达量化策略精选灵活配置混合型基金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002602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易方达丰惠混合型基金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lastRenderedPageBreak/>
              <w:t>3</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002910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易方达供给改革灵活配置混合型基金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002969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易方达丰和债券型基金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003321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易方达原油基金（</w:t>
            </w:r>
            <w:r w:rsidRPr="0035696D">
              <w:rPr>
                <w:rFonts w:ascii="宋体" w:hAnsi="宋体" w:cs="宋体"/>
                <w:color w:val="000000"/>
                <w:kern w:val="0"/>
                <w:szCs w:val="21"/>
              </w:rPr>
              <w:t>QDII）C类人民币份额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003358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易方达中债</w:t>
            </w:r>
            <w:r w:rsidRPr="0035696D">
              <w:rPr>
                <w:rFonts w:ascii="宋体" w:hAnsi="宋体" w:cs="宋体"/>
                <w:color w:val="000000"/>
                <w:kern w:val="0"/>
                <w:szCs w:val="21"/>
              </w:rPr>
              <w:t>7-10年期国开行债券指数基金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005437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易方达易百智能量化策略灵活配置混合型基金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3</w:t>
            </w:r>
            <w:r w:rsidR="00B270CA">
              <w:rPr>
                <w:rFonts w:ascii="宋体" w:hAnsi="宋体" w:cs="宋体"/>
                <w:color w:val="000000"/>
                <w:kern w:val="0"/>
                <w:szCs w:val="21"/>
              </w:rPr>
              <w:t>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005438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易方达易百智能量化策略灵活配置混合型基金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38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005583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易方达港股通红利灵活配置混合型基金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39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005827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易方达蓝筹精选混合型基金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005875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易方达中盘成长混合型基金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006013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易方达鑫转招利混合型基金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006014</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易方达鑫转招利混合型基金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006319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易方达安瑞短债债券型基金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006320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易方达安瑞短债债券型基金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006327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易方达中证海外中国互联网</w:t>
            </w:r>
            <w:r w:rsidRPr="0035696D">
              <w:rPr>
                <w:rFonts w:ascii="宋体" w:hAnsi="宋体" w:cs="宋体"/>
                <w:color w:val="000000"/>
                <w:kern w:val="0"/>
                <w:szCs w:val="21"/>
              </w:rPr>
              <w:t>50交易型开放式指数基金联接基金A类人民币份额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006328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易方达中证海外中国互联网</w:t>
            </w:r>
            <w:r w:rsidRPr="0035696D">
              <w:rPr>
                <w:rFonts w:ascii="宋体" w:hAnsi="宋体" w:cs="宋体"/>
                <w:color w:val="000000"/>
                <w:kern w:val="0"/>
                <w:szCs w:val="21"/>
              </w:rPr>
              <w:t>50交易型开放式指数基金联接基金C类人民币份额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4</w:t>
            </w:r>
            <w:r w:rsidR="00B270CA">
              <w:rPr>
                <w:rFonts w:ascii="宋体" w:hAnsi="宋体" w:cs="宋体"/>
                <w:color w:val="000000"/>
                <w:kern w:val="0"/>
                <w:szCs w:val="21"/>
              </w:rPr>
              <w:t>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006867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易方达丰华债券型基金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48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007339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易方达沪深</w:t>
            </w:r>
            <w:r w:rsidRPr="0035696D">
              <w:rPr>
                <w:rFonts w:ascii="宋体" w:hAnsi="宋体" w:cs="宋体"/>
                <w:color w:val="000000"/>
                <w:kern w:val="0"/>
                <w:szCs w:val="21"/>
              </w:rPr>
              <w:t>300交易型开放式指数发起式基金联接基金C</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49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007360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易方达中短期美元债债券型基金（</w:t>
            </w:r>
            <w:r w:rsidRPr="0035696D">
              <w:rPr>
                <w:rFonts w:ascii="宋体" w:hAnsi="宋体" w:cs="宋体"/>
                <w:color w:val="000000"/>
                <w:kern w:val="0"/>
                <w:szCs w:val="21"/>
              </w:rPr>
              <w:t>QDII）A类人民币基金份额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007361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易方达中短期美元债债券型基金（</w:t>
            </w:r>
            <w:r w:rsidRPr="0035696D">
              <w:rPr>
                <w:rFonts w:ascii="宋体" w:hAnsi="宋体" w:cs="宋体"/>
                <w:color w:val="000000"/>
                <w:kern w:val="0"/>
                <w:szCs w:val="21"/>
              </w:rPr>
              <w:t>QDII）C类人民币基金份额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008008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易方达稳健收益债券型基金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008286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易方达研究精选股票型基金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009049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易方达高端制造混合型发起式基金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009265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易方达消费精选股票型基金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110001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易方达平稳增长基金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110002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易方达策略成长基金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5</w:t>
            </w:r>
            <w:r w:rsidR="00B270CA">
              <w:rPr>
                <w:rFonts w:ascii="宋体" w:hAnsi="宋体" w:cs="宋体"/>
                <w:color w:val="000000"/>
                <w:kern w:val="0"/>
                <w:szCs w:val="21"/>
              </w:rPr>
              <w:t>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110003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w:t>
            </w:r>
            <w:r w:rsidRPr="0035696D">
              <w:rPr>
                <w:rFonts w:ascii="宋体" w:hAnsi="宋体" w:cs="宋体"/>
                <w:color w:val="000000"/>
                <w:kern w:val="0"/>
                <w:szCs w:val="21"/>
              </w:rPr>
              <w:t>50指数基金A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58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110005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易方达积极成长基金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59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110006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易方达货币市场基金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6</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110009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易方达价值精选混合型基金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6</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易方达价值成长混合型基金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6</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易方达中小盘混合型基金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6</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易方达科汇灵活配置混合型基金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6</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易方达科翔混合型基金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6</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易方达行业领先企业混合型基金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66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易方达增强回报债券型基金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67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易方达增强回报债券型基金</w:t>
            </w:r>
            <w:r w:rsidRPr="0035696D">
              <w:rPr>
                <w:rFonts w:ascii="宋体" w:hAnsi="宋体" w:cs="宋体"/>
                <w:color w:val="000000"/>
                <w:kern w:val="0"/>
                <w:szCs w:val="21"/>
              </w:rPr>
              <w:t>B</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68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110019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易方达深证</w:t>
            </w:r>
            <w:r w:rsidRPr="0035696D">
              <w:rPr>
                <w:rFonts w:ascii="宋体" w:hAnsi="宋体" w:cs="宋体"/>
                <w:color w:val="000000"/>
                <w:kern w:val="0"/>
                <w:szCs w:val="21"/>
              </w:rPr>
              <w:t>100交易型开放式指数基金联接基金A</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69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易方达沪深</w:t>
            </w:r>
            <w:r w:rsidRPr="0035696D">
              <w:rPr>
                <w:rFonts w:ascii="宋体" w:hAnsi="宋体" w:cs="宋体"/>
                <w:color w:val="000000"/>
                <w:kern w:val="0"/>
                <w:szCs w:val="21"/>
              </w:rPr>
              <w:t>300交易型开放式指数发起式基金联接基金A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7</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易方达消费行业股票型基金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7</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易方达医疗保健行业混合型基金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7</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易方达资源行业混合型基金</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lastRenderedPageBreak/>
              <w:t>7</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易方达创业板交易型开放式指数基金联接基金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7</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易方达安心回报债券型基金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7</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易方达安心回报债券型基金</w:t>
            </w:r>
            <w:r w:rsidRPr="0035696D">
              <w:rPr>
                <w:rFonts w:ascii="宋体" w:hAnsi="宋体" w:cs="宋体"/>
                <w:color w:val="000000"/>
                <w:kern w:val="0"/>
                <w:szCs w:val="21"/>
              </w:rPr>
              <w:t>B</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76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110029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易方达科讯混合型基金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77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110030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易方达沪深</w:t>
            </w:r>
            <w:r w:rsidRPr="0035696D">
              <w:rPr>
                <w:rFonts w:ascii="宋体" w:hAnsi="宋体" w:cs="宋体"/>
                <w:color w:val="000000"/>
                <w:kern w:val="0"/>
                <w:szCs w:val="21"/>
              </w:rPr>
              <w:t>300量化增强基金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78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110031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易方达恒生中国企业交易型开放式指数基金联接基金</w:t>
            </w:r>
            <w:r w:rsidRPr="0035696D">
              <w:rPr>
                <w:rFonts w:ascii="宋体" w:hAnsi="宋体" w:cs="宋体"/>
                <w:color w:val="000000"/>
                <w:kern w:val="0"/>
                <w:szCs w:val="21"/>
              </w:rPr>
              <w:t>A类人民币基金份额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79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110035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易方达双债增强债券型基金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8</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110036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易方达双债增强债券型基金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8</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110037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易方达纯债债券型基金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8</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110038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易方达纯债债券型基金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8</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110052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易方达安源中短债债券型基金</w:t>
            </w:r>
            <w:r w:rsidRPr="0035696D">
              <w:rPr>
                <w:rFonts w:ascii="宋体" w:hAnsi="宋体" w:cs="宋体"/>
                <w:color w:val="000000"/>
                <w:kern w:val="0"/>
                <w:szCs w:val="21"/>
              </w:rPr>
              <w:t>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8</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110053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易方达安源中短债债券型基金</w:t>
            </w:r>
            <w:r w:rsidRPr="0035696D">
              <w:rPr>
                <w:rFonts w:ascii="宋体" w:hAnsi="宋体" w:cs="宋体"/>
                <w:color w:val="000000"/>
                <w:kern w:val="0"/>
                <w:szCs w:val="21"/>
              </w:rPr>
              <w:t>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8</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112002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易方达策略成长二号混合型基金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86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118001</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易方达亚洲精选股票型基金</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87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118002</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易方达标普全球高端消费品指数增强型基金</w:t>
            </w:r>
            <w:r w:rsidRPr="0035696D">
              <w:rPr>
                <w:rFonts w:ascii="宋体" w:hAnsi="宋体" w:cs="宋体"/>
                <w:color w:val="000000"/>
                <w:kern w:val="0"/>
                <w:szCs w:val="21"/>
              </w:rPr>
              <w:t>A类人民币基金份额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88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161116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易方达黄金主题基金（</w:t>
            </w:r>
            <w:r w:rsidRPr="0035696D">
              <w:rPr>
                <w:rFonts w:ascii="宋体" w:hAnsi="宋体" w:cs="宋体"/>
                <w:color w:val="000000"/>
                <w:kern w:val="0"/>
                <w:szCs w:val="21"/>
              </w:rPr>
              <w:t>LOF）A类人民币份额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89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161118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易方达中小板指数基金（</w:t>
            </w:r>
            <w:r w:rsidRPr="0035696D">
              <w:rPr>
                <w:rFonts w:ascii="宋体" w:hAnsi="宋体" w:cs="宋体"/>
                <w:color w:val="000000"/>
                <w:kern w:val="0"/>
                <w:szCs w:val="21"/>
              </w:rPr>
              <w:t>LOF）</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9</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161119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易方达中债新综合债券指数发起式基金（</w:t>
            </w:r>
            <w:r w:rsidRPr="0035696D">
              <w:rPr>
                <w:rFonts w:ascii="宋体" w:hAnsi="宋体" w:cs="宋体"/>
                <w:color w:val="000000"/>
                <w:kern w:val="0"/>
                <w:szCs w:val="21"/>
              </w:rPr>
              <w:t xml:space="preserve">LOF）A </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9</w:t>
            </w:r>
            <w:r w:rsidR="00B270CA">
              <w:rPr>
                <w:rFonts w:ascii="宋体" w:hAnsi="宋体" w:cs="宋体"/>
                <w:color w:val="000000"/>
                <w:kern w:val="0"/>
                <w:szCs w:val="21"/>
              </w:rPr>
              <w:t>1</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易方达中债新综合债券指数发起式基金（</w:t>
            </w:r>
            <w:r w:rsidRPr="0035696D">
              <w:rPr>
                <w:rFonts w:ascii="宋体" w:hAnsi="宋体" w:cs="宋体"/>
                <w:color w:val="000000"/>
                <w:kern w:val="0"/>
                <w:szCs w:val="21"/>
              </w:rPr>
              <w:t>LOF）C</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9</w:t>
            </w:r>
            <w:r w:rsidR="00B270CA">
              <w:rPr>
                <w:rFonts w:ascii="宋体" w:hAnsi="宋体" w:cs="宋体"/>
                <w:color w:val="000000"/>
                <w:kern w:val="0"/>
                <w:szCs w:val="21"/>
              </w:rPr>
              <w:t>2</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161123</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易方达并购重组指数分级基金基础份额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9</w:t>
            </w:r>
            <w:r w:rsidR="00B270CA">
              <w:rPr>
                <w:rFonts w:ascii="宋体" w:hAnsi="宋体" w:cs="宋体"/>
                <w:color w:val="000000"/>
                <w:kern w:val="0"/>
                <w:szCs w:val="21"/>
              </w:rPr>
              <w:t>3</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161124</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易方达香港恒生综合小型股指数基金（</w:t>
            </w:r>
            <w:r w:rsidRPr="0035696D">
              <w:rPr>
                <w:rFonts w:ascii="宋体" w:hAnsi="宋体" w:cs="宋体"/>
                <w:color w:val="000000"/>
                <w:kern w:val="0"/>
                <w:szCs w:val="21"/>
              </w:rPr>
              <w:t>LOF）A</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9</w:t>
            </w:r>
            <w:r w:rsidR="00B270CA">
              <w:rPr>
                <w:rFonts w:ascii="宋体" w:hAnsi="宋体" w:cs="宋体"/>
                <w:color w:val="000000"/>
                <w:kern w:val="0"/>
                <w:szCs w:val="21"/>
              </w:rPr>
              <w:t>4</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161125</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易方达标普</w:t>
            </w:r>
            <w:r w:rsidRPr="0035696D">
              <w:rPr>
                <w:rFonts w:ascii="宋体" w:hAnsi="宋体" w:cs="宋体"/>
                <w:color w:val="000000"/>
                <w:kern w:val="0"/>
                <w:szCs w:val="21"/>
              </w:rPr>
              <w:t>500指数基金（LOF）人民币基金份额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9</w:t>
            </w:r>
            <w:r w:rsidR="00B270CA">
              <w:rPr>
                <w:rFonts w:ascii="宋体" w:hAnsi="宋体" w:cs="宋体"/>
                <w:color w:val="000000"/>
                <w:kern w:val="0"/>
                <w:szCs w:val="21"/>
              </w:rPr>
              <w:t>5</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161126</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易方达标普医疗保健指数基金（</w:t>
            </w:r>
            <w:r w:rsidRPr="0035696D">
              <w:rPr>
                <w:rFonts w:ascii="宋体" w:hAnsi="宋体" w:cs="宋体"/>
                <w:color w:val="000000"/>
                <w:kern w:val="0"/>
                <w:szCs w:val="21"/>
              </w:rPr>
              <w:t>LOF）人民币基金份额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96</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161127</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易方达标普生物科技指数基金（</w:t>
            </w:r>
            <w:r w:rsidRPr="0035696D">
              <w:rPr>
                <w:rFonts w:ascii="宋体" w:hAnsi="宋体" w:cs="宋体"/>
                <w:color w:val="000000"/>
                <w:kern w:val="0"/>
                <w:szCs w:val="21"/>
              </w:rPr>
              <w:t>LOF）人民币基金份额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97</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易方达标普信息科技指数基金（</w:t>
            </w:r>
            <w:r w:rsidRPr="0035696D">
              <w:rPr>
                <w:rFonts w:ascii="宋体" w:hAnsi="宋体" w:cs="宋体"/>
                <w:color w:val="000000"/>
                <w:kern w:val="0"/>
                <w:szCs w:val="21"/>
              </w:rPr>
              <w:t>LOF）人民币基金份额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98</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161129</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易方达原油基金（</w:t>
            </w:r>
            <w:r w:rsidRPr="0035696D">
              <w:rPr>
                <w:rFonts w:ascii="宋体" w:hAnsi="宋体" w:cs="宋体"/>
                <w:color w:val="000000"/>
                <w:kern w:val="0"/>
                <w:szCs w:val="21"/>
              </w:rPr>
              <w:t>QDII）A类人民币份额</w:t>
            </w:r>
          </w:p>
        </w:tc>
      </w:tr>
      <w:tr w:rsidR="00431939" w:rsidRPr="00431939" w:rsidTr="006B75C5">
        <w:trPr>
          <w:trHeight w:val="288"/>
        </w:trPr>
        <w:tc>
          <w:tcPr>
            <w:tcW w:w="846" w:type="dxa"/>
            <w:shd w:val="clear" w:color="auto" w:fill="auto"/>
            <w:noWrap/>
            <w:vAlign w:val="center"/>
            <w:hideMark/>
          </w:tcPr>
          <w:p w:rsidR="00431939" w:rsidRPr="0035696D" w:rsidRDefault="00B270CA" w:rsidP="00431939">
            <w:pPr>
              <w:widowControl/>
              <w:jc w:val="center"/>
              <w:rPr>
                <w:rFonts w:ascii="宋体" w:hAnsi="宋体" w:cs="宋体"/>
                <w:color w:val="000000"/>
                <w:kern w:val="0"/>
                <w:szCs w:val="21"/>
              </w:rPr>
            </w:pPr>
            <w:r>
              <w:rPr>
                <w:rFonts w:ascii="宋体" w:hAnsi="宋体" w:cs="宋体"/>
                <w:color w:val="000000"/>
                <w:kern w:val="0"/>
                <w:szCs w:val="21"/>
              </w:rPr>
              <w:t>99</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161130</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易方达纳斯达克</w:t>
            </w:r>
            <w:r w:rsidRPr="0035696D">
              <w:rPr>
                <w:rFonts w:ascii="宋体" w:hAnsi="宋体" w:cs="宋体"/>
                <w:color w:val="000000"/>
                <w:kern w:val="0"/>
                <w:szCs w:val="21"/>
              </w:rPr>
              <w:t>100指数基金（LOF）人民币基金份额</w:t>
            </w:r>
          </w:p>
        </w:tc>
      </w:tr>
      <w:tr w:rsidR="00431939" w:rsidRPr="00431939" w:rsidTr="006B75C5">
        <w:trPr>
          <w:trHeight w:val="288"/>
        </w:trPr>
        <w:tc>
          <w:tcPr>
            <w:tcW w:w="846"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color w:val="000000"/>
                <w:kern w:val="0"/>
                <w:szCs w:val="21"/>
              </w:rPr>
              <w:t>10</w:t>
            </w:r>
            <w:r w:rsidR="00B270CA">
              <w:rPr>
                <w:rFonts w:ascii="宋体" w:hAnsi="宋体" w:cs="宋体"/>
                <w:color w:val="000000"/>
                <w:kern w:val="0"/>
                <w:szCs w:val="21"/>
              </w:rPr>
              <w:t>0</w:t>
            </w:r>
          </w:p>
        </w:tc>
        <w:tc>
          <w:tcPr>
            <w:tcW w:w="1276" w:type="dxa"/>
            <w:shd w:val="clear" w:color="000000" w:fill="FFFFFF"/>
            <w:noWrap/>
            <w:vAlign w:val="center"/>
            <w:hideMark/>
          </w:tcPr>
          <w:p w:rsidR="00431939" w:rsidRPr="0035696D" w:rsidRDefault="00431939" w:rsidP="00431939">
            <w:pPr>
              <w:widowControl/>
              <w:jc w:val="center"/>
              <w:rPr>
                <w:rFonts w:ascii="宋体" w:hAnsi="宋体" w:cs="宋体"/>
                <w:kern w:val="0"/>
                <w:szCs w:val="21"/>
              </w:rPr>
            </w:pPr>
            <w:r w:rsidRPr="0035696D">
              <w:rPr>
                <w:rFonts w:ascii="宋体" w:hAnsi="宋体" w:cs="宋体"/>
                <w:kern w:val="0"/>
                <w:szCs w:val="21"/>
              </w:rPr>
              <w:t>502048</w:t>
            </w:r>
          </w:p>
        </w:tc>
        <w:tc>
          <w:tcPr>
            <w:tcW w:w="6237" w:type="dxa"/>
            <w:shd w:val="clear" w:color="auto" w:fill="auto"/>
            <w:noWrap/>
            <w:vAlign w:val="center"/>
            <w:hideMark/>
          </w:tcPr>
          <w:p w:rsidR="00431939" w:rsidRPr="0035696D" w:rsidRDefault="00431939" w:rsidP="00431939">
            <w:pPr>
              <w:widowControl/>
              <w:jc w:val="center"/>
              <w:rPr>
                <w:rFonts w:ascii="宋体" w:hAnsi="宋体" w:cs="宋体"/>
                <w:color w:val="000000"/>
                <w:kern w:val="0"/>
                <w:szCs w:val="21"/>
              </w:rPr>
            </w:pPr>
            <w:r w:rsidRPr="0035696D">
              <w:rPr>
                <w:rFonts w:ascii="宋体" w:hAnsi="宋体" w:cs="宋体" w:hint="eastAsia"/>
                <w:color w:val="000000"/>
                <w:kern w:val="0"/>
                <w:szCs w:val="21"/>
              </w:rPr>
              <w:t>易方达上证</w:t>
            </w:r>
            <w:r w:rsidRPr="0035696D">
              <w:rPr>
                <w:rFonts w:ascii="宋体" w:hAnsi="宋体" w:cs="宋体"/>
                <w:color w:val="000000"/>
                <w:kern w:val="0"/>
                <w:szCs w:val="21"/>
              </w:rPr>
              <w:t>50指数分级基金基础份额</w:t>
            </w:r>
          </w:p>
        </w:tc>
      </w:tr>
    </w:tbl>
    <w:p w:rsidR="007F003E" w:rsidRPr="00F30209" w:rsidRDefault="007F003E" w:rsidP="00152283">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hint="eastAsia"/>
          <w:sz w:val="21"/>
          <w:szCs w:val="21"/>
        </w:rPr>
        <w:t>二</w:t>
      </w:r>
      <w:r w:rsidR="00F30209" w:rsidRPr="00F30209">
        <w:rPr>
          <w:rStyle w:val="HTML"/>
          <w:rFonts w:asciiTheme="minorEastAsia" w:eastAsiaTheme="minorEastAsia" w:hAnsiTheme="minorEastAsia" w:cs="Arial Unicode MS"/>
          <w:sz w:val="21"/>
          <w:szCs w:val="21"/>
        </w:rPr>
        <w:t>、</w:t>
      </w:r>
      <w:r w:rsidR="00F30209" w:rsidRPr="00F30209">
        <w:rPr>
          <w:rStyle w:val="HTML"/>
          <w:rFonts w:asciiTheme="minorEastAsia" w:eastAsiaTheme="minorEastAsia" w:hAnsiTheme="minorEastAsia" w:cs="Arial Unicode MS" w:hint="eastAsia"/>
          <w:sz w:val="21"/>
          <w:szCs w:val="21"/>
        </w:rPr>
        <w:t>调整</w:t>
      </w:r>
      <w:r w:rsidR="00F30209" w:rsidRPr="00F30209">
        <w:rPr>
          <w:rStyle w:val="HTML"/>
          <w:rFonts w:asciiTheme="minorEastAsia" w:eastAsiaTheme="minorEastAsia" w:hAnsiTheme="minorEastAsia" w:cs="Arial Unicode MS"/>
          <w:sz w:val="21"/>
          <w:szCs w:val="21"/>
        </w:rPr>
        <w:t>内容</w:t>
      </w:r>
    </w:p>
    <w:p w:rsidR="007F003E" w:rsidRPr="00F30209" w:rsidRDefault="00F30209"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Fonts w:asciiTheme="minorEastAsia" w:eastAsiaTheme="minorEastAsia" w:hAnsiTheme="minorEastAsia" w:hint="eastAsia"/>
          <w:szCs w:val="21"/>
        </w:rPr>
        <w:t>自</w:t>
      </w:r>
      <w:r w:rsidR="00152283">
        <w:rPr>
          <w:rFonts w:asciiTheme="minorEastAsia" w:eastAsiaTheme="minorEastAsia" w:hAnsiTheme="minorEastAsia" w:hint="eastAsia"/>
          <w:szCs w:val="21"/>
        </w:rPr>
        <w:t>2020</w:t>
      </w:r>
      <w:r w:rsidRPr="00F30209">
        <w:rPr>
          <w:rFonts w:asciiTheme="minorEastAsia" w:eastAsiaTheme="minorEastAsia" w:hAnsiTheme="minorEastAsia" w:hint="eastAsia"/>
          <w:szCs w:val="21"/>
        </w:rPr>
        <w:t>年</w:t>
      </w:r>
      <w:r w:rsidR="00152283">
        <w:rPr>
          <w:rFonts w:asciiTheme="minorEastAsia" w:eastAsiaTheme="minorEastAsia" w:hAnsiTheme="minorEastAsia"/>
          <w:szCs w:val="21"/>
        </w:rPr>
        <w:t>6</w:t>
      </w:r>
      <w:r w:rsidRPr="00F30209">
        <w:rPr>
          <w:rFonts w:asciiTheme="minorEastAsia" w:eastAsiaTheme="minorEastAsia" w:hAnsiTheme="minorEastAsia" w:hint="eastAsia"/>
          <w:szCs w:val="21"/>
        </w:rPr>
        <w:t>月</w:t>
      </w:r>
      <w:r w:rsidR="00152283">
        <w:rPr>
          <w:rFonts w:asciiTheme="minorEastAsia" w:eastAsiaTheme="minorEastAsia" w:hAnsiTheme="minorEastAsia"/>
          <w:szCs w:val="21"/>
        </w:rPr>
        <w:t>4</w:t>
      </w:r>
      <w:r w:rsidRPr="00F30209">
        <w:rPr>
          <w:rFonts w:asciiTheme="minorEastAsia" w:eastAsiaTheme="minorEastAsia" w:hAnsiTheme="minorEastAsia" w:hint="eastAsia"/>
          <w:szCs w:val="21"/>
        </w:rPr>
        <w:t>日起，招商银行对</w:t>
      </w:r>
      <w:r>
        <w:rPr>
          <w:rFonts w:asciiTheme="minorEastAsia" w:eastAsiaTheme="minorEastAsia" w:hAnsiTheme="minorEastAsia" w:hint="eastAsia"/>
          <w:szCs w:val="21"/>
        </w:rPr>
        <w:t>上述</w:t>
      </w:r>
      <w:r>
        <w:rPr>
          <w:rFonts w:asciiTheme="minorEastAsia" w:eastAsiaTheme="minorEastAsia" w:hAnsiTheme="minorEastAsia"/>
          <w:szCs w:val="21"/>
        </w:rPr>
        <w:t>基金</w:t>
      </w:r>
      <w:r w:rsidR="00E70330">
        <w:rPr>
          <w:rFonts w:asciiTheme="minorEastAsia" w:eastAsiaTheme="minorEastAsia" w:hAnsiTheme="minorEastAsia" w:hint="eastAsia"/>
          <w:szCs w:val="21"/>
        </w:rPr>
        <w:t>定期定额投资</w:t>
      </w:r>
      <w:r w:rsidRPr="00F30209">
        <w:rPr>
          <w:rFonts w:asciiTheme="minorEastAsia" w:eastAsiaTheme="minorEastAsia" w:hAnsiTheme="minorEastAsia" w:hint="eastAsia"/>
          <w:szCs w:val="21"/>
        </w:rPr>
        <w:t>最低金额调整为1</w:t>
      </w:r>
      <w:r w:rsidR="00E70330">
        <w:rPr>
          <w:rFonts w:asciiTheme="minorEastAsia" w:eastAsiaTheme="minorEastAsia" w:hAnsiTheme="minorEastAsia" w:hint="eastAsia"/>
          <w:szCs w:val="21"/>
        </w:rPr>
        <w:t>0</w:t>
      </w:r>
      <w:r w:rsidRPr="00F30209">
        <w:rPr>
          <w:rFonts w:asciiTheme="minorEastAsia" w:eastAsiaTheme="minorEastAsia" w:hAnsiTheme="minorEastAsia" w:hint="eastAsia"/>
          <w:szCs w:val="21"/>
        </w:rPr>
        <w:t>元，具体业务规则请参考招商银行的相关规定。</w:t>
      </w:r>
    </w:p>
    <w:p w:rsidR="007F003E" w:rsidRPr="00F30209" w:rsidRDefault="00F30209"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hint="eastAsia"/>
          <w:sz w:val="21"/>
          <w:szCs w:val="21"/>
        </w:rPr>
        <w:t>三</w:t>
      </w:r>
      <w:r w:rsidR="007F003E" w:rsidRPr="00F30209">
        <w:rPr>
          <w:rStyle w:val="HTML"/>
          <w:rFonts w:asciiTheme="minorEastAsia" w:eastAsiaTheme="minorEastAsia" w:hAnsiTheme="minorEastAsia" w:cs="Arial Unicode MS" w:hint="eastAsia"/>
          <w:sz w:val="21"/>
          <w:szCs w:val="21"/>
        </w:rPr>
        <w:t>、重要提示</w:t>
      </w:r>
    </w:p>
    <w:p w:rsidR="007F003E" w:rsidRPr="00F30209" w:rsidRDefault="007F003E"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hint="eastAsia"/>
          <w:sz w:val="21"/>
          <w:szCs w:val="21"/>
        </w:rPr>
        <w:t>1</w:t>
      </w:r>
      <w:r w:rsidRPr="00F30209">
        <w:rPr>
          <w:rFonts w:asciiTheme="minorEastAsia" w:eastAsiaTheme="minorEastAsia" w:hAnsiTheme="minorEastAsia" w:hint="eastAsia"/>
          <w:szCs w:val="21"/>
        </w:rPr>
        <w:t>.</w:t>
      </w:r>
      <w:r w:rsidR="00F30209" w:rsidRPr="00F30209">
        <w:rPr>
          <w:rStyle w:val="HTML"/>
          <w:rFonts w:asciiTheme="minorEastAsia" w:eastAsiaTheme="minorEastAsia" w:hAnsiTheme="minorEastAsia" w:cs="Arial Unicode MS"/>
          <w:sz w:val="21"/>
          <w:szCs w:val="21"/>
        </w:rPr>
        <w:t>若今后</w:t>
      </w:r>
      <w:r w:rsidR="00F30209" w:rsidRPr="00F30209">
        <w:rPr>
          <w:rStyle w:val="HTML"/>
          <w:rFonts w:asciiTheme="minorEastAsia" w:eastAsiaTheme="minorEastAsia" w:hAnsiTheme="minorEastAsia" w:cs="Arial Unicode MS" w:hint="eastAsia"/>
          <w:sz w:val="21"/>
          <w:szCs w:val="21"/>
        </w:rPr>
        <w:t>招商银行依据法律法规及基金相关法律文件对定期定额投资起点金额进行调整，在不低于本公司对各基金设定的定期定额投资起点金额的前提下，以招商银行最新规定为准。</w:t>
      </w:r>
    </w:p>
    <w:p w:rsidR="002A41D6" w:rsidRPr="0035696D" w:rsidRDefault="002A41D6" w:rsidP="007F003E">
      <w:pPr>
        <w:spacing w:line="360" w:lineRule="auto"/>
        <w:ind w:firstLineChars="200" w:firstLine="420"/>
        <w:jc w:val="left"/>
        <w:rPr>
          <w:rStyle w:val="HTML"/>
          <w:rFonts w:asciiTheme="minorEastAsia" w:eastAsiaTheme="minorEastAsia" w:hAnsiTheme="minorEastAsia" w:cs="Arial Unicode MS"/>
          <w:sz w:val="21"/>
          <w:szCs w:val="21"/>
        </w:rPr>
      </w:pPr>
      <w:r w:rsidRPr="0035696D">
        <w:rPr>
          <w:rStyle w:val="HTML"/>
          <w:rFonts w:asciiTheme="minorEastAsia" w:eastAsiaTheme="minorEastAsia" w:hAnsiTheme="minorEastAsia" w:cs="Arial Unicode MS"/>
          <w:sz w:val="21"/>
          <w:szCs w:val="21"/>
        </w:rPr>
        <w:t>2.上述</w:t>
      </w:r>
      <w:r w:rsidRPr="0035696D">
        <w:rPr>
          <w:rStyle w:val="HTML"/>
          <w:rFonts w:asciiTheme="minorEastAsia" w:eastAsiaTheme="minorEastAsia" w:hAnsiTheme="minorEastAsia" w:cs="Arial Unicode MS" w:hint="eastAsia"/>
          <w:sz w:val="21"/>
          <w:szCs w:val="21"/>
        </w:rPr>
        <w:t>基金最新交易状态请关注本公司相关公告。</w:t>
      </w:r>
    </w:p>
    <w:p w:rsidR="007F003E" w:rsidRPr="00F30209" w:rsidRDefault="002A41D6" w:rsidP="007F003E">
      <w:pPr>
        <w:spacing w:line="360" w:lineRule="auto"/>
        <w:ind w:firstLineChars="200" w:firstLine="420"/>
        <w:jc w:val="left"/>
        <w:rPr>
          <w:rStyle w:val="HTML"/>
          <w:rFonts w:asciiTheme="minorEastAsia" w:eastAsiaTheme="minorEastAsia" w:hAnsiTheme="minorEastAsia" w:cs="Arial Unicode MS"/>
          <w:sz w:val="21"/>
          <w:szCs w:val="21"/>
        </w:rPr>
      </w:pPr>
      <w:r>
        <w:rPr>
          <w:rFonts w:asciiTheme="minorEastAsia" w:eastAsiaTheme="minorEastAsia" w:hAnsiTheme="minorEastAsia" w:cs="宋体"/>
          <w:kern w:val="0"/>
          <w:szCs w:val="21"/>
        </w:rPr>
        <w:t>3</w:t>
      </w:r>
      <w:r w:rsidR="007F003E" w:rsidRPr="00F30209">
        <w:rPr>
          <w:rFonts w:asciiTheme="minorEastAsia" w:eastAsiaTheme="minorEastAsia" w:hAnsiTheme="minorEastAsia" w:cs="宋体"/>
          <w:kern w:val="0"/>
          <w:szCs w:val="21"/>
        </w:rPr>
        <w:t>.</w:t>
      </w:r>
      <w:r w:rsidR="007F003E" w:rsidRPr="00F30209">
        <w:rPr>
          <w:rStyle w:val="HTML"/>
          <w:rFonts w:asciiTheme="minorEastAsia" w:eastAsiaTheme="minorEastAsia" w:hAnsiTheme="minorEastAsia" w:cs="Arial Unicode MS" w:hint="eastAsia"/>
          <w:sz w:val="21"/>
          <w:szCs w:val="21"/>
        </w:rPr>
        <w:t>本公告的解释权归易方达基金管理有限公司所有。</w:t>
      </w:r>
    </w:p>
    <w:p w:rsidR="007F003E" w:rsidRPr="0037524A" w:rsidRDefault="0037524A" w:rsidP="0037524A">
      <w:pPr>
        <w:spacing w:line="360" w:lineRule="auto"/>
        <w:ind w:firstLineChars="200" w:firstLine="420"/>
        <w:jc w:val="left"/>
        <w:rPr>
          <w:rStyle w:val="HTML"/>
          <w:rFonts w:asciiTheme="minorEastAsia" w:eastAsiaTheme="minorEastAsia" w:hAnsiTheme="minorEastAsia" w:cs="Arial Unicode MS"/>
          <w:sz w:val="21"/>
          <w:szCs w:val="21"/>
        </w:rPr>
      </w:pPr>
      <w:r>
        <w:rPr>
          <w:rStyle w:val="HTML"/>
          <w:rFonts w:asciiTheme="minorEastAsia" w:eastAsiaTheme="minorEastAsia" w:hAnsiTheme="minorEastAsia" w:cs="Arial Unicode MS" w:hint="eastAsia"/>
          <w:sz w:val="21"/>
          <w:szCs w:val="21"/>
        </w:rPr>
        <w:t>四</w:t>
      </w:r>
      <w:r>
        <w:rPr>
          <w:rStyle w:val="HTML"/>
          <w:rFonts w:asciiTheme="minorEastAsia" w:eastAsiaTheme="minorEastAsia" w:hAnsiTheme="minorEastAsia" w:cs="Arial Unicode MS"/>
          <w:sz w:val="21"/>
          <w:szCs w:val="21"/>
        </w:rPr>
        <w:t>、</w:t>
      </w:r>
      <w:r w:rsidR="007F003E" w:rsidRPr="0037524A">
        <w:rPr>
          <w:rStyle w:val="HTML"/>
          <w:rFonts w:asciiTheme="minorEastAsia" w:eastAsiaTheme="minorEastAsia" w:hAnsiTheme="minorEastAsia" w:cs="Arial Unicode MS"/>
          <w:sz w:val="21"/>
          <w:szCs w:val="21"/>
        </w:rPr>
        <w:t>投资者可通过以下途径咨询有关详情</w:t>
      </w:r>
    </w:p>
    <w:p w:rsidR="007F003E" w:rsidRPr="00F30209" w:rsidRDefault="007F003E" w:rsidP="007F003E">
      <w:pPr>
        <w:spacing w:line="360" w:lineRule="auto"/>
        <w:ind w:firstLineChars="200" w:firstLine="420"/>
        <w:jc w:val="left"/>
        <w:rPr>
          <w:rFonts w:asciiTheme="minorEastAsia" w:eastAsiaTheme="minorEastAsia" w:hAnsiTheme="minorEastAsia" w:cs="Arial Unicode MS"/>
          <w:szCs w:val="21"/>
        </w:rPr>
      </w:pPr>
      <w:r w:rsidRPr="00F30209">
        <w:rPr>
          <w:rFonts w:asciiTheme="minorEastAsia" w:eastAsiaTheme="minorEastAsia" w:hAnsiTheme="minorEastAsia" w:cs="Arial Unicode MS" w:hint="eastAsia"/>
          <w:szCs w:val="21"/>
        </w:rPr>
        <w:t>1</w:t>
      </w:r>
      <w:r w:rsidRPr="00F30209">
        <w:rPr>
          <w:rFonts w:asciiTheme="minorEastAsia" w:eastAsiaTheme="minorEastAsia" w:hAnsiTheme="minorEastAsia" w:cs="Arial Unicode MS"/>
          <w:szCs w:val="21"/>
        </w:rPr>
        <w:t>.</w:t>
      </w:r>
      <w:r w:rsidR="00F30209" w:rsidRPr="00F30209">
        <w:rPr>
          <w:rFonts w:asciiTheme="minorEastAsia" w:eastAsiaTheme="minorEastAsia" w:hAnsiTheme="minorEastAsia" w:cs="Arial Unicode MS" w:hint="eastAsia"/>
          <w:szCs w:val="21"/>
        </w:rPr>
        <w:t>招商银行</w:t>
      </w:r>
    </w:p>
    <w:p w:rsidR="00152283" w:rsidRPr="00152283" w:rsidRDefault="00152283" w:rsidP="00152283">
      <w:pPr>
        <w:spacing w:line="360" w:lineRule="auto"/>
        <w:ind w:firstLineChars="200" w:firstLine="420"/>
        <w:jc w:val="left"/>
        <w:rPr>
          <w:rStyle w:val="HTML"/>
          <w:rFonts w:asciiTheme="minorEastAsia" w:eastAsiaTheme="minorEastAsia" w:hAnsiTheme="minorEastAsia" w:cs="Arial Unicode MS"/>
          <w:sz w:val="21"/>
          <w:szCs w:val="21"/>
        </w:rPr>
      </w:pPr>
      <w:r w:rsidRPr="00152283">
        <w:rPr>
          <w:rStyle w:val="HTML"/>
          <w:rFonts w:asciiTheme="minorEastAsia" w:eastAsiaTheme="minorEastAsia" w:hAnsiTheme="minorEastAsia" w:cs="Arial Unicode MS" w:hint="eastAsia"/>
          <w:sz w:val="21"/>
          <w:szCs w:val="21"/>
        </w:rPr>
        <w:t>注册地址：深圳市福田区深南大道7088号招商银行大厦</w:t>
      </w:r>
    </w:p>
    <w:p w:rsidR="00152283" w:rsidRPr="00152283" w:rsidRDefault="00152283" w:rsidP="00152283">
      <w:pPr>
        <w:spacing w:line="360" w:lineRule="auto"/>
        <w:ind w:firstLineChars="200" w:firstLine="420"/>
        <w:jc w:val="left"/>
        <w:rPr>
          <w:rStyle w:val="HTML"/>
          <w:rFonts w:asciiTheme="minorEastAsia" w:eastAsiaTheme="minorEastAsia" w:hAnsiTheme="minorEastAsia" w:cs="Arial Unicode MS"/>
          <w:sz w:val="21"/>
          <w:szCs w:val="21"/>
        </w:rPr>
      </w:pPr>
      <w:r w:rsidRPr="00152283">
        <w:rPr>
          <w:rStyle w:val="HTML"/>
          <w:rFonts w:asciiTheme="minorEastAsia" w:eastAsiaTheme="minorEastAsia" w:hAnsiTheme="minorEastAsia" w:cs="Arial Unicode MS" w:hint="eastAsia"/>
          <w:sz w:val="21"/>
          <w:szCs w:val="21"/>
        </w:rPr>
        <w:t>办公地址：深圳市福田区深南大道7088号招商银行大厦</w:t>
      </w:r>
    </w:p>
    <w:p w:rsidR="00152283" w:rsidRPr="00152283" w:rsidRDefault="00152283" w:rsidP="00152283">
      <w:pPr>
        <w:spacing w:line="360" w:lineRule="auto"/>
        <w:ind w:firstLineChars="200" w:firstLine="420"/>
        <w:jc w:val="left"/>
        <w:rPr>
          <w:rStyle w:val="HTML"/>
          <w:rFonts w:asciiTheme="minorEastAsia" w:eastAsiaTheme="minorEastAsia" w:hAnsiTheme="minorEastAsia" w:cs="Arial Unicode MS"/>
          <w:sz w:val="21"/>
          <w:szCs w:val="21"/>
        </w:rPr>
      </w:pPr>
      <w:r w:rsidRPr="00152283">
        <w:rPr>
          <w:rStyle w:val="HTML"/>
          <w:rFonts w:asciiTheme="minorEastAsia" w:eastAsiaTheme="minorEastAsia" w:hAnsiTheme="minorEastAsia" w:cs="Arial Unicode MS" w:hint="eastAsia"/>
          <w:sz w:val="21"/>
          <w:szCs w:val="21"/>
        </w:rPr>
        <w:t>法定代表人：李建红</w:t>
      </w:r>
    </w:p>
    <w:p w:rsidR="00152283" w:rsidRPr="00152283" w:rsidRDefault="00152283" w:rsidP="00152283">
      <w:pPr>
        <w:spacing w:line="360" w:lineRule="auto"/>
        <w:ind w:firstLineChars="200" w:firstLine="420"/>
        <w:jc w:val="left"/>
        <w:rPr>
          <w:rStyle w:val="HTML"/>
          <w:rFonts w:asciiTheme="minorEastAsia" w:eastAsiaTheme="minorEastAsia" w:hAnsiTheme="minorEastAsia" w:cs="Arial Unicode MS"/>
          <w:sz w:val="21"/>
          <w:szCs w:val="21"/>
        </w:rPr>
      </w:pPr>
      <w:r w:rsidRPr="00152283">
        <w:rPr>
          <w:rStyle w:val="HTML"/>
          <w:rFonts w:asciiTheme="minorEastAsia" w:eastAsiaTheme="minorEastAsia" w:hAnsiTheme="minorEastAsia" w:cs="Arial Unicode MS" w:hint="eastAsia"/>
          <w:sz w:val="21"/>
          <w:szCs w:val="21"/>
        </w:rPr>
        <w:t xml:space="preserve">联系人：季平伟 </w:t>
      </w:r>
    </w:p>
    <w:p w:rsidR="00152283" w:rsidRPr="00152283" w:rsidRDefault="00152283" w:rsidP="00152283">
      <w:pPr>
        <w:spacing w:line="360" w:lineRule="auto"/>
        <w:ind w:firstLineChars="200" w:firstLine="420"/>
        <w:jc w:val="left"/>
        <w:rPr>
          <w:rStyle w:val="HTML"/>
          <w:rFonts w:asciiTheme="minorEastAsia" w:eastAsiaTheme="minorEastAsia" w:hAnsiTheme="minorEastAsia" w:cs="Arial Unicode MS"/>
          <w:sz w:val="21"/>
          <w:szCs w:val="21"/>
        </w:rPr>
      </w:pPr>
      <w:r w:rsidRPr="00152283">
        <w:rPr>
          <w:rStyle w:val="HTML"/>
          <w:rFonts w:asciiTheme="minorEastAsia" w:eastAsiaTheme="minorEastAsia" w:hAnsiTheme="minorEastAsia" w:cs="Arial Unicode MS" w:hint="eastAsia"/>
          <w:sz w:val="21"/>
          <w:szCs w:val="21"/>
        </w:rPr>
        <w:t>客户服务电话：95555</w:t>
      </w:r>
    </w:p>
    <w:p w:rsidR="00152283" w:rsidRDefault="00152283" w:rsidP="00152283">
      <w:pPr>
        <w:spacing w:line="360" w:lineRule="auto"/>
        <w:ind w:firstLineChars="200" w:firstLine="420"/>
        <w:jc w:val="left"/>
        <w:rPr>
          <w:rStyle w:val="HTML"/>
          <w:rFonts w:asciiTheme="minorEastAsia" w:eastAsiaTheme="minorEastAsia" w:hAnsiTheme="minorEastAsia" w:cs="Arial Unicode MS"/>
          <w:sz w:val="21"/>
          <w:szCs w:val="21"/>
        </w:rPr>
      </w:pPr>
      <w:r w:rsidRPr="00152283">
        <w:rPr>
          <w:rStyle w:val="HTML"/>
          <w:rFonts w:asciiTheme="minorEastAsia" w:eastAsiaTheme="minorEastAsia" w:hAnsiTheme="minorEastAsia" w:cs="Arial Unicode MS" w:hint="eastAsia"/>
          <w:sz w:val="21"/>
          <w:szCs w:val="21"/>
        </w:rPr>
        <w:t>网址：</w:t>
      </w:r>
      <w:hyperlink r:id="rId8" w:history="1">
        <w:r w:rsidRPr="006D5AFA">
          <w:rPr>
            <w:rStyle w:val="a3"/>
            <w:rFonts w:asciiTheme="minorEastAsia" w:eastAsiaTheme="minorEastAsia" w:hAnsiTheme="minorEastAsia" w:cs="Arial Unicode MS" w:hint="eastAsia"/>
            <w:szCs w:val="21"/>
          </w:rPr>
          <w:t>www.cmbchina.com</w:t>
        </w:r>
      </w:hyperlink>
    </w:p>
    <w:p w:rsidR="007F003E" w:rsidRPr="00F30209" w:rsidRDefault="007F003E" w:rsidP="00152283">
      <w:pPr>
        <w:spacing w:line="360" w:lineRule="auto"/>
        <w:ind w:firstLineChars="200" w:firstLine="420"/>
        <w:jc w:val="left"/>
        <w:rPr>
          <w:rFonts w:asciiTheme="minorEastAsia" w:eastAsiaTheme="minorEastAsia" w:hAnsiTheme="minorEastAsia" w:cs="Arial Unicode MS"/>
          <w:szCs w:val="21"/>
        </w:rPr>
      </w:pPr>
      <w:r w:rsidRPr="00F30209">
        <w:rPr>
          <w:rFonts w:asciiTheme="minorEastAsia" w:eastAsiaTheme="minorEastAsia" w:hAnsiTheme="minorEastAsia" w:cs="Arial Unicode MS" w:hint="eastAsia"/>
          <w:szCs w:val="21"/>
        </w:rPr>
        <w:t>2.易方达基金管理有限公司</w:t>
      </w:r>
    </w:p>
    <w:p w:rsidR="007F003E" w:rsidRPr="00F30209" w:rsidRDefault="007F003E" w:rsidP="007F003E">
      <w:pPr>
        <w:spacing w:line="360" w:lineRule="auto"/>
        <w:ind w:firstLineChars="200" w:firstLine="420"/>
        <w:jc w:val="left"/>
        <w:rPr>
          <w:rFonts w:asciiTheme="minorEastAsia" w:eastAsiaTheme="minorEastAsia" w:hAnsiTheme="minorEastAsia" w:cs="Arial Unicode MS"/>
          <w:szCs w:val="21"/>
        </w:rPr>
      </w:pPr>
      <w:r w:rsidRPr="00F30209">
        <w:rPr>
          <w:rStyle w:val="HTML"/>
          <w:rFonts w:asciiTheme="minorEastAsia" w:eastAsiaTheme="minorEastAsia" w:hAnsiTheme="minorEastAsia" w:cs="Arial Unicode MS"/>
          <w:sz w:val="21"/>
          <w:szCs w:val="21"/>
        </w:rPr>
        <w:t>客户服务电话：400-881-8088</w:t>
      </w:r>
    </w:p>
    <w:p w:rsidR="007F003E" w:rsidRPr="00F30209" w:rsidRDefault="007F003E"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sz w:val="21"/>
          <w:szCs w:val="21"/>
        </w:rPr>
        <w:t>网址：</w:t>
      </w:r>
      <w:hyperlink r:id="rId9" w:history="1">
        <w:r w:rsidRPr="00F30209">
          <w:rPr>
            <w:rStyle w:val="a3"/>
            <w:rFonts w:asciiTheme="minorEastAsia" w:eastAsiaTheme="minorEastAsia" w:hAnsiTheme="minorEastAsia" w:cs="Arial Unicode MS" w:hint="eastAsia"/>
            <w:szCs w:val="21"/>
          </w:rPr>
          <w:t>www.efunds.com.cn</w:t>
        </w:r>
      </w:hyperlink>
    </w:p>
    <w:p w:rsidR="00152283" w:rsidRDefault="007F003E" w:rsidP="007F003E">
      <w:pPr>
        <w:spacing w:line="360" w:lineRule="auto"/>
        <w:ind w:firstLineChars="200" w:firstLine="420"/>
        <w:jc w:val="left"/>
        <w:rPr>
          <w:rFonts w:asciiTheme="minorEastAsia" w:eastAsiaTheme="minorEastAsia" w:hAnsiTheme="minorEastAsia" w:cs="Arial Unicode MS"/>
          <w:szCs w:val="21"/>
        </w:rPr>
      </w:pPr>
      <w:r w:rsidRPr="00F30209">
        <w:rPr>
          <w:rFonts w:asciiTheme="minorEastAsia" w:eastAsiaTheme="minorEastAsia" w:hAnsiTheme="minorEastAsia" w:cs="Arial Unicode MS" w:hint="eastAsia"/>
          <w:szCs w:val="21"/>
        </w:rPr>
        <w:t>风险提示：</w:t>
      </w:r>
      <w:r w:rsidR="00152283" w:rsidRPr="00152283">
        <w:rPr>
          <w:rFonts w:asciiTheme="minorEastAsia" w:eastAsiaTheme="minorEastAsia" w:hAnsiTheme="minorEastAsia" w:cs="Arial Unicode MS" w:hint="eastAsia"/>
          <w:szCs w:val="21"/>
        </w:rPr>
        <w:t>基金管理人承诺以诚实信用、勤勉尽责的原则管理和运用基金资产，但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7F003E" w:rsidRPr="00F30209" w:rsidRDefault="007F003E" w:rsidP="007F003E">
      <w:pPr>
        <w:spacing w:line="360" w:lineRule="auto"/>
        <w:ind w:firstLineChars="200" w:firstLine="420"/>
        <w:jc w:val="lef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sz w:val="21"/>
          <w:szCs w:val="21"/>
        </w:rPr>
        <w:t>特此公告。</w:t>
      </w:r>
    </w:p>
    <w:p w:rsidR="007F003E" w:rsidRPr="00F30209" w:rsidRDefault="007F003E" w:rsidP="00AC4D43">
      <w:pPr>
        <w:spacing w:line="360" w:lineRule="auto"/>
        <w:ind w:firstLineChars="200" w:firstLine="420"/>
        <w:jc w:val="right"/>
        <w:rPr>
          <w:rStyle w:val="HTML"/>
          <w:rFonts w:asciiTheme="minorEastAsia" w:eastAsiaTheme="minorEastAsia" w:hAnsiTheme="minorEastAsia" w:cs="Arial Unicode MS"/>
          <w:sz w:val="21"/>
          <w:szCs w:val="21"/>
        </w:rPr>
      </w:pPr>
      <w:r w:rsidRPr="00F30209">
        <w:rPr>
          <w:rStyle w:val="HTML"/>
          <w:rFonts w:asciiTheme="minorEastAsia" w:eastAsiaTheme="minorEastAsia" w:hAnsiTheme="minorEastAsia" w:cs="Arial Unicode MS"/>
          <w:sz w:val="21"/>
          <w:szCs w:val="21"/>
        </w:rPr>
        <w:t>易方达基金管理有限公司</w:t>
      </w:r>
    </w:p>
    <w:p w:rsidR="00AA530C" w:rsidRDefault="00152283" w:rsidP="00AC4D43">
      <w:pPr>
        <w:spacing w:line="360" w:lineRule="auto"/>
        <w:ind w:firstLineChars="200" w:firstLine="420"/>
        <w:jc w:val="right"/>
      </w:pPr>
      <w:r>
        <w:rPr>
          <w:rStyle w:val="HTML"/>
          <w:rFonts w:asciiTheme="minorEastAsia" w:eastAsiaTheme="minorEastAsia" w:hAnsiTheme="minorEastAsia" w:cs="Arial Unicode MS"/>
          <w:sz w:val="21"/>
          <w:szCs w:val="21"/>
        </w:rPr>
        <w:t>2020</w:t>
      </w:r>
      <w:r w:rsidR="007F003E" w:rsidRPr="00F30209">
        <w:rPr>
          <w:rStyle w:val="HTML"/>
          <w:rFonts w:asciiTheme="minorEastAsia" w:eastAsiaTheme="minorEastAsia" w:hAnsiTheme="minorEastAsia" w:cs="Arial Unicode MS"/>
          <w:sz w:val="21"/>
          <w:szCs w:val="21"/>
        </w:rPr>
        <w:t>年</w:t>
      </w:r>
      <w:r>
        <w:rPr>
          <w:rStyle w:val="HTML"/>
          <w:rFonts w:asciiTheme="minorEastAsia" w:eastAsiaTheme="minorEastAsia" w:hAnsiTheme="minorEastAsia" w:cs="Arial Unicode MS"/>
          <w:sz w:val="21"/>
          <w:szCs w:val="21"/>
        </w:rPr>
        <w:t>6</w:t>
      </w:r>
      <w:r w:rsidR="007F003E" w:rsidRPr="00F30209">
        <w:rPr>
          <w:rStyle w:val="HTML"/>
          <w:rFonts w:asciiTheme="minorEastAsia" w:eastAsiaTheme="minorEastAsia" w:hAnsiTheme="minorEastAsia" w:cs="Arial Unicode MS"/>
          <w:sz w:val="21"/>
          <w:szCs w:val="21"/>
        </w:rPr>
        <w:t>月</w:t>
      </w:r>
      <w:r>
        <w:rPr>
          <w:rStyle w:val="HTML"/>
          <w:rFonts w:asciiTheme="minorEastAsia" w:eastAsiaTheme="minorEastAsia" w:hAnsiTheme="minorEastAsia" w:cs="Arial Unicode MS"/>
          <w:sz w:val="21"/>
          <w:szCs w:val="21"/>
        </w:rPr>
        <w:t>4</w:t>
      </w:r>
      <w:r w:rsidR="007F003E" w:rsidRPr="00F30209">
        <w:rPr>
          <w:rStyle w:val="HTML"/>
          <w:rFonts w:asciiTheme="minorEastAsia" w:eastAsiaTheme="minorEastAsia" w:hAnsiTheme="minorEastAsia" w:cs="Arial Unicode MS"/>
          <w:sz w:val="21"/>
          <w:szCs w:val="21"/>
        </w:rPr>
        <w:t>日</w:t>
      </w:r>
    </w:p>
    <w:sectPr w:rsidR="00AA530C" w:rsidSect="0018122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46" w:rsidRDefault="00C75346" w:rsidP="00F30209">
      <w:r>
        <w:separator/>
      </w:r>
    </w:p>
  </w:endnote>
  <w:endnote w:type="continuationSeparator" w:id="1">
    <w:p w:rsidR="00C75346" w:rsidRDefault="00C75346" w:rsidP="00F30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46" w:rsidRDefault="00C75346" w:rsidP="00F30209">
      <w:r>
        <w:separator/>
      </w:r>
    </w:p>
  </w:footnote>
  <w:footnote w:type="continuationSeparator" w:id="1">
    <w:p w:rsidR="00C75346" w:rsidRDefault="00C75346" w:rsidP="00F30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E7B"/>
    <w:multiLevelType w:val="hybridMultilevel"/>
    <w:tmpl w:val="10EEB8B6"/>
    <w:lvl w:ilvl="0" w:tplc="A28092EC">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8019E"/>
    <w:multiLevelType w:val="hybridMultilevel"/>
    <w:tmpl w:val="F5A2D042"/>
    <w:lvl w:ilvl="0" w:tplc="05F6085C">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A297AF7"/>
    <w:multiLevelType w:val="hybridMultilevel"/>
    <w:tmpl w:val="6B94918E"/>
    <w:lvl w:ilvl="0" w:tplc="C6402A4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4F72DF0"/>
    <w:multiLevelType w:val="hybridMultilevel"/>
    <w:tmpl w:val="2E7483AA"/>
    <w:lvl w:ilvl="0" w:tplc="F4CE02C2">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D35"/>
    <w:rsid w:val="00030F12"/>
    <w:rsid w:val="0008600F"/>
    <w:rsid w:val="001100E8"/>
    <w:rsid w:val="00122D35"/>
    <w:rsid w:val="00152283"/>
    <w:rsid w:val="00207396"/>
    <w:rsid w:val="002A41D6"/>
    <w:rsid w:val="002E6E0A"/>
    <w:rsid w:val="0035696D"/>
    <w:rsid w:val="00357C2D"/>
    <w:rsid w:val="0037524A"/>
    <w:rsid w:val="00431939"/>
    <w:rsid w:val="00474901"/>
    <w:rsid w:val="006B75C5"/>
    <w:rsid w:val="006C68FA"/>
    <w:rsid w:val="007300E7"/>
    <w:rsid w:val="007643F8"/>
    <w:rsid w:val="007E6BB6"/>
    <w:rsid w:val="007F003E"/>
    <w:rsid w:val="00AA530C"/>
    <w:rsid w:val="00AC4D43"/>
    <w:rsid w:val="00B270CA"/>
    <w:rsid w:val="00C15164"/>
    <w:rsid w:val="00C75346"/>
    <w:rsid w:val="00CB5127"/>
    <w:rsid w:val="00E70330"/>
    <w:rsid w:val="00F30209"/>
    <w:rsid w:val="00F50A2B"/>
    <w:rsid w:val="00FE4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03E"/>
    <w:rPr>
      <w:strike w:val="0"/>
      <w:dstrike w:val="0"/>
      <w:color w:val="000000"/>
      <w:u w:val="none"/>
    </w:rPr>
  </w:style>
  <w:style w:type="character" w:styleId="HTML">
    <w:name w:val="HTML Typewriter"/>
    <w:uiPriority w:val="99"/>
    <w:qFormat/>
    <w:rsid w:val="007F003E"/>
    <w:rPr>
      <w:rFonts w:ascii="宋体" w:eastAsia="宋体" w:hAnsi="宋体" w:cs="宋体"/>
      <w:sz w:val="24"/>
      <w:szCs w:val="24"/>
    </w:rPr>
  </w:style>
  <w:style w:type="paragraph" w:styleId="a4">
    <w:name w:val="List Paragraph"/>
    <w:basedOn w:val="a"/>
    <w:qFormat/>
    <w:rsid w:val="007F003E"/>
    <w:pPr>
      <w:ind w:firstLine="420"/>
    </w:pPr>
  </w:style>
  <w:style w:type="paragraph" w:styleId="a5">
    <w:name w:val="header"/>
    <w:basedOn w:val="a"/>
    <w:link w:val="Char"/>
    <w:uiPriority w:val="99"/>
    <w:unhideWhenUsed/>
    <w:rsid w:val="00F30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0209"/>
    <w:rPr>
      <w:rFonts w:ascii="Times New Roman" w:eastAsia="宋体" w:hAnsi="Times New Roman" w:cs="Times New Roman"/>
      <w:sz w:val="18"/>
      <w:szCs w:val="18"/>
    </w:rPr>
  </w:style>
  <w:style w:type="paragraph" w:styleId="a6">
    <w:name w:val="footer"/>
    <w:basedOn w:val="a"/>
    <w:link w:val="Char0"/>
    <w:uiPriority w:val="99"/>
    <w:unhideWhenUsed/>
    <w:rsid w:val="00F30209"/>
    <w:pPr>
      <w:tabs>
        <w:tab w:val="center" w:pos="4153"/>
        <w:tab w:val="right" w:pos="8306"/>
      </w:tabs>
      <w:snapToGrid w:val="0"/>
      <w:jc w:val="left"/>
    </w:pPr>
    <w:rPr>
      <w:sz w:val="18"/>
      <w:szCs w:val="18"/>
    </w:rPr>
  </w:style>
  <w:style w:type="character" w:customStyle="1" w:styleId="Char0">
    <w:name w:val="页脚 Char"/>
    <w:basedOn w:val="a0"/>
    <w:link w:val="a6"/>
    <w:uiPriority w:val="99"/>
    <w:rsid w:val="00F30209"/>
    <w:rPr>
      <w:rFonts w:ascii="Times New Roman" w:eastAsia="宋体" w:hAnsi="Times New Roman" w:cs="Times New Roman"/>
      <w:sz w:val="18"/>
      <w:szCs w:val="18"/>
    </w:rPr>
  </w:style>
  <w:style w:type="paragraph" w:styleId="a7">
    <w:name w:val="Balloon Text"/>
    <w:basedOn w:val="a"/>
    <w:link w:val="Char1"/>
    <w:uiPriority w:val="99"/>
    <w:semiHidden/>
    <w:unhideWhenUsed/>
    <w:rsid w:val="002A41D6"/>
    <w:rPr>
      <w:sz w:val="18"/>
      <w:szCs w:val="18"/>
    </w:rPr>
  </w:style>
  <w:style w:type="character" w:customStyle="1" w:styleId="Char1">
    <w:name w:val="批注框文本 Char"/>
    <w:basedOn w:val="a0"/>
    <w:link w:val="a7"/>
    <w:uiPriority w:val="99"/>
    <w:semiHidden/>
    <w:rsid w:val="002A41D6"/>
    <w:rPr>
      <w:rFonts w:ascii="Times New Roman" w:eastAsia="宋体" w:hAnsi="Times New Roman" w:cs="Times New Roman"/>
      <w:sz w:val="18"/>
      <w:szCs w:val="18"/>
    </w:rPr>
  </w:style>
  <w:style w:type="paragraph" w:styleId="a8">
    <w:name w:val="Revision"/>
    <w:hidden/>
    <w:uiPriority w:val="99"/>
    <w:semiHidden/>
    <w:rsid w:val="0043193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0407282">
      <w:bodyDiv w:val="1"/>
      <w:marLeft w:val="0"/>
      <w:marRight w:val="0"/>
      <w:marTop w:val="0"/>
      <w:marBottom w:val="0"/>
      <w:divBdr>
        <w:top w:val="none" w:sz="0" w:space="0" w:color="auto"/>
        <w:left w:val="none" w:sz="0" w:space="0" w:color="auto"/>
        <w:bottom w:val="none" w:sz="0" w:space="0" w:color="auto"/>
        <w:right w:val="none" w:sz="0" w:space="0" w:color="auto"/>
      </w:divBdr>
    </w:div>
    <w:div w:id="827552337">
      <w:bodyDiv w:val="1"/>
      <w:marLeft w:val="0"/>
      <w:marRight w:val="0"/>
      <w:marTop w:val="0"/>
      <w:marBottom w:val="0"/>
      <w:divBdr>
        <w:top w:val="none" w:sz="0" w:space="0" w:color="auto"/>
        <w:left w:val="none" w:sz="0" w:space="0" w:color="auto"/>
        <w:bottom w:val="none" w:sz="0" w:space="0" w:color="auto"/>
        <w:right w:val="none" w:sz="0" w:space="0" w:color="auto"/>
      </w:divBdr>
    </w:div>
    <w:div w:id="15447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und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4</DocSecurity>
  <Lines>27</Lines>
  <Paragraphs>7</Paragraphs>
  <ScaleCrop>false</ScaleCrop>
  <Company>E FUND</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JonMMx 2000</cp:lastModifiedBy>
  <cp:revision>2</cp:revision>
  <dcterms:created xsi:type="dcterms:W3CDTF">2020-06-03T16:16:00Z</dcterms:created>
  <dcterms:modified xsi:type="dcterms:W3CDTF">2020-06-03T16:16:00Z</dcterms:modified>
</cp:coreProperties>
</file>