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AE" w:rsidRDefault="00300532" w:rsidP="00300532">
      <w:pPr>
        <w:jc w:val="center"/>
        <w:rPr>
          <w:rFonts w:ascii="华文中宋" w:eastAsia="华文中宋" w:hAnsi="华文中宋" w:hint="eastAsia"/>
          <w:b/>
          <w:sz w:val="36"/>
          <w:szCs w:val="36"/>
        </w:rPr>
      </w:pPr>
      <w:r w:rsidRPr="00EE614B">
        <w:rPr>
          <w:rFonts w:ascii="华文中宋" w:eastAsia="华文中宋" w:hAnsi="华文中宋" w:hint="eastAsia"/>
          <w:b/>
          <w:sz w:val="36"/>
          <w:szCs w:val="36"/>
        </w:rPr>
        <w:t>关于</w:t>
      </w:r>
      <w:r w:rsidR="00377472">
        <w:rPr>
          <w:rFonts w:ascii="华文中宋" w:eastAsia="华文中宋" w:hAnsi="华文中宋" w:hint="eastAsia"/>
          <w:b/>
          <w:sz w:val="36"/>
          <w:szCs w:val="36"/>
        </w:rPr>
        <w:t>浙江浙商证券资产管理有限公司旗下部分基金</w:t>
      </w:r>
      <w:r w:rsidR="00843E8B" w:rsidRPr="00EE614B">
        <w:rPr>
          <w:rFonts w:ascii="华文中宋" w:eastAsia="华文中宋" w:hAnsi="华文中宋" w:hint="eastAsia"/>
          <w:b/>
          <w:sz w:val="36"/>
          <w:szCs w:val="36"/>
        </w:rPr>
        <w:t>参与</w:t>
      </w:r>
      <w:r w:rsidR="004D57B7" w:rsidRPr="004D57B7">
        <w:rPr>
          <w:rFonts w:ascii="华文中宋" w:eastAsia="华文中宋" w:hAnsi="华文中宋" w:hint="eastAsia"/>
          <w:b/>
          <w:sz w:val="36"/>
          <w:szCs w:val="36"/>
        </w:rPr>
        <w:t>北京汇成基金销售有限公司</w:t>
      </w:r>
      <w:r w:rsidR="00843E8B" w:rsidRPr="00EE614B">
        <w:rPr>
          <w:rFonts w:ascii="华文中宋" w:eastAsia="华文中宋" w:hAnsi="华文中宋" w:hint="eastAsia"/>
          <w:b/>
          <w:sz w:val="36"/>
          <w:szCs w:val="36"/>
        </w:rPr>
        <w:t>费率优惠活动</w:t>
      </w:r>
      <w:r w:rsidRPr="00EE614B">
        <w:rPr>
          <w:rFonts w:ascii="华文中宋" w:eastAsia="华文中宋" w:hAnsi="华文中宋" w:hint="eastAsia"/>
          <w:b/>
          <w:sz w:val="36"/>
          <w:szCs w:val="36"/>
        </w:rPr>
        <w:t>的公告</w:t>
      </w:r>
    </w:p>
    <w:p w:rsidR="00811E86" w:rsidRPr="00EE614B" w:rsidRDefault="00811E86" w:rsidP="00300532">
      <w:pPr>
        <w:jc w:val="center"/>
        <w:rPr>
          <w:rFonts w:ascii="华文中宋" w:eastAsia="华文中宋" w:hAnsi="华文中宋"/>
          <w:sz w:val="36"/>
          <w:szCs w:val="36"/>
        </w:rPr>
      </w:pPr>
    </w:p>
    <w:p w:rsidR="00567380" w:rsidRPr="00F93B01" w:rsidRDefault="00D438BF" w:rsidP="00EE6EE4">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为答谢广大客户长期以来给予的信任与支持，更好地满足广大投资者的理财需求，经</w:t>
      </w:r>
      <w:r w:rsidR="00A666AE" w:rsidRPr="00F93B01">
        <w:rPr>
          <w:rFonts w:ascii="仿宋_GB2312" w:eastAsia="仿宋_GB2312" w:hAnsi="仿宋" w:hint="eastAsia"/>
          <w:sz w:val="32"/>
          <w:szCs w:val="32"/>
        </w:rPr>
        <w:t>与</w:t>
      </w:r>
      <w:r w:rsidR="004D57B7">
        <w:rPr>
          <w:rFonts w:ascii="仿宋_GB2312" w:eastAsia="仿宋_GB2312" w:hAnsi="仿宋" w:hint="eastAsia"/>
          <w:sz w:val="32"/>
          <w:szCs w:val="32"/>
        </w:rPr>
        <w:t>北京汇成基金销售有限公司</w:t>
      </w:r>
      <w:r w:rsidR="00206283" w:rsidRPr="00F93B01">
        <w:rPr>
          <w:rFonts w:ascii="仿宋_GB2312" w:eastAsia="仿宋_GB2312" w:hAnsi="仿宋" w:hint="eastAsia"/>
          <w:sz w:val="32"/>
          <w:szCs w:val="32"/>
        </w:rPr>
        <w:t>（简称“</w:t>
      </w:r>
      <w:r w:rsidR="004D57B7">
        <w:rPr>
          <w:rFonts w:ascii="仿宋_GB2312" w:eastAsia="仿宋_GB2312" w:hAnsi="仿宋" w:hint="eastAsia"/>
          <w:sz w:val="32"/>
          <w:szCs w:val="32"/>
        </w:rPr>
        <w:t>汇成基金</w:t>
      </w:r>
      <w:r w:rsidR="00206283" w:rsidRPr="00F93B01">
        <w:rPr>
          <w:rFonts w:ascii="仿宋_GB2312" w:eastAsia="仿宋_GB2312" w:hAnsi="仿宋" w:hint="eastAsia"/>
          <w:sz w:val="32"/>
          <w:szCs w:val="32"/>
        </w:rPr>
        <w:t>”）</w:t>
      </w:r>
      <w:r w:rsidR="00FC6F97" w:rsidRPr="00F93B01">
        <w:rPr>
          <w:rFonts w:ascii="仿宋_GB2312" w:eastAsia="仿宋_GB2312" w:hAnsi="仿宋" w:hint="eastAsia"/>
          <w:sz w:val="32"/>
          <w:szCs w:val="32"/>
        </w:rPr>
        <w:t>协商一致</w:t>
      </w:r>
      <w:r w:rsidR="007D6C7C" w:rsidRPr="00F93B01">
        <w:rPr>
          <w:rFonts w:ascii="仿宋_GB2312" w:eastAsia="仿宋_GB2312" w:hAnsi="仿宋" w:hint="eastAsia"/>
          <w:sz w:val="32"/>
          <w:szCs w:val="32"/>
        </w:rPr>
        <w:t>，</w:t>
      </w:r>
      <w:r w:rsidR="00EE6EE4" w:rsidRPr="00073837">
        <w:rPr>
          <w:rFonts w:ascii="仿宋_GB2312" w:eastAsia="仿宋_GB2312" w:hAnsi="仿宋" w:hint="eastAsia"/>
          <w:sz w:val="32"/>
          <w:szCs w:val="32"/>
        </w:rPr>
        <w:t>浙江浙商证券资产管理有限公司（简称“本公司”</w:t>
      </w:r>
      <w:r w:rsidR="00EE6EE4" w:rsidRPr="00073837">
        <w:rPr>
          <w:rFonts w:ascii="仿宋_GB2312" w:eastAsia="仿宋_GB2312" w:hAnsi="仿宋"/>
          <w:sz w:val="32"/>
          <w:szCs w:val="32"/>
        </w:rPr>
        <w:t>）</w:t>
      </w:r>
      <w:r w:rsidR="00EE6EE4" w:rsidRPr="00073837">
        <w:rPr>
          <w:rFonts w:ascii="仿宋_GB2312" w:eastAsia="仿宋_GB2312" w:hAnsi="仿宋" w:hint="eastAsia"/>
          <w:sz w:val="32"/>
          <w:szCs w:val="32"/>
        </w:rPr>
        <w:t>旗下部分基金将于2020年6月 1日起，参与汇成基金开展的费率优惠活动</w:t>
      </w:r>
      <w:r w:rsidR="00FD5650" w:rsidRPr="00F93B01">
        <w:rPr>
          <w:rFonts w:ascii="仿宋_GB2312" w:eastAsia="仿宋_GB2312" w:hAnsi="仿宋" w:hint="eastAsia"/>
          <w:sz w:val="32"/>
          <w:szCs w:val="32"/>
        </w:rPr>
        <w:t>，</w:t>
      </w:r>
      <w:r w:rsidR="00567380" w:rsidRPr="00F93B01">
        <w:rPr>
          <w:rFonts w:ascii="仿宋_GB2312" w:eastAsia="仿宋_GB2312" w:hAnsi="仿宋" w:hint="eastAsia"/>
          <w:sz w:val="32"/>
          <w:szCs w:val="32"/>
        </w:rPr>
        <w:t>适用基金如下：</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5812"/>
      </w:tblGrid>
      <w:tr w:rsidR="00567380" w:rsidRPr="00F93B01" w:rsidTr="001B6514">
        <w:tc>
          <w:tcPr>
            <w:tcW w:w="2835" w:type="dxa"/>
          </w:tcPr>
          <w:p w:rsidR="00567380" w:rsidRPr="002C4855" w:rsidRDefault="00567380"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基金代码</w:t>
            </w:r>
          </w:p>
        </w:tc>
        <w:tc>
          <w:tcPr>
            <w:tcW w:w="5812" w:type="dxa"/>
          </w:tcPr>
          <w:p w:rsidR="00567380" w:rsidRPr="002C4855" w:rsidRDefault="00567380"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基金名称</w:t>
            </w:r>
          </w:p>
        </w:tc>
      </w:tr>
      <w:tr w:rsidR="00567380" w:rsidRPr="00F93B01" w:rsidTr="001B6514">
        <w:tc>
          <w:tcPr>
            <w:tcW w:w="2835" w:type="dxa"/>
          </w:tcPr>
          <w:p w:rsidR="00567380"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000935</w:t>
            </w:r>
          </w:p>
        </w:tc>
        <w:tc>
          <w:tcPr>
            <w:tcW w:w="5812" w:type="dxa"/>
          </w:tcPr>
          <w:p w:rsidR="00567380" w:rsidRPr="002C4855" w:rsidRDefault="00BE70C2"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浙商汇金转型成长混合型证券投资基金</w:t>
            </w:r>
          </w:p>
        </w:tc>
      </w:tr>
      <w:tr w:rsidR="00567380" w:rsidRPr="00F93B01" w:rsidTr="001B6514">
        <w:tc>
          <w:tcPr>
            <w:tcW w:w="2835" w:type="dxa"/>
          </w:tcPr>
          <w:p w:rsidR="00567380"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001540</w:t>
            </w:r>
          </w:p>
        </w:tc>
        <w:tc>
          <w:tcPr>
            <w:tcW w:w="5812" w:type="dxa"/>
          </w:tcPr>
          <w:p w:rsidR="00567380" w:rsidRPr="002C4855" w:rsidRDefault="00BE70C2"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浙商汇金转型驱动灵活配置混合型证券投资基金</w:t>
            </w:r>
          </w:p>
        </w:tc>
      </w:tr>
      <w:tr w:rsidR="00567380" w:rsidRPr="00F93B01" w:rsidTr="001B6514">
        <w:tc>
          <w:tcPr>
            <w:tcW w:w="2835" w:type="dxa"/>
          </w:tcPr>
          <w:p w:rsidR="00567380"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001604</w:t>
            </w:r>
          </w:p>
        </w:tc>
        <w:tc>
          <w:tcPr>
            <w:tcW w:w="5812" w:type="dxa"/>
          </w:tcPr>
          <w:p w:rsidR="00567380" w:rsidRPr="002C4855" w:rsidRDefault="00BE70C2"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浙商汇金转型升级灵活配置混合型证券投资基金</w:t>
            </w:r>
          </w:p>
        </w:tc>
      </w:tr>
      <w:tr w:rsidR="00567380" w:rsidRPr="00F93B01" w:rsidTr="001B6514">
        <w:tc>
          <w:tcPr>
            <w:tcW w:w="2835" w:type="dxa"/>
          </w:tcPr>
          <w:p w:rsidR="00567380"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A类002805，C类002806</w:t>
            </w:r>
          </w:p>
        </w:tc>
        <w:tc>
          <w:tcPr>
            <w:tcW w:w="5812" w:type="dxa"/>
          </w:tcPr>
          <w:p w:rsidR="00567380" w:rsidRPr="002C4855" w:rsidRDefault="00BE70C2"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浙商汇金聚利一年定期开放债券型证券投资基金</w:t>
            </w:r>
          </w:p>
        </w:tc>
      </w:tr>
      <w:tr w:rsidR="00567380" w:rsidRPr="00F93B01" w:rsidTr="001B6514">
        <w:tc>
          <w:tcPr>
            <w:tcW w:w="2835" w:type="dxa"/>
          </w:tcPr>
          <w:p w:rsidR="00567380"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003366</w:t>
            </w:r>
          </w:p>
        </w:tc>
        <w:tc>
          <w:tcPr>
            <w:tcW w:w="5812" w:type="dxa"/>
          </w:tcPr>
          <w:p w:rsidR="00567380" w:rsidRPr="002C4855" w:rsidRDefault="00BE70C2"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浙商汇金中证转型成长指数型证券投资基金</w:t>
            </w:r>
          </w:p>
        </w:tc>
      </w:tr>
      <w:tr w:rsidR="00567380" w:rsidRPr="00F93B01" w:rsidTr="001B6514">
        <w:tc>
          <w:tcPr>
            <w:tcW w:w="2835" w:type="dxa"/>
          </w:tcPr>
          <w:p w:rsidR="00567380"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A类005423， C类005424</w:t>
            </w:r>
          </w:p>
        </w:tc>
        <w:tc>
          <w:tcPr>
            <w:tcW w:w="5812" w:type="dxa"/>
          </w:tcPr>
          <w:p w:rsidR="00567380" w:rsidRPr="002C4855" w:rsidRDefault="00BE70C2" w:rsidP="003857EB">
            <w:pPr>
              <w:spacing w:line="360" w:lineRule="auto"/>
              <w:rPr>
                <w:rFonts w:ascii="仿宋_GB2312" w:eastAsia="仿宋_GB2312" w:hAnsi="仿宋" w:hint="eastAsia"/>
                <w:sz w:val="24"/>
                <w:szCs w:val="32"/>
              </w:rPr>
            </w:pPr>
            <w:r w:rsidRPr="002C4855">
              <w:rPr>
                <w:rFonts w:ascii="仿宋_GB2312" w:eastAsia="仿宋_GB2312" w:hAnsi="仿宋" w:hint="eastAsia"/>
                <w:sz w:val="24"/>
                <w:szCs w:val="32"/>
              </w:rPr>
              <w:t>浙商汇金聚禄一年定期开放债券型证券投资基金</w:t>
            </w:r>
          </w:p>
        </w:tc>
      </w:tr>
      <w:tr w:rsidR="00567380" w:rsidRPr="00F93B01" w:rsidTr="001B6514">
        <w:tc>
          <w:tcPr>
            <w:tcW w:w="2835" w:type="dxa"/>
          </w:tcPr>
          <w:p w:rsidR="00567380"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006449</w:t>
            </w:r>
          </w:p>
        </w:tc>
        <w:tc>
          <w:tcPr>
            <w:tcW w:w="5812" w:type="dxa"/>
          </w:tcPr>
          <w:p w:rsidR="00567380"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浙商汇金量化精选灵活配置混合型证券投资基金</w:t>
            </w:r>
          </w:p>
        </w:tc>
      </w:tr>
      <w:tr w:rsidR="00BE70C2" w:rsidRPr="00F93B01" w:rsidTr="001B6514">
        <w:tc>
          <w:tcPr>
            <w:tcW w:w="2835" w:type="dxa"/>
          </w:tcPr>
          <w:p w:rsidR="00BE70C2"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A类006516，E类006515</w:t>
            </w:r>
          </w:p>
        </w:tc>
        <w:tc>
          <w:tcPr>
            <w:tcW w:w="5812" w:type="dxa"/>
          </w:tcPr>
          <w:p w:rsidR="00BE70C2"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浙商汇金短债债券型证券投资基金</w:t>
            </w:r>
          </w:p>
        </w:tc>
      </w:tr>
      <w:tr w:rsidR="00BE70C2" w:rsidRPr="00F93B01" w:rsidTr="001B6514">
        <w:tc>
          <w:tcPr>
            <w:tcW w:w="2835" w:type="dxa"/>
          </w:tcPr>
          <w:p w:rsidR="00BE70C2"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A类007425, C类007442</w:t>
            </w:r>
          </w:p>
        </w:tc>
        <w:tc>
          <w:tcPr>
            <w:tcW w:w="5812" w:type="dxa"/>
          </w:tcPr>
          <w:p w:rsidR="00BE70C2"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浙商汇金中高等级三个月定期开放债券型证券投资基金</w:t>
            </w:r>
          </w:p>
        </w:tc>
      </w:tr>
      <w:tr w:rsidR="00CE4AD5" w:rsidRPr="00F93B01" w:rsidTr="001B6514">
        <w:tc>
          <w:tcPr>
            <w:tcW w:w="2835" w:type="dxa"/>
          </w:tcPr>
          <w:p w:rsidR="00CE4AD5" w:rsidRPr="002C4855" w:rsidRDefault="00CE4AD5" w:rsidP="00CE4AD5">
            <w:pPr>
              <w:spacing w:line="360" w:lineRule="auto"/>
              <w:jc w:val="left"/>
              <w:rPr>
                <w:rFonts w:ascii="仿宋_GB2312" w:eastAsia="仿宋_GB2312" w:hAnsi="仿宋" w:hint="eastAsia"/>
                <w:sz w:val="24"/>
                <w:szCs w:val="32"/>
              </w:rPr>
            </w:pPr>
            <w:r w:rsidRPr="00CE4AD5">
              <w:rPr>
                <w:rFonts w:ascii="仿宋_GB2312" w:eastAsia="仿宋_GB2312" w:hAnsi="仿宋"/>
                <w:sz w:val="24"/>
                <w:szCs w:val="32"/>
              </w:rPr>
              <w:t>A</w:t>
            </w:r>
            <w:r>
              <w:rPr>
                <w:rFonts w:ascii="仿宋_GB2312" w:eastAsia="仿宋_GB2312" w:hAnsi="仿宋"/>
                <w:sz w:val="24"/>
                <w:szCs w:val="32"/>
              </w:rPr>
              <w:t>类</w:t>
            </w:r>
            <w:r w:rsidRPr="00CE4AD5">
              <w:rPr>
                <w:rFonts w:ascii="仿宋_GB2312" w:eastAsia="仿宋_GB2312" w:hAnsi="仿宋"/>
                <w:sz w:val="24"/>
                <w:szCs w:val="32"/>
              </w:rPr>
              <w:t>007426</w:t>
            </w:r>
            <w:r>
              <w:rPr>
                <w:rFonts w:ascii="仿宋_GB2312" w:eastAsia="仿宋_GB2312" w:hAnsi="仿宋" w:hint="eastAsia"/>
                <w:sz w:val="24"/>
                <w:szCs w:val="32"/>
              </w:rPr>
              <w:t>，</w:t>
            </w:r>
            <w:r w:rsidRPr="00CE4AD5">
              <w:rPr>
                <w:rFonts w:ascii="仿宋_GB2312" w:eastAsia="仿宋_GB2312" w:hAnsi="仿宋"/>
                <w:sz w:val="24"/>
                <w:szCs w:val="32"/>
              </w:rPr>
              <w:t>C类007443</w:t>
            </w:r>
          </w:p>
        </w:tc>
        <w:tc>
          <w:tcPr>
            <w:tcW w:w="5812" w:type="dxa"/>
          </w:tcPr>
          <w:p w:rsidR="00CE4AD5" w:rsidRPr="002C4855" w:rsidRDefault="00CE4AD5" w:rsidP="003857EB">
            <w:pPr>
              <w:spacing w:line="360" w:lineRule="auto"/>
              <w:jc w:val="left"/>
              <w:rPr>
                <w:rFonts w:ascii="仿宋_GB2312" w:eastAsia="仿宋_GB2312" w:hAnsi="仿宋" w:hint="eastAsia"/>
                <w:sz w:val="24"/>
                <w:szCs w:val="32"/>
              </w:rPr>
            </w:pPr>
            <w:r w:rsidRPr="00CE4AD5">
              <w:rPr>
                <w:rFonts w:ascii="仿宋_GB2312" w:eastAsia="仿宋_GB2312" w:hAnsi="仿宋"/>
                <w:sz w:val="24"/>
                <w:szCs w:val="32"/>
              </w:rPr>
              <w:t>浙商汇金聚盈中短债债券型证券投资基金</w:t>
            </w:r>
          </w:p>
        </w:tc>
      </w:tr>
      <w:tr w:rsidR="00BE70C2" w:rsidRPr="00F93B01" w:rsidTr="001B6514">
        <w:tc>
          <w:tcPr>
            <w:tcW w:w="2835" w:type="dxa"/>
          </w:tcPr>
          <w:p w:rsidR="00BE70C2"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007431</w:t>
            </w:r>
          </w:p>
        </w:tc>
        <w:tc>
          <w:tcPr>
            <w:tcW w:w="5812" w:type="dxa"/>
          </w:tcPr>
          <w:p w:rsidR="00BE70C2"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浙商汇金中证浙江凤凰行动50交易型开放式指数证券投资基金联接基金</w:t>
            </w:r>
          </w:p>
        </w:tc>
      </w:tr>
      <w:tr w:rsidR="00F951E7" w:rsidRPr="00F93B01" w:rsidTr="001B6514">
        <w:tc>
          <w:tcPr>
            <w:tcW w:w="2835" w:type="dxa"/>
          </w:tcPr>
          <w:p w:rsidR="00F951E7" w:rsidRPr="002C4855" w:rsidRDefault="00F951E7" w:rsidP="003857E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009113</w:t>
            </w:r>
          </w:p>
        </w:tc>
        <w:tc>
          <w:tcPr>
            <w:tcW w:w="5812" w:type="dxa"/>
          </w:tcPr>
          <w:p w:rsidR="00F951E7" w:rsidRPr="002C4855" w:rsidRDefault="00F951E7" w:rsidP="003857EB">
            <w:pPr>
              <w:spacing w:line="360" w:lineRule="auto"/>
              <w:jc w:val="left"/>
              <w:rPr>
                <w:rFonts w:ascii="仿宋_GB2312" w:eastAsia="仿宋_GB2312" w:hAnsi="仿宋" w:hint="eastAsia"/>
                <w:sz w:val="24"/>
                <w:szCs w:val="32"/>
              </w:rPr>
            </w:pPr>
            <w:r w:rsidRPr="00F951E7">
              <w:rPr>
                <w:rFonts w:ascii="仿宋_GB2312" w:eastAsia="仿宋_GB2312" w:hAnsi="仿宋" w:hint="eastAsia"/>
                <w:sz w:val="24"/>
                <w:szCs w:val="32"/>
              </w:rPr>
              <w:t>浙商汇金卓越优选3个月持有期股票型基金中基金（FOF）</w:t>
            </w:r>
          </w:p>
        </w:tc>
      </w:tr>
      <w:tr w:rsidR="00B16A2C" w:rsidRPr="00F93B01" w:rsidTr="001B6514">
        <w:trPr>
          <w:trHeight w:val="70"/>
        </w:trPr>
        <w:tc>
          <w:tcPr>
            <w:tcW w:w="2835" w:type="dxa"/>
          </w:tcPr>
          <w:p w:rsidR="00B16A2C"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169201</w:t>
            </w:r>
          </w:p>
        </w:tc>
        <w:tc>
          <w:tcPr>
            <w:tcW w:w="5812" w:type="dxa"/>
          </w:tcPr>
          <w:p w:rsidR="00B16A2C" w:rsidRPr="002C4855" w:rsidRDefault="00B16A2C"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浙商汇金鼎盈事件驱动灵活配置混合型证券投资基金(LOF)</w:t>
            </w:r>
          </w:p>
        </w:tc>
      </w:tr>
    </w:tbl>
    <w:p w:rsidR="00567380" w:rsidRPr="00F93B01" w:rsidRDefault="00567380" w:rsidP="00567380">
      <w:pPr>
        <w:spacing w:line="360" w:lineRule="auto"/>
        <w:jc w:val="left"/>
        <w:rPr>
          <w:rFonts w:ascii="仿宋_GB2312" w:eastAsia="仿宋_GB2312" w:hAnsi="仿宋" w:hint="eastAsia"/>
          <w:sz w:val="32"/>
          <w:szCs w:val="32"/>
        </w:rPr>
      </w:pPr>
    </w:p>
    <w:p w:rsidR="00DC2EF8" w:rsidRPr="00F93B01" w:rsidRDefault="00DC2EF8" w:rsidP="007D6C7C">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费率优惠活动</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投资者通过</w:t>
      </w:r>
      <w:r w:rsidR="004D57B7">
        <w:rPr>
          <w:rFonts w:ascii="仿宋_GB2312" w:eastAsia="仿宋_GB2312" w:hAnsi="仿宋" w:hint="eastAsia"/>
          <w:sz w:val="32"/>
          <w:szCs w:val="32"/>
        </w:rPr>
        <w:t>汇成基金</w:t>
      </w:r>
      <w:r w:rsidRPr="00F93B01">
        <w:rPr>
          <w:rFonts w:ascii="仿宋_GB2312" w:eastAsia="仿宋_GB2312" w:hAnsi="仿宋" w:hint="eastAsia"/>
          <w:sz w:val="32"/>
          <w:szCs w:val="32"/>
        </w:rPr>
        <w:t>申(认)购</w:t>
      </w:r>
      <w:r w:rsidR="00FC6F97" w:rsidRPr="00F93B01">
        <w:rPr>
          <w:rFonts w:ascii="仿宋_GB2312" w:eastAsia="仿宋_GB2312" w:hAnsi="仿宋" w:hint="eastAsia"/>
          <w:sz w:val="32"/>
          <w:szCs w:val="32"/>
        </w:rPr>
        <w:t>、赎回</w:t>
      </w:r>
      <w:r w:rsidRPr="00F93B01">
        <w:rPr>
          <w:rFonts w:ascii="仿宋_GB2312" w:eastAsia="仿宋_GB2312" w:hAnsi="仿宋" w:hint="eastAsia"/>
          <w:sz w:val="32"/>
          <w:szCs w:val="32"/>
        </w:rPr>
        <w:t>本公司旗下基金，申</w:t>
      </w:r>
      <w:r w:rsidR="00A93059">
        <w:rPr>
          <w:rFonts w:ascii="仿宋_GB2312" w:eastAsia="仿宋_GB2312" w:hAnsi="仿宋" w:hint="eastAsia"/>
          <w:sz w:val="32"/>
          <w:szCs w:val="32"/>
        </w:rPr>
        <w:t>、</w:t>
      </w:r>
      <w:r w:rsidRPr="00F93B01">
        <w:rPr>
          <w:rFonts w:ascii="仿宋_GB2312" w:eastAsia="仿宋_GB2312" w:hAnsi="仿宋" w:hint="eastAsia"/>
          <w:sz w:val="32"/>
          <w:szCs w:val="32"/>
        </w:rPr>
        <w:t>认购不设折扣限制，具体折扣费率以</w:t>
      </w:r>
      <w:r w:rsidR="004D57B7">
        <w:rPr>
          <w:rFonts w:ascii="仿宋_GB2312" w:eastAsia="仿宋_GB2312" w:hAnsi="仿宋" w:hint="eastAsia"/>
          <w:sz w:val="32"/>
          <w:szCs w:val="32"/>
        </w:rPr>
        <w:t>汇成基金</w:t>
      </w:r>
      <w:r w:rsidRPr="00F93B01">
        <w:rPr>
          <w:rFonts w:ascii="仿宋_GB2312" w:eastAsia="仿宋_GB2312" w:hAnsi="仿宋" w:hint="eastAsia"/>
          <w:sz w:val="32"/>
          <w:szCs w:val="32"/>
        </w:rPr>
        <w:t>活动为准。基金</w:t>
      </w:r>
      <w:r w:rsidR="00FC6F97" w:rsidRPr="00F93B01">
        <w:rPr>
          <w:rFonts w:ascii="仿宋_GB2312" w:eastAsia="仿宋_GB2312" w:hAnsi="仿宋" w:hint="eastAsia"/>
          <w:sz w:val="32"/>
          <w:szCs w:val="32"/>
        </w:rPr>
        <w:t>原</w:t>
      </w:r>
      <w:r w:rsidRPr="00F93B01">
        <w:rPr>
          <w:rFonts w:ascii="仿宋_GB2312" w:eastAsia="仿宋_GB2312" w:hAnsi="仿宋" w:hint="eastAsia"/>
          <w:sz w:val="32"/>
          <w:szCs w:val="32"/>
        </w:rPr>
        <w:t>费率请详见基金合同、招募说明书（更新）等法律文件，以及本公司发布的最新业务公告。</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费率优惠期限内，如本公司新增通过</w:t>
      </w:r>
      <w:r w:rsidR="004D57B7">
        <w:rPr>
          <w:rFonts w:ascii="仿宋_GB2312" w:eastAsia="仿宋_GB2312" w:hAnsi="仿宋" w:hint="eastAsia"/>
          <w:sz w:val="32"/>
          <w:szCs w:val="32"/>
        </w:rPr>
        <w:t>汇成基金</w:t>
      </w:r>
      <w:r w:rsidRPr="00F93B01">
        <w:rPr>
          <w:rFonts w:ascii="仿宋_GB2312" w:eastAsia="仿宋_GB2312" w:hAnsi="仿宋" w:hint="eastAsia"/>
          <w:sz w:val="32"/>
          <w:szCs w:val="32"/>
        </w:rPr>
        <w:t>销售的基金产品，则自该基金产品开放申（认）购当日起，将同时开通该基金上述优惠活动。费率优惠期限，以</w:t>
      </w:r>
      <w:r w:rsidR="004D57B7">
        <w:rPr>
          <w:rFonts w:ascii="仿宋_GB2312" w:eastAsia="仿宋_GB2312" w:hAnsi="仿宋" w:hint="eastAsia"/>
          <w:sz w:val="32"/>
          <w:szCs w:val="32"/>
        </w:rPr>
        <w:t>汇成基金</w:t>
      </w:r>
      <w:r w:rsidRPr="00F93B01">
        <w:rPr>
          <w:rFonts w:ascii="仿宋_GB2312" w:eastAsia="仿宋_GB2312" w:hAnsi="仿宋" w:hint="eastAsia"/>
          <w:sz w:val="32"/>
          <w:szCs w:val="32"/>
        </w:rPr>
        <w:t>官方网站所示公告为准。</w:t>
      </w:r>
    </w:p>
    <w:p w:rsidR="00265926" w:rsidRPr="00F93B01" w:rsidRDefault="00265926" w:rsidP="007D6C7C">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重要提示</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1、本优惠活动仅适用于本公司产品在</w:t>
      </w:r>
      <w:r w:rsidR="004D57B7">
        <w:rPr>
          <w:rFonts w:ascii="仿宋_GB2312" w:eastAsia="仿宋_GB2312" w:hAnsi="仿宋" w:hint="eastAsia"/>
          <w:sz w:val="32"/>
          <w:szCs w:val="32"/>
        </w:rPr>
        <w:t>汇成基金</w:t>
      </w:r>
      <w:r w:rsidRPr="00F93B01">
        <w:rPr>
          <w:rFonts w:ascii="仿宋_GB2312" w:eastAsia="仿宋_GB2312" w:hAnsi="仿宋" w:hint="eastAsia"/>
          <w:sz w:val="32"/>
          <w:szCs w:val="32"/>
        </w:rPr>
        <w:t>处于正常申购期的基金产品的前端收费模式的申购费及处于基金募集期的基金认购费。</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2、本优惠活动仅适用于本公司产品在</w:t>
      </w:r>
      <w:r w:rsidR="004D57B7">
        <w:rPr>
          <w:rFonts w:ascii="仿宋_GB2312" w:eastAsia="仿宋_GB2312" w:hAnsi="仿宋" w:hint="eastAsia"/>
          <w:sz w:val="32"/>
          <w:szCs w:val="32"/>
        </w:rPr>
        <w:t>汇成基金</w:t>
      </w:r>
      <w:r w:rsidRPr="00F93B01">
        <w:rPr>
          <w:rFonts w:ascii="仿宋_GB2312" w:eastAsia="仿宋_GB2312" w:hAnsi="仿宋" w:hint="eastAsia"/>
          <w:sz w:val="32"/>
          <w:szCs w:val="32"/>
        </w:rPr>
        <w:t>申</w:t>
      </w:r>
      <w:r w:rsidR="005D0A0A">
        <w:rPr>
          <w:rFonts w:ascii="仿宋_GB2312" w:eastAsia="仿宋_GB2312" w:hAnsi="仿宋" w:hint="eastAsia"/>
          <w:sz w:val="32"/>
          <w:szCs w:val="32"/>
        </w:rPr>
        <w:t>、</w:t>
      </w:r>
      <w:r w:rsidRPr="00F93B01">
        <w:rPr>
          <w:rFonts w:ascii="仿宋_GB2312" w:eastAsia="仿宋_GB2312" w:hAnsi="仿宋" w:hint="eastAsia"/>
          <w:sz w:val="32"/>
          <w:szCs w:val="32"/>
        </w:rPr>
        <w:t>认购业务的费</w:t>
      </w:r>
      <w:r w:rsidR="00A93059">
        <w:rPr>
          <w:rFonts w:ascii="仿宋_GB2312" w:eastAsia="仿宋_GB2312" w:hAnsi="仿宋" w:hint="eastAsia"/>
          <w:sz w:val="32"/>
          <w:szCs w:val="32"/>
        </w:rPr>
        <w:t>用</w:t>
      </w:r>
      <w:r w:rsidRPr="00F93B01">
        <w:rPr>
          <w:rFonts w:ascii="仿宋_GB2312" w:eastAsia="仿宋_GB2312" w:hAnsi="仿宋" w:hint="eastAsia"/>
          <w:sz w:val="32"/>
          <w:szCs w:val="32"/>
        </w:rPr>
        <w:t>，不包括基金赎回、转换业务等其他业务的费</w:t>
      </w:r>
      <w:r w:rsidR="00A93059">
        <w:rPr>
          <w:rFonts w:ascii="仿宋_GB2312" w:eastAsia="仿宋_GB2312" w:hAnsi="仿宋" w:hint="eastAsia"/>
          <w:sz w:val="32"/>
          <w:szCs w:val="32"/>
        </w:rPr>
        <w:t>用</w:t>
      </w:r>
      <w:r w:rsidRPr="00F93B01">
        <w:rPr>
          <w:rFonts w:ascii="仿宋_GB2312" w:eastAsia="仿宋_GB2312" w:hAnsi="仿宋" w:hint="eastAsia"/>
          <w:sz w:val="32"/>
          <w:szCs w:val="32"/>
        </w:rPr>
        <w:t>。</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3、费率优惠活动解释权</w:t>
      </w:r>
      <w:r w:rsidR="004D57B7">
        <w:rPr>
          <w:rFonts w:ascii="仿宋_GB2312" w:eastAsia="仿宋_GB2312" w:hAnsi="仿宋" w:hint="eastAsia"/>
          <w:sz w:val="32"/>
          <w:szCs w:val="32"/>
        </w:rPr>
        <w:t>汇成基金</w:t>
      </w:r>
      <w:r w:rsidRPr="00F93B01">
        <w:rPr>
          <w:rFonts w:ascii="仿宋_GB2312" w:eastAsia="仿宋_GB2312" w:hAnsi="仿宋" w:hint="eastAsia"/>
          <w:sz w:val="32"/>
          <w:szCs w:val="32"/>
        </w:rPr>
        <w:t xml:space="preserve">所有，有关优惠活动的具体规定如有变化，敬请投资者留意前述销售机构的有关公告。 </w:t>
      </w:r>
    </w:p>
    <w:p w:rsidR="00300532"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4、费率优惠活动期间，业务办理的流程以</w:t>
      </w:r>
      <w:r w:rsidR="004D57B7">
        <w:rPr>
          <w:rFonts w:ascii="仿宋_GB2312" w:eastAsia="仿宋_GB2312" w:hAnsi="仿宋" w:hint="eastAsia"/>
          <w:sz w:val="32"/>
          <w:szCs w:val="32"/>
        </w:rPr>
        <w:t>汇成基金</w:t>
      </w:r>
      <w:r w:rsidRPr="00F93B01">
        <w:rPr>
          <w:rFonts w:ascii="仿宋_GB2312" w:eastAsia="仿宋_GB2312" w:hAnsi="仿宋" w:hint="eastAsia"/>
          <w:sz w:val="32"/>
          <w:szCs w:val="32"/>
        </w:rPr>
        <w:t xml:space="preserve">的规定为准。投资者欲了解基金产品的详细情况，请仔细阅读基金的基金合同、招募说明书等法律文件。 </w:t>
      </w:r>
    </w:p>
    <w:p w:rsidR="00F93B01" w:rsidRPr="00F93B01" w:rsidRDefault="00F93B01" w:rsidP="007F70D1">
      <w:pPr>
        <w:spacing w:line="360" w:lineRule="auto"/>
        <w:ind w:firstLineChars="200" w:firstLine="640"/>
        <w:jc w:val="left"/>
        <w:rPr>
          <w:rFonts w:ascii="仿宋_GB2312" w:eastAsia="仿宋_GB2312" w:hAnsi="仿宋" w:hint="eastAsia"/>
          <w:sz w:val="32"/>
          <w:szCs w:val="32"/>
        </w:rPr>
      </w:pPr>
    </w:p>
    <w:p w:rsidR="00E354C4" w:rsidRPr="00F93B01" w:rsidRDefault="00E354C4"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lastRenderedPageBreak/>
        <w:t>投资者也可以通过以下途径咨询有关情况：</w:t>
      </w:r>
    </w:p>
    <w:p w:rsidR="00CE4AD5" w:rsidRPr="00F93B01" w:rsidDel="00CE4AD5" w:rsidRDefault="002E0555" w:rsidP="00CE4AD5">
      <w:pPr>
        <w:widowControl/>
        <w:jc w:val="left"/>
        <w:rPr>
          <w:rFonts w:ascii="仿宋_GB2312" w:eastAsia="仿宋_GB2312" w:hAnsi="仿宋"/>
          <w:sz w:val="32"/>
          <w:szCs w:val="32"/>
        </w:rPr>
      </w:pPr>
      <w:r>
        <w:rPr>
          <w:rFonts w:ascii="仿宋_GB2312" w:eastAsia="仿宋_GB2312" w:hAnsi="仿宋" w:hint="eastAsia"/>
          <w:sz w:val="32"/>
          <w:szCs w:val="32"/>
        </w:rPr>
        <w:t xml:space="preserve">    </w:t>
      </w:r>
      <w:r w:rsidR="002B155F" w:rsidRPr="00F93B01">
        <w:rPr>
          <w:rFonts w:ascii="仿宋_GB2312" w:eastAsia="仿宋_GB2312" w:hAnsi="仿宋" w:hint="eastAsia"/>
          <w:sz w:val="32"/>
          <w:szCs w:val="32"/>
        </w:rPr>
        <w:t>1、</w:t>
      </w:r>
      <w:r w:rsidR="004D57B7">
        <w:rPr>
          <w:rFonts w:ascii="仿宋_GB2312" w:eastAsia="仿宋_GB2312" w:hAnsi="仿宋" w:hint="eastAsia"/>
          <w:sz w:val="32"/>
          <w:szCs w:val="32"/>
        </w:rPr>
        <w:t>北京汇成基金销售有限公司</w:t>
      </w:r>
    </w:p>
    <w:tbl>
      <w:tblPr>
        <w:tblW w:w="10600" w:type="dxa"/>
        <w:tblInd w:w="93" w:type="dxa"/>
        <w:tblLook w:val="04A0"/>
      </w:tblPr>
      <w:tblGrid>
        <w:gridCol w:w="10600"/>
      </w:tblGrid>
      <w:tr w:rsidR="00CE4AD5" w:rsidRPr="00CE4AD5" w:rsidTr="00CE4AD5">
        <w:trPr>
          <w:trHeight w:val="270"/>
        </w:trPr>
        <w:tc>
          <w:tcPr>
            <w:tcW w:w="10600" w:type="dxa"/>
            <w:tcBorders>
              <w:top w:val="nil"/>
              <w:left w:val="nil"/>
              <w:bottom w:val="nil"/>
              <w:right w:val="nil"/>
            </w:tcBorders>
            <w:shd w:val="clear" w:color="auto" w:fill="auto"/>
            <w:vAlign w:val="bottom"/>
            <w:hideMark/>
          </w:tcPr>
          <w:p w:rsidR="00CE4AD5" w:rsidRPr="00CE4AD5" w:rsidRDefault="00CE4AD5" w:rsidP="00CE4AD5">
            <w:pPr>
              <w:widowControl/>
              <w:jc w:val="left"/>
              <w:rPr>
                <w:rFonts w:ascii="仿宋_GB2312" w:eastAsia="仿宋_GB2312" w:hAnsi="仿宋"/>
                <w:sz w:val="32"/>
                <w:szCs w:val="32"/>
              </w:rPr>
            </w:pPr>
            <w:r w:rsidRPr="00CE4AD5">
              <w:rPr>
                <w:rFonts w:ascii="仿宋_GB2312" w:eastAsia="仿宋_GB2312" w:hAnsi="仿宋" w:hint="eastAsia"/>
                <w:sz w:val="32"/>
                <w:szCs w:val="32"/>
              </w:rPr>
              <w:t>注册地址：北京市海淀区中关村大街11号11层1108号</w:t>
            </w:r>
          </w:p>
        </w:tc>
      </w:tr>
      <w:tr w:rsidR="00CE4AD5" w:rsidRPr="00CE4AD5" w:rsidTr="00CE4AD5">
        <w:trPr>
          <w:trHeight w:val="270"/>
        </w:trPr>
        <w:tc>
          <w:tcPr>
            <w:tcW w:w="10600" w:type="dxa"/>
            <w:tcBorders>
              <w:top w:val="nil"/>
              <w:left w:val="nil"/>
              <w:bottom w:val="nil"/>
              <w:right w:val="nil"/>
            </w:tcBorders>
            <w:shd w:val="clear" w:color="auto" w:fill="auto"/>
            <w:noWrap/>
            <w:vAlign w:val="bottom"/>
            <w:hideMark/>
          </w:tcPr>
          <w:p w:rsidR="00CE4AD5" w:rsidRPr="00CE4AD5" w:rsidRDefault="00CE4AD5" w:rsidP="00CE4AD5">
            <w:pPr>
              <w:widowControl/>
              <w:jc w:val="left"/>
              <w:rPr>
                <w:rFonts w:ascii="仿宋_GB2312" w:eastAsia="仿宋_GB2312" w:hAnsi="仿宋"/>
                <w:sz w:val="32"/>
                <w:szCs w:val="32"/>
              </w:rPr>
            </w:pPr>
            <w:r w:rsidRPr="00CE4AD5">
              <w:rPr>
                <w:rFonts w:ascii="仿宋_GB2312" w:eastAsia="仿宋_GB2312" w:hAnsi="仿宋" w:hint="eastAsia"/>
                <w:sz w:val="32"/>
                <w:szCs w:val="32"/>
              </w:rPr>
              <w:t>办公地址：北京市西城区西直门外大街1号院2号楼19层 19C13</w:t>
            </w:r>
          </w:p>
        </w:tc>
      </w:tr>
      <w:tr w:rsidR="00CE4AD5" w:rsidRPr="00CE4AD5" w:rsidTr="00CE4AD5">
        <w:trPr>
          <w:trHeight w:val="270"/>
        </w:trPr>
        <w:tc>
          <w:tcPr>
            <w:tcW w:w="10600" w:type="dxa"/>
            <w:tcBorders>
              <w:top w:val="nil"/>
              <w:left w:val="nil"/>
              <w:bottom w:val="nil"/>
              <w:right w:val="nil"/>
            </w:tcBorders>
            <w:shd w:val="clear" w:color="auto" w:fill="auto"/>
            <w:noWrap/>
            <w:vAlign w:val="bottom"/>
            <w:hideMark/>
          </w:tcPr>
          <w:p w:rsidR="00CE4AD5" w:rsidRPr="00CE4AD5" w:rsidRDefault="00CE4AD5" w:rsidP="00CE4AD5">
            <w:pPr>
              <w:widowControl/>
              <w:jc w:val="left"/>
              <w:rPr>
                <w:rFonts w:ascii="仿宋_GB2312" w:eastAsia="仿宋_GB2312" w:hAnsi="仿宋"/>
                <w:sz w:val="32"/>
                <w:szCs w:val="32"/>
              </w:rPr>
            </w:pPr>
            <w:r w:rsidRPr="00CE4AD5">
              <w:rPr>
                <w:rFonts w:ascii="仿宋_GB2312" w:eastAsia="仿宋_GB2312" w:hAnsi="仿宋" w:hint="eastAsia"/>
                <w:sz w:val="32"/>
                <w:szCs w:val="32"/>
              </w:rPr>
              <w:t>网址：www.hcjijin.com</w:t>
            </w:r>
          </w:p>
        </w:tc>
      </w:tr>
      <w:tr w:rsidR="00CE4AD5" w:rsidRPr="00CE4AD5" w:rsidTr="00CE4AD5">
        <w:trPr>
          <w:trHeight w:val="270"/>
        </w:trPr>
        <w:tc>
          <w:tcPr>
            <w:tcW w:w="10600" w:type="dxa"/>
            <w:tcBorders>
              <w:top w:val="nil"/>
              <w:left w:val="nil"/>
              <w:bottom w:val="nil"/>
              <w:right w:val="nil"/>
            </w:tcBorders>
            <w:shd w:val="clear" w:color="auto" w:fill="auto"/>
            <w:noWrap/>
            <w:vAlign w:val="bottom"/>
            <w:hideMark/>
          </w:tcPr>
          <w:p w:rsidR="00CE4AD5" w:rsidRPr="00CE4AD5" w:rsidRDefault="00CE4AD5" w:rsidP="00CE4AD5">
            <w:pPr>
              <w:widowControl/>
              <w:jc w:val="left"/>
              <w:rPr>
                <w:rFonts w:ascii="仿宋_GB2312" w:eastAsia="仿宋_GB2312" w:hAnsi="仿宋"/>
                <w:sz w:val="32"/>
                <w:szCs w:val="32"/>
              </w:rPr>
            </w:pPr>
            <w:r w:rsidRPr="00CE4AD5">
              <w:rPr>
                <w:rFonts w:ascii="仿宋_GB2312" w:eastAsia="仿宋_GB2312" w:hAnsi="仿宋" w:hint="eastAsia"/>
                <w:sz w:val="32"/>
                <w:szCs w:val="32"/>
              </w:rPr>
              <w:t>客服电话：400-619-9059</w:t>
            </w:r>
          </w:p>
        </w:tc>
      </w:tr>
    </w:tbl>
    <w:p w:rsidR="00E354C4" w:rsidRPr="00F93B01" w:rsidRDefault="005610F8" w:rsidP="00CD5D26">
      <w:pPr>
        <w:widowControl/>
        <w:ind w:firstLineChars="150" w:firstLine="480"/>
        <w:jc w:val="left"/>
        <w:rPr>
          <w:rFonts w:ascii="仿宋_GB2312" w:eastAsia="仿宋_GB2312" w:hAnsi="仿宋" w:hint="eastAsia"/>
          <w:sz w:val="32"/>
          <w:szCs w:val="32"/>
        </w:rPr>
      </w:pPr>
      <w:r w:rsidRPr="00F93B01">
        <w:rPr>
          <w:rFonts w:ascii="仿宋_GB2312" w:eastAsia="仿宋_GB2312" w:hAnsi="仿宋" w:hint="eastAsia"/>
          <w:sz w:val="32"/>
          <w:szCs w:val="32"/>
        </w:rPr>
        <w:t>2、</w:t>
      </w:r>
      <w:r w:rsidR="00E354C4" w:rsidRPr="00F93B01">
        <w:rPr>
          <w:rFonts w:ascii="仿宋_GB2312" w:eastAsia="仿宋_GB2312" w:hAnsi="仿宋" w:hint="eastAsia"/>
          <w:sz w:val="32"/>
          <w:szCs w:val="32"/>
        </w:rPr>
        <w:t>浙江浙商证券资产管理有限公司</w:t>
      </w:r>
    </w:p>
    <w:p w:rsidR="00E354C4" w:rsidRPr="00F93B01" w:rsidRDefault="00E354C4" w:rsidP="007D6C7C">
      <w:pPr>
        <w:pStyle w:val="a5"/>
        <w:ind w:firstLineChars="0" w:firstLine="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办公地址：浙江省杭州市</w:t>
      </w:r>
      <w:r w:rsidR="00AD0A50" w:rsidRPr="00F93B01">
        <w:rPr>
          <w:rFonts w:ascii="仿宋_GB2312" w:eastAsia="仿宋_GB2312" w:hAnsi="仿宋" w:hint="eastAsia"/>
          <w:kern w:val="2"/>
          <w:sz w:val="32"/>
          <w:szCs w:val="32"/>
          <w:lang w:val="en-US" w:eastAsia="zh-CN"/>
        </w:rPr>
        <w:t>江干区</w:t>
      </w:r>
      <w:r w:rsidR="009256A6" w:rsidRPr="00F93B01">
        <w:rPr>
          <w:rFonts w:ascii="仿宋_GB2312" w:eastAsia="仿宋_GB2312" w:hAnsi="仿宋" w:hint="eastAsia"/>
          <w:kern w:val="2"/>
          <w:sz w:val="32"/>
          <w:szCs w:val="32"/>
          <w:lang w:val="en-US" w:eastAsia="zh-CN"/>
        </w:rPr>
        <w:t>五星路201号浙商证券大楼7楼</w:t>
      </w:r>
    </w:p>
    <w:p w:rsidR="00E33612" w:rsidRPr="00F93B01" w:rsidRDefault="00E33612" w:rsidP="007D6C7C">
      <w:pPr>
        <w:pStyle w:val="a5"/>
        <w:ind w:firstLineChars="0" w:firstLine="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客户服务热线：95345</w:t>
      </w:r>
    </w:p>
    <w:p w:rsidR="00E33612" w:rsidRDefault="00E354C4" w:rsidP="007D6C7C">
      <w:pPr>
        <w:pStyle w:val="a5"/>
        <w:ind w:firstLineChars="0" w:firstLine="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公司网址： </w:t>
      </w:r>
      <w:hyperlink r:id="rId7" w:history="1">
        <w:r w:rsidR="002E0555" w:rsidRPr="00D10BBF">
          <w:rPr>
            <w:rFonts w:ascii="仿宋_GB2312" w:eastAsia="仿宋_GB2312" w:hAnsi="仿宋" w:hint="eastAsia"/>
            <w:kern w:val="2"/>
            <w:sz w:val="32"/>
            <w:szCs w:val="32"/>
            <w:lang w:val="en-US" w:eastAsia="zh-CN"/>
          </w:rPr>
          <w:t>www.stocke.com.cn</w:t>
        </w:r>
      </w:hyperlink>
    </w:p>
    <w:p w:rsidR="002E0555" w:rsidRPr="00F93B01" w:rsidRDefault="002E0555" w:rsidP="007D6C7C">
      <w:pPr>
        <w:pStyle w:val="a5"/>
        <w:ind w:firstLineChars="0" w:firstLine="0"/>
        <w:jc w:val="left"/>
        <w:rPr>
          <w:rFonts w:ascii="仿宋_GB2312" w:eastAsia="仿宋_GB2312" w:hAnsi="仿宋" w:hint="eastAsia"/>
          <w:kern w:val="2"/>
          <w:sz w:val="32"/>
          <w:szCs w:val="32"/>
          <w:lang w:val="en-US" w:eastAsia="zh-CN"/>
        </w:rPr>
      </w:pPr>
    </w:p>
    <w:p w:rsidR="0038152A" w:rsidRDefault="0038152A" w:rsidP="007F70D1">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风险提示：本公司承诺以诚实信用、勤勉尽责的原则管理和运用基金资产，但不保证基金一定盈利，也不保证最低收益。敬请投资者注意基金投资风险。投资者投资于上述基金前应认真阅读</w:t>
      </w:r>
      <w:r w:rsidR="00956B92" w:rsidRPr="00F93B01">
        <w:rPr>
          <w:rFonts w:ascii="仿宋_GB2312" w:eastAsia="仿宋_GB2312" w:hAnsi="仿宋" w:hint="eastAsia"/>
          <w:kern w:val="2"/>
          <w:sz w:val="32"/>
          <w:szCs w:val="32"/>
          <w:lang w:val="en-US" w:eastAsia="zh-CN"/>
        </w:rPr>
        <w:t>各</w:t>
      </w:r>
      <w:r w:rsidRPr="00F93B01">
        <w:rPr>
          <w:rFonts w:ascii="仿宋_GB2312" w:eastAsia="仿宋_GB2312" w:hAnsi="仿宋" w:hint="eastAsia"/>
          <w:kern w:val="2"/>
          <w:sz w:val="32"/>
          <w:szCs w:val="32"/>
          <w:lang w:val="en-US" w:eastAsia="zh-CN"/>
        </w:rPr>
        <w:t>基金的基金合同、招募说明书。</w:t>
      </w:r>
    </w:p>
    <w:p w:rsidR="00F7706B" w:rsidRPr="00F93B01" w:rsidRDefault="00F7706B" w:rsidP="007F70D1">
      <w:pPr>
        <w:pStyle w:val="a5"/>
        <w:ind w:firstLineChars="200" w:firstLine="640"/>
        <w:jc w:val="left"/>
        <w:rPr>
          <w:rFonts w:ascii="仿宋_GB2312" w:eastAsia="仿宋_GB2312" w:hAnsi="仿宋" w:hint="eastAsia"/>
          <w:kern w:val="2"/>
          <w:sz w:val="32"/>
          <w:szCs w:val="32"/>
          <w:lang w:val="en-US" w:eastAsia="zh-CN"/>
        </w:rPr>
      </w:pPr>
    </w:p>
    <w:p w:rsidR="0038152A" w:rsidRPr="00F93B01" w:rsidRDefault="0038152A" w:rsidP="00CD5D26">
      <w:pPr>
        <w:pStyle w:val="a5"/>
        <w:ind w:firstLineChars="150" w:firstLine="48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本公告的解释权归浙江浙商证券资产管理有限公司。</w:t>
      </w:r>
    </w:p>
    <w:p w:rsidR="007D6C7C" w:rsidRPr="00F93B01" w:rsidRDefault="0038152A" w:rsidP="00CD5D26">
      <w:pPr>
        <w:pStyle w:val="a5"/>
        <w:ind w:firstLineChars="150" w:firstLine="48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特此公告。</w:t>
      </w:r>
    </w:p>
    <w:p w:rsidR="0038152A" w:rsidRPr="00F93B01" w:rsidRDefault="00B72651" w:rsidP="007F70D1">
      <w:pPr>
        <w:pStyle w:val="a5"/>
        <w:ind w:firstLineChars="1100" w:firstLine="352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 </w:t>
      </w:r>
      <w:r w:rsidR="0038152A" w:rsidRPr="00F93B01">
        <w:rPr>
          <w:rFonts w:ascii="仿宋_GB2312" w:eastAsia="仿宋_GB2312" w:hAnsi="仿宋" w:hint="eastAsia"/>
          <w:kern w:val="2"/>
          <w:sz w:val="32"/>
          <w:szCs w:val="32"/>
          <w:lang w:val="en-US" w:eastAsia="zh-CN"/>
        </w:rPr>
        <w:t>浙江浙商证券资产管理有限公司</w:t>
      </w:r>
    </w:p>
    <w:p w:rsidR="00E354C4" w:rsidRPr="00F93B01" w:rsidRDefault="00B72651" w:rsidP="007F70D1">
      <w:pPr>
        <w:pStyle w:val="a5"/>
        <w:ind w:firstLineChars="1100" w:firstLine="352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 </w:t>
      </w:r>
      <w:r w:rsidR="00CE4AD5" w:rsidRPr="00F93B01">
        <w:rPr>
          <w:rFonts w:ascii="仿宋_GB2312" w:eastAsia="仿宋_GB2312" w:hAnsi="仿宋" w:hint="eastAsia"/>
          <w:kern w:val="2"/>
          <w:sz w:val="32"/>
          <w:szCs w:val="32"/>
          <w:lang w:val="en-US" w:eastAsia="zh-CN"/>
        </w:rPr>
        <w:t>2020年</w:t>
      </w:r>
      <w:r w:rsidR="00B04D4D">
        <w:rPr>
          <w:rFonts w:ascii="仿宋_GB2312" w:eastAsia="仿宋_GB2312" w:hAnsi="仿宋" w:hint="eastAsia"/>
          <w:kern w:val="2"/>
          <w:sz w:val="32"/>
          <w:szCs w:val="32"/>
          <w:lang w:val="en-US" w:eastAsia="zh-CN"/>
        </w:rPr>
        <w:t>5</w:t>
      </w:r>
      <w:r w:rsidR="00A05C71" w:rsidRPr="00F93B01">
        <w:rPr>
          <w:rFonts w:ascii="仿宋_GB2312" w:eastAsia="仿宋_GB2312" w:hAnsi="仿宋" w:hint="eastAsia"/>
          <w:kern w:val="2"/>
          <w:sz w:val="32"/>
          <w:szCs w:val="32"/>
          <w:lang w:val="en-US" w:eastAsia="zh-CN"/>
        </w:rPr>
        <w:t>月</w:t>
      </w:r>
      <w:r w:rsidR="00B04D4D">
        <w:rPr>
          <w:rFonts w:ascii="仿宋_GB2312" w:eastAsia="仿宋_GB2312" w:hAnsi="仿宋" w:hint="eastAsia"/>
          <w:kern w:val="2"/>
          <w:sz w:val="32"/>
          <w:szCs w:val="32"/>
          <w:lang w:val="en-US" w:eastAsia="zh-CN"/>
        </w:rPr>
        <w:t>30</w:t>
      </w:r>
      <w:r w:rsidR="00CF4490" w:rsidRPr="00F93B01">
        <w:rPr>
          <w:rFonts w:ascii="仿宋_GB2312" w:eastAsia="仿宋_GB2312" w:hAnsi="仿宋" w:hint="eastAsia"/>
          <w:kern w:val="2"/>
          <w:sz w:val="32"/>
          <w:szCs w:val="32"/>
          <w:lang w:val="en-US" w:eastAsia="zh-CN"/>
        </w:rPr>
        <w:t>日</w:t>
      </w:r>
    </w:p>
    <w:sectPr w:rsidR="00E354C4" w:rsidRPr="00F93B01" w:rsidSect="00316502">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381" w:rsidRDefault="00125381" w:rsidP="00A666AE">
      <w:r>
        <w:separator/>
      </w:r>
    </w:p>
  </w:endnote>
  <w:endnote w:type="continuationSeparator" w:id="1">
    <w:p w:rsidR="00125381" w:rsidRDefault="00125381" w:rsidP="00A6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381" w:rsidRDefault="00125381" w:rsidP="00A666AE">
      <w:r>
        <w:separator/>
      </w:r>
    </w:p>
  </w:footnote>
  <w:footnote w:type="continuationSeparator" w:id="1">
    <w:p w:rsidR="00125381" w:rsidRDefault="00125381" w:rsidP="00A66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EC5"/>
    <w:multiLevelType w:val="hybridMultilevel"/>
    <w:tmpl w:val="FDCE668C"/>
    <w:lvl w:ilvl="0" w:tplc="FFC84B9C">
      <w:start w:val="1"/>
      <w:numFmt w:val="decimal"/>
      <w:lvlText w:val="%1、"/>
      <w:lvlJc w:val="left"/>
      <w:pPr>
        <w:ind w:left="1405" w:hanging="720"/>
      </w:pPr>
      <w:rPr>
        <w:rFonts w:hint="default"/>
        <w:b w:val="0"/>
      </w:rPr>
    </w:lvl>
    <w:lvl w:ilvl="1" w:tplc="04090019" w:tentative="1">
      <w:start w:val="1"/>
      <w:numFmt w:val="lowerLetter"/>
      <w:lvlText w:val="%2)"/>
      <w:lvlJc w:val="left"/>
      <w:pPr>
        <w:ind w:left="1525" w:hanging="420"/>
      </w:pPr>
    </w:lvl>
    <w:lvl w:ilvl="2" w:tplc="0409001B" w:tentative="1">
      <w:start w:val="1"/>
      <w:numFmt w:val="lowerRoman"/>
      <w:lvlText w:val="%3."/>
      <w:lvlJc w:val="right"/>
      <w:pPr>
        <w:ind w:left="1945" w:hanging="420"/>
      </w:pPr>
    </w:lvl>
    <w:lvl w:ilvl="3" w:tplc="0409000F" w:tentative="1">
      <w:start w:val="1"/>
      <w:numFmt w:val="decimal"/>
      <w:lvlText w:val="%4."/>
      <w:lvlJc w:val="left"/>
      <w:pPr>
        <w:ind w:left="2365" w:hanging="420"/>
      </w:pPr>
    </w:lvl>
    <w:lvl w:ilvl="4" w:tplc="04090019" w:tentative="1">
      <w:start w:val="1"/>
      <w:numFmt w:val="lowerLetter"/>
      <w:lvlText w:val="%5)"/>
      <w:lvlJc w:val="left"/>
      <w:pPr>
        <w:ind w:left="2785" w:hanging="420"/>
      </w:pPr>
    </w:lvl>
    <w:lvl w:ilvl="5" w:tplc="0409001B" w:tentative="1">
      <w:start w:val="1"/>
      <w:numFmt w:val="lowerRoman"/>
      <w:lvlText w:val="%6."/>
      <w:lvlJc w:val="right"/>
      <w:pPr>
        <w:ind w:left="3205" w:hanging="420"/>
      </w:pPr>
    </w:lvl>
    <w:lvl w:ilvl="6" w:tplc="0409000F" w:tentative="1">
      <w:start w:val="1"/>
      <w:numFmt w:val="decimal"/>
      <w:lvlText w:val="%7."/>
      <w:lvlJc w:val="left"/>
      <w:pPr>
        <w:ind w:left="3625" w:hanging="420"/>
      </w:pPr>
    </w:lvl>
    <w:lvl w:ilvl="7" w:tplc="04090019" w:tentative="1">
      <w:start w:val="1"/>
      <w:numFmt w:val="lowerLetter"/>
      <w:lvlText w:val="%8)"/>
      <w:lvlJc w:val="left"/>
      <w:pPr>
        <w:ind w:left="4045" w:hanging="420"/>
      </w:pPr>
    </w:lvl>
    <w:lvl w:ilvl="8" w:tplc="0409001B" w:tentative="1">
      <w:start w:val="1"/>
      <w:numFmt w:val="lowerRoman"/>
      <w:lvlText w:val="%9."/>
      <w:lvlJc w:val="right"/>
      <w:pPr>
        <w:ind w:left="4465" w:hanging="420"/>
      </w:pPr>
    </w:lvl>
  </w:abstractNum>
  <w:abstractNum w:abstractNumId="1">
    <w:nsid w:val="19D367FA"/>
    <w:multiLevelType w:val="hybridMultilevel"/>
    <w:tmpl w:val="CA42EAD8"/>
    <w:lvl w:ilvl="0" w:tplc="4FFCED00">
      <w:start w:val="1"/>
      <w:numFmt w:val="decimal"/>
      <w:lvlText w:val="%1、"/>
      <w:lvlJc w:val="left"/>
      <w:pPr>
        <w:ind w:left="1280" w:hanging="720"/>
      </w:pPr>
      <w:rPr>
        <w:rFonts w:ascii="仿宋" w:eastAsia="仿宋" w:hAnsi="仿宋"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0735A97"/>
    <w:multiLevelType w:val="hybridMultilevel"/>
    <w:tmpl w:val="0448901A"/>
    <w:lvl w:ilvl="0" w:tplc="011E3B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9AA7BAD"/>
    <w:multiLevelType w:val="multilevel"/>
    <w:tmpl w:val="39AA7BAD"/>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ascii="Times New Roman" w:hAnsi="Times New Roman" w:cs="Times New Roman"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4">
    <w:nsid w:val="51766630"/>
    <w:multiLevelType w:val="hybridMultilevel"/>
    <w:tmpl w:val="B5A05ACE"/>
    <w:lvl w:ilvl="0" w:tplc="778C90F0">
      <w:start w:val="1"/>
      <w:numFmt w:val="japaneseCounting"/>
      <w:lvlText w:val="%1、"/>
      <w:lvlJc w:val="left"/>
      <w:pPr>
        <w:ind w:left="720" w:hanging="720"/>
      </w:pPr>
      <w:rPr>
        <w:rFonts w:hint="default"/>
      </w:rPr>
    </w:lvl>
    <w:lvl w:ilvl="1" w:tplc="25B63A5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AF23AB"/>
    <w:multiLevelType w:val="hybridMultilevel"/>
    <w:tmpl w:val="D27EC808"/>
    <w:lvl w:ilvl="0" w:tplc="7C820CB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6AE"/>
    <w:rsid w:val="00005358"/>
    <w:rsid w:val="00022B8D"/>
    <w:rsid w:val="00022F25"/>
    <w:rsid w:val="00026627"/>
    <w:rsid w:val="000277E8"/>
    <w:rsid w:val="0007088B"/>
    <w:rsid w:val="00073837"/>
    <w:rsid w:val="00080A1A"/>
    <w:rsid w:val="00086597"/>
    <w:rsid w:val="000B7998"/>
    <w:rsid w:val="000C0130"/>
    <w:rsid w:val="000C75E4"/>
    <w:rsid w:val="000E07CB"/>
    <w:rsid w:val="000E5916"/>
    <w:rsid w:val="000F4121"/>
    <w:rsid w:val="00112997"/>
    <w:rsid w:val="00114C46"/>
    <w:rsid w:val="00115D6F"/>
    <w:rsid w:val="00125381"/>
    <w:rsid w:val="00147507"/>
    <w:rsid w:val="0015180F"/>
    <w:rsid w:val="00154320"/>
    <w:rsid w:val="00166E8D"/>
    <w:rsid w:val="0017279F"/>
    <w:rsid w:val="001851CB"/>
    <w:rsid w:val="001A6BA3"/>
    <w:rsid w:val="001B07B4"/>
    <w:rsid w:val="001B6514"/>
    <w:rsid w:val="001D2A68"/>
    <w:rsid w:val="001D443F"/>
    <w:rsid w:val="001F7EED"/>
    <w:rsid w:val="00206283"/>
    <w:rsid w:val="0021550C"/>
    <w:rsid w:val="00216239"/>
    <w:rsid w:val="002339BD"/>
    <w:rsid w:val="002565B8"/>
    <w:rsid w:val="0025769A"/>
    <w:rsid w:val="00265926"/>
    <w:rsid w:val="00273F68"/>
    <w:rsid w:val="00277FDB"/>
    <w:rsid w:val="002A1D1B"/>
    <w:rsid w:val="002A3252"/>
    <w:rsid w:val="002A79F2"/>
    <w:rsid w:val="002B155F"/>
    <w:rsid w:val="002C4855"/>
    <w:rsid w:val="002C665A"/>
    <w:rsid w:val="002C6782"/>
    <w:rsid w:val="002E0555"/>
    <w:rsid w:val="002F58DD"/>
    <w:rsid w:val="00300532"/>
    <w:rsid w:val="00316502"/>
    <w:rsid w:val="00326611"/>
    <w:rsid w:val="00341E46"/>
    <w:rsid w:val="00350927"/>
    <w:rsid w:val="00352E26"/>
    <w:rsid w:val="0036259A"/>
    <w:rsid w:val="00363CA9"/>
    <w:rsid w:val="00377472"/>
    <w:rsid w:val="0038152A"/>
    <w:rsid w:val="003857EB"/>
    <w:rsid w:val="00391302"/>
    <w:rsid w:val="003A0B22"/>
    <w:rsid w:val="003A5641"/>
    <w:rsid w:val="003B6635"/>
    <w:rsid w:val="003B6C6B"/>
    <w:rsid w:val="003C4C83"/>
    <w:rsid w:val="003E493A"/>
    <w:rsid w:val="003E61DB"/>
    <w:rsid w:val="003E7369"/>
    <w:rsid w:val="00406CB5"/>
    <w:rsid w:val="00410FAF"/>
    <w:rsid w:val="004172E3"/>
    <w:rsid w:val="00435AFF"/>
    <w:rsid w:val="0046065D"/>
    <w:rsid w:val="00461863"/>
    <w:rsid w:val="0047445E"/>
    <w:rsid w:val="004B4C7C"/>
    <w:rsid w:val="004C1960"/>
    <w:rsid w:val="004D4887"/>
    <w:rsid w:val="004D57B7"/>
    <w:rsid w:val="004D7776"/>
    <w:rsid w:val="004E2D1A"/>
    <w:rsid w:val="00500111"/>
    <w:rsid w:val="00506A7C"/>
    <w:rsid w:val="005329D5"/>
    <w:rsid w:val="00532C2C"/>
    <w:rsid w:val="005430FB"/>
    <w:rsid w:val="0054497F"/>
    <w:rsid w:val="005610F8"/>
    <w:rsid w:val="00567380"/>
    <w:rsid w:val="0057026D"/>
    <w:rsid w:val="005773E2"/>
    <w:rsid w:val="00577718"/>
    <w:rsid w:val="005D0A0A"/>
    <w:rsid w:val="00642BB8"/>
    <w:rsid w:val="006520C7"/>
    <w:rsid w:val="00654334"/>
    <w:rsid w:val="00682549"/>
    <w:rsid w:val="006827C6"/>
    <w:rsid w:val="00690200"/>
    <w:rsid w:val="006920A9"/>
    <w:rsid w:val="006B6AFA"/>
    <w:rsid w:val="006C29D0"/>
    <w:rsid w:val="006D57EE"/>
    <w:rsid w:val="006E1DD2"/>
    <w:rsid w:val="00714D25"/>
    <w:rsid w:val="00720F71"/>
    <w:rsid w:val="00732777"/>
    <w:rsid w:val="0073594B"/>
    <w:rsid w:val="00735962"/>
    <w:rsid w:val="007A18B2"/>
    <w:rsid w:val="007B0AF0"/>
    <w:rsid w:val="007D2255"/>
    <w:rsid w:val="007D6C7C"/>
    <w:rsid w:val="007F23BF"/>
    <w:rsid w:val="007F70D1"/>
    <w:rsid w:val="00800B7F"/>
    <w:rsid w:val="00804C7A"/>
    <w:rsid w:val="00811E86"/>
    <w:rsid w:val="0082739B"/>
    <w:rsid w:val="00840A6F"/>
    <w:rsid w:val="00843E8B"/>
    <w:rsid w:val="00845028"/>
    <w:rsid w:val="008561F4"/>
    <w:rsid w:val="00865E0F"/>
    <w:rsid w:val="008720A1"/>
    <w:rsid w:val="00874072"/>
    <w:rsid w:val="00880E26"/>
    <w:rsid w:val="00897430"/>
    <w:rsid w:val="00897BA8"/>
    <w:rsid w:val="008A3F93"/>
    <w:rsid w:val="008E74C5"/>
    <w:rsid w:val="008F3AE6"/>
    <w:rsid w:val="008F6663"/>
    <w:rsid w:val="00910E90"/>
    <w:rsid w:val="00913746"/>
    <w:rsid w:val="00917ED9"/>
    <w:rsid w:val="009256A6"/>
    <w:rsid w:val="0093405C"/>
    <w:rsid w:val="0093681F"/>
    <w:rsid w:val="00945A86"/>
    <w:rsid w:val="00956B92"/>
    <w:rsid w:val="0096399F"/>
    <w:rsid w:val="00971FE1"/>
    <w:rsid w:val="00977BE5"/>
    <w:rsid w:val="009A2192"/>
    <w:rsid w:val="009B5371"/>
    <w:rsid w:val="009B7DBE"/>
    <w:rsid w:val="009C4BF2"/>
    <w:rsid w:val="009D0518"/>
    <w:rsid w:val="009D718F"/>
    <w:rsid w:val="009F0137"/>
    <w:rsid w:val="00A05C71"/>
    <w:rsid w:val="00A13A93"/>
    <w:rsid w:val="00A16250"/>
    <w:rsid w:val="00A17E53"/>
    <w:rsid w:val="00A21076"/>
    <w:rsid w:val="00A2744C"/>
    <w:rsid w:val="00A42FDB"/>
    <w:rsid w:val="00A666AE"/>
    <w:rsid w:val="00A727D6"/>
    <w:rsid w:val="00A93059"/>
    <w:rsid w:val="00AA4817"/>
    <w:rsid w:val="00AB35E3"/>
    <w:rsid w:val="00AB6088"/>
    <w:rsid w:val="00AD0A50"/>
    <w:rsid w:val="00AE26B1"/>
    <w:rsid w:val="00AF0BF6"/>
    <w:rsid w:val="00B04D4D"/>
    <w:rsid w:val="00B16A2C"/>
    <w:rsid w:val="00B27BEB"/>
    <w:rsid w:val="00B31EDE"/>
    <w:rsid w:val="00B56B1A"/>
    <w:rsid w:val="00B72651"/>
    <w:rsid w:val="00B80A8D"/>
    <w:rsid w:val="00B82F8A"/>
    <w:rsid w:val="00B95AE3"/>
    <w:rsid w:val="00BA0506"/>
    <w:rsid w:val="00BA2B8B"/>
    <w:rsid w:val="00BB33DF"/>
    <w:rsid w:val="00BC58CE"/>
    <w:rsid w:val="00BE70C2"/>
    <w:rsid w:val="00C000D5"/>
    <w:rsid w:val="00C0774E"/>
    <w:rsid w:val="00C20074"/>
    <w:rsid w:val="00C70902"/>
    <w:rsid w:val="00C753C6"/>
    <w:rsid w:val="00C75E86"/>
    <w:rsid w:val="00C82664"/>
    <w:rsid w:val="00C84139"/>
    <w:rsid w:val="00CA4CE2"/>
    <w:rsid w:val="00CD32EE"/>
    <w:rsid w:val="00CD5D26"/>
    <w:rsid w:val="00CE4AD5"/>
    <w:rsid w:val="00CE7A02"/>
    <w:rsid w:val="00CF100D"/>
    <w:rsid w:val="00CF4490"/>
    <w:rsid w:val="00D10BBF"/>
    <w:rsid w:val="00D2285B"/>
    <w:rsid w:val="00D33917"/>
    <w:rsid w:val="00D40A8B"/>
    <w:rsid w:val="00D438BF"/>
    <w:rsid w:val="00D45CD1"/>
    <w:rsid w:val="00D700E3"/>
    <w:rsid w:val="00D73148"/>
    <w:rsid w:val="00D84F65"/>
    <w:rsid w:val="00D96030"/>
    <w:rsid w:val="00D96FE1"/>
    <w:rsid w:val="00DC2EF8"/>
    <w:rsid w:val="00DD700A"/>
    <w:rsid w:val="00DE41D3"/>
    <w:rsid w:val="00DF1BE1"/>
    <w:rsid w:val="00DF2BF0"/>
    <w:rsid w:val="00E14F0A"/>
    <w:rsid w:val="00E23F9E"/>
    <w:rsid w:val="00E33612"/>
    <w:rsid w:val="00E354C4"/>
    <w:rsid w:val="00E53A4B"/>
    <w:rsid w:val="00E9050A"/>
    <w:rsid w:val="00E9111F"/>
    <w:rsid w:val="00EB0500"/>
    <w:rsid w:val="00EC0A40"/>
    <w:rsid w:val="00EE0CCB"/>
    <w:rsid w:val="00EE614B"/>
    <w:rsid w:val="00EE6EE4"/>
    <w:rsid w:val="00EF55C5"/>
    <w:rsid w:val="00F0073F"/>
    <w:rsid w:val="00F021E9"/>
    <w:rsid w:val="00F20677"/>
    <w:rsid w:val="00F23B64"/>
    <w:rsid w:val="00F425E9"/>
    <w:rsid w:val="00F51DB9"/>
    <w:rsid w:val="00F713FA"/>
    <w:rsid w:val="00F7706B"/>
    <w:rsid w:val="00F93B01"/>
    <w:rsid w:val="00F951E7"/>
    <w:rsid w:val="00FB45AF"/>
    <w:rsid w:val="00FC1961"/>
    <w:rsid w:val="00FC2B9F"/>
    <w:rsid w:val="00FC49A3"/>
    <w:rsid w:val="00FC6F97"/>
    <w:rsid w:val="00FD5650"/>
    <w:rsid w:val="00FD794C"/>
    <w:rsid w:val="00FE0B36"/>
    <w:rsid w:val="00FF490C"/>
    <w:rsid w:val="00FF539C"/>
    <w:rsid w:val="00FF7B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C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6A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A666AE"/>
    <w:rPr>
      <w:sz w:val="18"/>
      <w:szCs w:val="18"/>
    </w:rPr>
  </w:style>
  <w:style w:type="paragraph" w:styleId="a4">
    <w:name w:val="footer"/>
    <w:basedOn w:val="a"/>
    <w:link w:val="Char0"/>
    <w:uiPriority w:val="99"/>
    <w:unhideWhenUsed/>
    <w:rsid w:val="00A666AE"/>
    <w:pPr>
      <w:tabs>
        <w:tab w:val="center" w:pos="4153"/>
        <w:tab w:val="right" w:pos="8306"/>
      </w:tabs>
      <w:snapToGrid w:val="0"/>
      <w:jc w:val="left"/>
    </w:pPr>
    <w:rPr>
      <w:kern w:val="0"/>
      <w:sz w:val="18"/>
      <w:szCs w:val="18"/>
      <w:lang/>
    </w:rPr>
  </w:style>
  <w:style w:type="character" w:customStyle="1" w:styleId="Char0">
    <w:name w:val="页脚 Char"/>
    <w:link w:val="a4"/>
    <w:uiPriority w:val="99"/>
    <w:rsid w:val="00A666AE"/>
    <w:rPr>
      <w:sz w:val="18"/>
      <w:szCs w:val="18"/>
    </w:rPr>
  </w:style>
  <w:style w:type="paragraph" w:styleId="a5">
    <w:name w:val="Plain Text"/>
    <w:basedOn w:val="a"/>
    <w:link w:val="Char1"/>
    <w:rsid w:val="00E354C4"/>
    <w:pPr>
      <w:spacing w:line="360" w:lineRule="auto"/>
      <w:ind w:firstLineChars="275" w:firstLine="770"/>
    </w:pPr>
    <w:rPr>
      <w:rFonts w:ascii="宋体" w:hAnsi="宋体"/>
      <w:kern w:val="0"/>
      <w:sz w:val="28"/>
      <w:szCs w:val="20"/>
      <w:lang/>
    </w:rPr>
  </w:style>
  <w:style w:type="character" w:customStyle="1" w:styleId="Char1">
    <w:name w:val="纯文本 Char"/>
    <w:link w:val="a5"/>
    <w:rsid w:val="00E354C4"/>
    <w:rPr>
      <w:rFonts w:ascii="宋体" w:eastAsia="宋体" w:hAnsi="宋体" w:cs="Times New Roman"/>
      <w:sz w:val="28"/>
      <w:szCs w:val="20"/>
    </w:rPr>
  </w:style>
  <w:style w:type="character" w:styleId="a6">
    <w:name w:val="Hyperlink"/>
    <w:uiPriority w:val="99"/>
    <w:unhideWhenUsed/>
    <w:rsid w:val="0038152A"/>
    <w:rPr>
      <w:color w:val="0000FF"/>
      <w:u w:val="single"/>
    </w:rPr>
  </w:style>
  <w:style w:type="character" w:styleId="a7">
    <w:name w:val="annotation reference"/>
    <w:uiPriority w:val="99"/>
    <w:semiHidden/>
    <w:unhideWhenUsed/>
    <w:rsid w:val="001B07B4"/>
    <w:rPr>
      <w:sz w:val="21"/>
      <w:szCs w:val="21"/>
    </w:rPr>
  </w:style>
  <w:style w:type="paragraph" w:styleId="a8">
    <w:name w:val="annotation text"/>
    <w:basedOn w:val="a"/>
    <w:link w:val="Char2"/>
    <w:uiPriority w:val="99"/>
    <w:semiHidden/>
    <w:unhideWhenUsed/>
    <w:rsid w:val="001B07B4"/>
    <w:pPr>
      <w:jc w:val="left"/>
    </w:pPr>
    <w:rPr>
      <w:lang/>
    </w:rPr>
  </w:style>
  <w:style w:type="character" w:customStyle="1" w:styleId="Char2">
    <w:name w:val="批注文字 Char"/>
    <w:link w:val="a8"/>
    <w:uiPriority w:val="99"/>
    <w:semiHidden/>
    <w:rsid w:val="001B07B4"/>
    <w:rPr>
      <w:kern w:val="2"/>
      <w:sz w:val="21"/>
      <w:szCs w:val="22"/>
    </w:rPr>
  </w:style>
  <w:style w:type="paragraph" w:styleId="a9">
    <w:name w:val="annotation subject"/>
    <w:basedOn w:val="a8"/>
    <w:next w:val="a8"/>
    <w:link w:val="Char3"/>
    <w:uiPriority w:val="99"/>
    <w:semiHidden/>
    <w:unhideWhenUsed/>
    <w:rsid w:val="001B07B4"/>
    <w:rPr>
      <w:b/>
      <w:bCs/>
    </w:rPr>
  </w:style>
  <w:style w:type="character" w:customStyle="1" w:styleId="Char3">
    <w:name w:val="批注主题 Char"/>
    <w:link w:val="a9"/>
    <w:uiPriority w:val="99"/>
    <w:semiHidden/>
    <w:rsid w:val="001B07B4"/>
    <w:rPr>
      <w:b/>
      <w:bCs/>
      <w:kern w:val="2"/>
      <w:sz w:val="21"/>
      <w:szCs w:val="22"/>
    </w:rPr>
  </w:style>
  <w:style w:type="paragraph" w:styleId="aa">
    <w:name w:val="Balloon Text"/>
    <w:basedOn w:val="a"/>
    <w:link w:val="Char4"/>
    <w:uiPriority w:val="99"/>
    <w:semiHidden/>
    <w:unhideWhenUsed/>
    <w:rsid w:val="001B07B4"/>
    <w:rPr>
      <w:sz w:val="18"/>
      <w:szCs w:val="18"/>
      <w:lang/>
    </w:rPr>
  </w:style>
  <w:style w:type="character" w:customStyle="1" w:styleId="Char4">
    <w:name w:val="批注框文本 Char"/>
    <w:link w:val="aa"/>
    <w:uiPriority w:val="99"/>
    <w:semiHidden/>
    <w:rsid w:val="001B07B4"/>
    <w:rPr>
      <w:kern w:val="2"/>
      <w:sz w:val="18"/>
      <w:szCs w:val="18"/>
    </w:rPr>
  </w:style>
  <w:style w:type="paragraph" w:styleId="ab">
    <w:name w:val="Revision"/>
    <w:hidden/>
    <w:uiPriority w:val="99"/>
    <w:semiHidden/>
    <w:rsid w:val="00350927"/>
    <w:rPr>
      <w:kern w:val="2"/>
      <w:sz w:val="21"/>
      <w:szCs w:val="22"/>
    </w:rPr>
  </w:style>
  <w:style w:type="character" w:customStyle="1" w:styleId="ac">
    <w:name w:val="未处理的提及"/>
    <w:uiPriority w:val="99"/>
    <w:semiHidden/>
    <w:unhideWhenUsed/>
    <w:rsid w:val="00913746"/>
    <w:rPr>
      <w:color w:val="605E5C"/>
      <w:shd w:val="clear" w:color="auto" w:fill="E1DFDD"/>
    </w:rPr>
  </w:style>
  <w:style w:type="table" w:styleId="ad">
    <w:name w:val="Table Grid"/>
    <w:basedOn w:val="a1"/>
    <w:uiPriority w:val="59"/>
    <w:rsid w:val="005673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7086121">
      <w:bodyDiv w:val="1"/>
      <w:marLeft w:val="0"/>
      <w:marRight w:val="0"/>
      <w:marTop w:val="0"/>
      <w:marBottom w:val="0"/>
      <w:divBdr>
        <w:top w:val="none" w:sz="0" w:space="0" w:color="auto"/>
        <w:left w:val="none" w:sz="0" w:space="0" w:color="auto"/>
        <w:bottom w:val="none" w:sz="0" w:space="0" w:color="auto"/>
        <w:right w:val="none" w:sz="0" w:space="0" w:color="auto"/>
      </w:divBdr>
    </w:div>
    <w:div w:id="1530679219">
      <w:bodyDiv w:val="1"/>
      <w:marLeft w:val="0"/>
      <w:marRight w:val="0"/>
      <w:marTop w:val="0"/>
      <w:marBottom w:val="0"/>
      <w:divBdr>
        <w:top w:val="none" w:sz="0" w:space="0" w:color="auto"/>
        <w:left w:val="none" w:sz="0" w:space="0" w:color="auto"/>
        <w:bottom w:val="none" w:sz="0" w:space="0" w:color="auto"/>
        <w:right w:val="none" w:sz="0" w:space="0" w:color="auto"/>
      </w:divBdr>
    </w:div>
    <w:div w:id="1910917931">
      <w:bodyDiv w:val="1"/>
      <w:marLeft w:val="0"/>
      <w:marRight w:val="0"/>
      <w:marTop w:val="0"/>
      <w:marBottom w:val="0"/>
      <w:divBdr>
        <w:top w:val="none" w:sz="0" w:space="0" w:color="auto"/>
        <w:left w:val="none" w:sz="0" w:space="0" w:color="auto"/>
        <w:bottom w:val="none" w:sz="0" w:space="0" w:color="auto"/>
        <w:right w:val="none" w:sz="0" w:space="0" w:color="auto"/>
      </w:divBdr>
    </w:div>
    <w:div w:id="191164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ck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1283</Characters>
  <Application>Microsoft Office Word</Application>
  <DocSecurity>4</DocSecurity>
  <Lines>10</Lines>
  <Paragraphs>3</Paragraphs>
  <ScaleCrop>false</ScaleCrop>
  <Company/>
  <LinksUpToDate>false</LinksUpToDate>
  <CharactersWithSpaces>1505</CharactersWithSpaces>
  <SharedDoc>false</SharedDoc>
  <HLinks>
    <vt:vector size="6" baseType="variant">
      <vt:variant>
        <vt:i4>6094927</vt:i4>
      </vt:variant>
      <vt:variant>
        <vt:i4>0</vt:i4>
      </vt:variant>
      <vt:variant>
        <vt:i4>0</vt:i4>
      </vt:variant>
      <vt:variant>
        <vt:i4>5</vt:i4>
      </vt:variant>
      <vt:variant>
        <vt:lpwstr>http://www.stocke.com.cn/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JonMMx 2000</cp:lastModifiedBy>
  <cp:revision>2</cp:revision>
  <cp:lastPrinted>2019-05-23T08:48:00Z</cp:lastPrinted>
  <dcterms:created xsi:type="dcterms:W3CDTF">2020-05-29T16:00:00Z</dcterms:created>
  <dcterms:modified xsi:type="dcterms:W3CDTF">2020-05-29T16:00:00Z</dcterms:modified>
</cp:coreProperties>
</file>