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47" w:rsidRDefault="00236947" w:rsidP="000F552A">
      <w:pPr>
        <w:jc w:val="center"/>
        <w:rPr>
          <w:rFonts w:ascii="宋体" w:hAnsi="宋体" w:hint="eastAsia"/>
          <w:b/>
          <w:color w:val="000000"/>
          <w:sz w:val="30"/>
          <w:szCs w:val="30"/>
        </w:rPr>
      </w:pPr>
      <w:r w:rsidRPr="00236947">
        <w:rPr>
          <w:rFonts w:ascii="宋体" w:hAnsi="宋体" w:hint="eastAsia"/>
          <w:b/>
          <w:color w:val="000000"/>
          <w:sz w:val="30"/>
          <w:szCs w:val="30"/>
        </w:rPr>
        <w:t>申万菱信基金管理有限公司</w:t>
      </w:r>
    </w:p>
    <w:p w:rsidR="00AB1484" w:rsidRDefault="004D597B" w:rsidP="000F552A">
      <w:pPr>
        <w:jc w:val="center"/>
        <w:rPr>
          <w:rFonts w:ascii="宋体" w:hAnsi="宋体" w:hint="eastAsia"/>
          <w:b/>
          <w:color w:val="000000"/>
          <w:sz w:val="30"/>
          <w:szCs w:val="30"/>
        </w:rPr>
      </w:pPr>
      <w:r w:rsidRPr="004D597B">
        <w:rPr>
          <w:rFonts w:ascii="宋体" w:hAnsi="宋体" w:hint="eastAsia"/>
          <w:b/>
          <w:color w:val="000000"/>
          <w:sz w:val="30"/>
          <w:szCs w:val="30"/>
        </w:rPr>
        <w:t>关于旗下</w:t>
      </w:r>
      <w:r w:rsidR="00CE6797">
        <w:rPr>
          <w:rFonts w:ascii="宋体" w:hAnsi="宋体" w:hint="eastAsia"/>
          <w:b/>
          <w:color w:val="000000"/>
          <w:sz w:val="30"/>
          <w:szCs w:val="30"/>
        </w:rPr>
        <w:t>部分</w:t>
      </w:r>
      <w:r w:rsidRPr="004D597B">
        <w:rPr>
          <w:rFonts w:ascii="宋体" w:hAnsi="宋体" w:hint="eastAsia"/>
          <w:b/>
          <w:color w:val="000000"/>
          <w:sz w:val="30"/>
          <w:szCs w:val="30"/>
        </w:rPr>
        <w:t>基金新增</w:t>
      </w:r>
      <w:r w:rsidR="00E61443" w:rsidRPr="00E61443">
        <w:rPr>
          <w:rFonts w:ascii="宋体" w:hAnsi="宋体" w:hint="eastAsia"/>
          <w:b/>
          <w:color w:val="000000"/>
          <w:sz w:val="30"/>
          <w:szCs w:val="30"/>
        </w:rPr>
        <w:t>恒泰证券股份有限公司</w:t>
      </w:r>
      <w:r w:rsidRPr="004D597B">
        <w:rPr>
          <w:rFonts w:ascii="宋体" w:hAnsi="宋体" w:hint="eastAsia"/>
          <w:b/>
          <w:color w:val="000000"/>
          <w:sz w:val="30"/>
          <w:szCs w:val="30"/>
        </w:rPr>
        <w:t>代销机构</w:t>
      </w:r>
    </w:p>
    <w:p w:rsidR="00801188" w:rsidRPr="00B65381" w:rsidRDefault="004D597B" w:rsidP="000F552A">
      <w:pPr>
        <w:jc w:val="center"/>
        <w:rPr>
          <w:rFonts w:ascii="宋体" w:hAnsi="宋体" w:hint="eastAsia"/>
          <w:b/>
          <w:color w:val="000000"/>
          <w:sz w:val="30"/>
          <w:szCs w:val="30"/>
        </w:rPr>
      </w:pPr>
      <w:r w:rsidRPr="004D597B">
        <w:rPr>
          <w:rFonts w:ascii="宋体" w:hAnsi="宋体" w:hint="eastAsia"/>
          <w:b/>
          <w:color w:val="000000"/>
          <w:sz w:val="30"/>
          <w:szCs w:val="30"/>
        </w:rPr>
        <w:t>并开通定期定额投资、转换业务的公告</w:t>
      </w:r>
    </w:p>
    <w:p w:rsidR="00E43629" w:rsidRPr="00B65381" w:rsidRDefault="00E43629" w:rsidP="00191B2E">
      <w:pPr>
        <w:widowControl/>
        <w:spacing w:line="360" w:lineRule="auto"/>
        <w:ind w:firstLineChars="200" w:firstLine="480"/>
        <w:rPr>
          <w:rFonts w:hAnsi="宋体" w:hint="eastAsia"/>
          <w:color w:val="000000"/>
          <w:sz w:val="24"/>
        </w:rPr>
      </w:pPr>
    </w:p>
    <w:p w:rsidR="00E61443" w:rsidRPr="00B65381" w:rsidRDefault="00C70662" w:rsidP="00C70662">
      <w:pPr>
        <w:widowControl/>
        <w:spacing w:line="360" w:lineRule="auto"/>
        <w:ind w:firstLineChars="200" w:firstLine="480"/>
        <w:rPr>
          <w:rFonts w:hAnsi="宋体" w:hint="eastAsia"/>
          <w:color w:val="000000"/>
          <w:sz w:val="24"/>
        </w:rPr>
      </w:pPr>
      <w:r w:rsidRPr="00C70662">
        <w:rPr>
          <w:rFonts w:hAnsi="宋体" w:hint="eastAsia"/>
          <w:color w:val="000000"/>
          <w:sz w:val="24"/>
        </w:rPr>
        <w:t>为更好地满足广大投资者的理财需求</w:t>
      </w:r>
      <w:r w:rsidR="00E61443" w:rsidRPr="00E61443">
        <w:rPr>
          <w:rFonts w:hAnsi="宋体" w:hint="eastAsia"/>
          <w:color w:val="000000"/>
          <w:sz w:val="24"/>
        </w:rPr>
        <w:t>，</w:t>
      </w:r>
      <w:r w:rsidR="00E61443">
        <w:rPr>
          <w:rFonts w:hAnsi="宋体" w:hint="eastAsia"/>
          <w:color w:val="000000"/>
          <w:sz w:val="24"/>
        </w:rPr>
        <w:t>经与</w:t>
      </w:r>
      <w:r w:rsidR="00E61443" w:rsidRPr="00CE6797">
        <w:rPr>
          <w:rFonts w:hAnsi="宋体" w:hint="eastAsia"/>
          <w:color w:val="000000"/>
          <w:sz w:val="24"/>
        </w:rPr>
        <w:t>恒泰证券股份有限公司</w:t>
      </w:r>
      <w:r w:rsidR="00E61443" w:rsidRPr="00B65381">
        <w:rPr>
          <w:rFonts w:hAnsi="宋体" w:hint="eastAsia"/>
          <w:color w:val="000000"/>
          <w:sz w:val="24"/>
        </w:rPr>
        <w:t>（</w:t>
      </w:r>
      <w:r w:rsidR="00E61443" w:rsidRPr="00B65381">
        <w:rPr>
          <w:rFonts w:hAnsi="宋体"/>
          <w:color w:val="000000"/>
          <w:sz w:val="24"/>
        </w:rPr>
        <w:t>以下简称</w:t>
      </w:r>
      <w:r w:rsidR="00E61443" w:rsidRPr="00B65381">
        <w:rPr>
          <w:rFonts w:hAnsi="宋体" w:hint="eastAsia"/>
          <w:color w:val="000000"/>
          <w:sz w:val="24"/>
        </w:rPr>
        <w:t>“</w:t>
      </w:r>
      <w:r w:rsidR="00E61443">
        <w:rPr>
          <w:rFonts w:hAnsi="宋体" w:hint="eastAsia"/>
          <w:color w:val="000000"/>
          <w:sz w:val="24"/>
        </w:rPr>
        <w:t>恒泰证券</w:t>
      </w:r>
      <w:r w:rsidR="00E61443" w:rsidRPr="00B65381">
        <w:rPr>
          <w:rFonts w:hAnsi="宋体" w:hint="eastAsia"/>
          <w:color w:val="000000"/>
          <w:sz w:val="24"/>
        </w:rPr>
        <w:t>”）协商一致，</w:t>
      </w:r>
      <w:r w:rsidR="00E61443" w:rsidRPr="00E61443">
        <w:rPr>
          <w:rFonts w:hAnsi="宋体" w:hint="eastAsia"/>
          <w:color w:val="000000"/>
          <w:sz w:val="24"/>
        </w:rPr>
        <w:t>申万菱信基金管理有限公司（以下简称“本公司”）决定</w:t>
      </w:r>
      <w:r w:rsidR="00E61443" w:rsidRPr="00B65381">
        <w:rPr>
          <w:rFonts w:hAnsi="宋体"/>
          <w:color w:val="000000"/>
          <w:sz w:val="24"/>
        </w:rPr>
        <w:t>自</w:t>
      </w:r>
      <w:r w:rsidR="00E61443" w:rsidRPr="00B65381">
        <w:rPr>
          <w:color w:val="000000"/>
          <w:sz w:val="24"/>
        </w:rPr>
        <w:t>20</w:t>
      </w:r>
      <w:r w:rsidR="00E61443">
        <w:rPr>
          <w:rFonts w:hint="eastAsia"/>
          <w:color w:val="000000"/>
          <w:sz w:val="24"/>
        </w:rPr>
        <w:t>20</w:t>
      </w:r>
      <w:r w:rsidR="00E61443" w:rsidRPr="00B65381">
        <w:rPr>
          <w:color w:val="000000"/>
          <w:sz w:val="24"/>
        </w:rPr>
        <w:t>年</w:t>
      </w:r>
      <w:r w:rsidR="00E61443">
        <w:rPr>
          <w:rFonts w:hint="eastAsia"/>
          <w:color w:val="000000"/>
          <w:sz w:val="24"/>
        </w:rPr>
        <w:t>6</w:t>
      </w:r>
      <w:r w:rsidR="00E61443" w:rsidRPr="00B65381">
        <w:rPr>
          <w:color w:val="000000"/>
          <w:sz w:val="24"/>
        </w:rPr>
        <w:t>月</w:t>
      </w:r>
      <w:r w:rsidR="00E61443">
        <w:rPr>
          <w:rFonts w:hint="eastAsia"/>
          <w:color w:val="000000"/>
          <w:sz w:val="24"/>
        </w:rPr>
        <w:t>1</w:t>
      </w:r>
      <w:r w:rsidR="00E61443" w:rsidRPr="00B65381">
        <w:rPr>
          <w:color w:val="000000"/>
          <w:sz w:val="24"/>
        </w:rPr>
        <w:t>日</w:t>
      </w:r>
      <w:r w:rsidR="00E61443" w:rsidRPr="004D597B">
        <w:rPr>
          <w:color w:val="000000"/>
          <w:sz w:val="24"/>
        </w:rPr>
        <w:t>起</w:t>
      </w:r>
      <w:r w:rsidR="00E61443" w:rsidRPr="00E61443">
        <w:rPr>
          <w:rFonts w:hAnsi="宋体" w:hint="eastAsia"/>
          <w:color w:val="000000"/>
          <w:sz w:val="24"/>
        </w:rPr>
        <w:t>，</w:t>
      </w:r>
      <w:r w:rsidR="00E61443">
        <w:rPr>
          <w:rFonts w:hAnsi="宋体" w:hint="eastAsia"/>
          <w:color w:val="000000"/>
          <w:sz w:val="24"/>
        </w:rPr>
        <w:t>旗下部分基金</w:t>
      </w:r>
      <w:r w:rsidR="00DB71A2">
        <w:rPr>
          <w:rFonts w:hAnsi="宋体" w:hint="eastAsia"/>
          <w:color w:val="000000"/>
          <w:sz w:val="24"/>
        </w:rPr>
        <w:t>新增</w:t>
      </w:r>
      <w:r w:rsidR="00DB71A2" w:rsidRPr="00CE6797">
        <w:rPr>
          <w:rFonts w:hAnsi="宋体" w:hint="eastAsia"/>
          <w:color w:val="000000"/>
          <w:sz w:val="24"/>
        </w:rPr>
        <w:t>恒泰证券</w:t>
      </w:r>
      <w:r w:rsidR="00DB71A2">
        <w:rPr>
          <w:rFonts w:hAnsi="宋体" w:hint="eastAsia"/>
          <w:color w:val="000000"/>
          <w:sz w:val="24"/>
        </w:rPr>
        <w:t>为代销机构，开通</w:t>
      </w:r>
      <w:r w:rsidR="00E61443">
        <w:rPr>
          <w:rFonts w:hAnsi="宋体" w:hint="eastAsia"/>
          <w:color w:val="000000"/>
          <w:sz w:val="24"/>
        </w:rPr>
        <w:t>定期定额投资、转换业务</w:t>
      </w:r>
      <w:r w:rsidR="00DB71A2">
        <w:rPr>
          <w:rFonts w:hAnsi="宋体" w:hint="eastAsia"/>
          <w:color w:val="000000"/>
          <w:sz w:val="24"/>
        </w:rPr>
        <w:t>。</w:t>
      </w:r>
      <w:r w:rsidR="00E61443" w:rsidRPr="00B65381">
        <w:rPr>
          <w:rFonts w:hAnsi="宋体"/>
          <w:color w:val="000000"/>
          <w:sz w:val="24"/>
        </w:rPr>
        <w:t>详情如下：</w:t>
      </w:r>
    </w:p>
    <w:p w:rsidR="00C70662" w:rsidRPr="00C70662" w:rsidRDefault="00C70662" w:rsidP="00C70662">
      <w:pPr>
        <w:numPr>
          <w:ilvl w:val="0"/>
          <w:numId w:val="23"/>
        </w:numPr>
        <w:rPr>
          <w:rFonts w:ascii="宋体" w:hAnsi="宋体" w:hint="eastAsia"/>
          <w:b/>
          <w:color w:val="000000"/>
          <w:sz w:val="24"/>
        </w:rPr>
      </w:pPr>
      <w:r w:rsidRPr="00C70662">
        <w:rPr>
          <w:rFonts w:ascii="宋体" w:hAnsi="宋体" w:hint="eastAsia"/>
          <w:b/>
          <w:color w:val="000000"/>
          <w:sz w:val="24"/>
        </w:rPr>
        <w:t>新增代销业务</w:t>
      </w:r>
    </w:p>
    <w:tbl>
      <w:tblPr>
        <w:tblW w:w="84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663"/>
        <w:gridCol w:w="1751"/>
      </w:tblGrid>
      <w:tr w:rsidR="00C70662" w:rsidTr="00F367DF">
        <w:trPr>
          <w:trHeight w:val="285"/>
        </w:trPr>
        <w:tc>
          <w:tcPr>
            <w:tcW w:w="6663" w:type="dxa"/>
            <w:tcBorders>
              <w:top w:val="single" w:sz="2" w:space="0" w:color="auto"/>
              <w:left w:val="single" w:sz="2" w:space="0" w:color="auto"/>
              <w:bottom w:val="single" w:sz="2" w:space="0" w:color="auto"/>
              <w:right w:val="single" w:sz="2" w:space="0" w:color="auto"/>
            </w:tcBorders>
            <w:noWrap/>
            <w:vAlign w:val="bottom"/>
            <w:hideMark/>
          </w:tcPr>
          <w:p w:rsidR="00C70662" w:rsidRPr="00E61443" w:rsidRDefault="00C70662" w:rsidP="00F367DF">
            <w:pPr>
              <w:widowControl/>
              <w:spacing w:line="360" w:lineRule="auto"/>
              <w:jc w:val="left"/>
              <w:rPr>
                <w:color w:val="000000"/>
                <w:sz w:val="24"/>
              </w:rPr>
            </w:pPr>
            <w:r w:rsidRPr="00E61443">
              <w:rPr>
                <w:rFonts w:hint="eastAsia"/>
                <w:color w:val="000000"/>
                <w:sz w:val="24"/>
              </w:rPr>
              <w:t>基金名称</w:t>
            </w:r>
          </w:p>
        </w:tc>
        <w:tc>
          <w:tcPr>
            <w:tcW w:w="1751" w:type="dxa"/>
            <w:tcBorders>
              <w:top w:val="single" w:sz="2" w:space="0" w:color="auto"/>
              <w:left w:val="single" w:sz="2" w:space="0" w:color="auto"/>
              <w:bottom w:val="single" w:sz="2" w:space="0" w:color="auto"/>
              <w:right w:val="single" w:sz="2" w:space="0" w:color="auto"/>
            </w:tcBorders>
            <w:noWrap/>
            <w:vAlign w:val="bottom"/>
            <w:hideMark/>
          </w:tcPr>
          <w:p w:rsidR="00C70662" w:rsidRPr="00E61443" w:rsidRDefault="00C70662" w:rsidP="00F367DF">
            <w:pPr>
              <w:widowControl/>
              <w:spacing w:line="360" w:lineRule="auto"/>
              <w:jc w:val="left"/>
              <w:rPr>
                <w:color w:val="000000"/>
                <w:sz w:val="24"/>
              </w:rPr>
            </w:pPr>
            <w:r w:rsidRPr="00E61443">
              <w:rPr>
                <w:rFonts w:hint="eastAsia"/>
                <w:color w:val="000000"/>
                <w:sz w:val="24"/>
              </w:rPr>
              <w:t>基金代码</w:t>
            </w:r>
          </w:p>
        </w:tc>
      </w:tr>
      <w:tr w:rsidR="00C70662" w:rsidTr="00F367DF">
        <w:trPr>
          <w:trHeight w:val="285"/>
        </w:trPr>
        <w:tc>
          <w:tcPr>
            <w:tcW w:w="6663" w:type="dxa"/>
            <w:tcBorders>
              <w:top w:val="single" w:sz="2" w:space="0" w:color="auto"/>
              <w:left w:val="single" w:sz="2" w:space="0" w:color="auto"/>
              <w:bottom w:val="single" w:sz="2" w:space="0" w:color="auto"/>
              <w:right w:val="single" w:sz="2" w:space="0" w:color="auto"/>
            </w:tcBorders>
            <w:noWrap/>
            <w:vAlign w:val="center"/>
            <w:hideMark/>
          </w:tcPr>
          <w:p w:rsidR="00C70662" w:rsidRPr="00E61443" w:rsidRDefault="00C70662" w:rsidP="00F367DF">
            <w:pPr>
              <w:widowControl/>
              <w:spacing w:line="360" w:lineRule="auto"/>
              <w:jc w:val="left"/>
              <w:rPr>
                <w:color w:val="000000"/>
                <w:sz w:val="24"/>
              </w:rPr>
            </w:pPr>
            <w:r w:rsidRPr="00CE6797">
              <w:rPr>
                <w:rFonts w:hint="eastAsia"/>
                <w:color w:val="000000"/>
                <w:sz w:val="24"/>
              </w:rPr>
              <w:t>申万菱信中证</w:t>
            </w:r>
            <w:r w:rsidRPr="00CE6797">
              <w:rPr>
                <w:rFonts w:hint="eastAsia"/>
                <w:color w:val="000000"/>
                <w:sz w:val="24"/>
              </w:rPr>
              <w:t>500</w:t>
            </w:r>
            <w:r w:rsidRPr="00CE6797">
              <w:rPr>
                <w:rFonts w:hint="eastAsia"/>
                <w:color w:val="000000"/>
                <w:sz w:val="24"/>
              </w:rPr>
              <w:t>指数增强型证券投资基金</w:t>
            </w:r>
            <w:r>
              <w:rPr>
                <w:rFonts w:hint="eastAsia"/>
                <w:color w:val="000000"/>
                <w:sz w:val="24"/>
              </w:rPr>
              <w:t>（</w:t>
            </w:r>
            <w:r>
              <w:rPr>
                <w:rFonts w:hint="eastAsia"/>
                <w:color w:val="000000"/>
                <w:sz w:val="24"/>
              </w:rPr>
              <w:t>A</w:t>
            </w:r>
            <w:r>
              <w:rPr>
                <w:rFonts w:hint="eastAsia"/>
                <w:color w:val="000000"/>
                <w:sz w:val="24"/>
              </w:rPr>
              <w:t>类</w:t>
            </w:r>
            <w:r>
              <w:rPr>
                <w:rFonts w:hint="eastAsia"/>
                <w:color w:val="000000"/>
                <w:sz w:val="24"/>
              </w:rPr>
              <w:t>/C</w:t>
            </w:r>
            <w:r>
              <w:rPr>
                <w:rFonts w:hint="eastAsia"/>
                <w:color w:val="000000"/>
                <w:sz w:val="24"/>
              </w:rPr>
              <w:t>类）</w:t>
            </w:r>
          </w:p>
        </w:tc>
        <w:tc>
          <w:tcPr>
            <w:tcW w:w="1751" w:type="dxa"/>
            <w:tcBorders>
              <w:top w:val="single" w:sz="2" w:space="0" w:color="auto"/>
              <w:left w:val="single" w:sz="2" w:space="0" w:color="auto"/>
              <w:bottom w:val="single" w:sz="2" w:space="0" w:color="auto"/>
              <w:right w:val="single" w:sz="2" w:space="0" w:color="auto"/>
            </w:tcBorders>
            <w:noWrap/>
            <w:vAlign w:val="center"/>
            <w:hideMark/>
          </w:tcPr>
          <w:p w:rsidR="00C70662" w:rsidRPr="00E61443" w:rsidRDefault="00C70662" w:rsidP="00F367DF">
            <w:pPr>
              <w:widowControl/>
              <w:spacing w:line="360" w:lineRule="auto"/>
              <w:jc w:val="left"/>
              <w:rPr>
                <w:color w:val="000000"/>
                <w:sz w:val="24"/>
              </w:rPr>
            </w:pPr>
            <w:r w:rsidRPr="00CE6797">
              <w:rPr>
                <w:color w:val="000000"/>
                <w:sz w:val="24"/>
              </w:rPr>
              <w:t>002510</w:t>
            </w:r>
            <w:r>
              <w:rPr>
                <w:rFonts w:hint="eastAsia"/>
                <w:color w:val="000000"/>
                <w:sz w:val="24"/>
              </w:rPr>
              <w:t>/</w:t>
            </w:r>
            <w:r w:rsidRPr="00E61443">
              <w:rPr>
                <w:color w:val="000000"/>
                <w:sz w:val="24"/>
              </w:rPr>
              <w:t>007795</w:t>
            </w:r>
          </w:p>
        </w:tc>
      </w:tr>
      <w:tr w:rsidR="00C70662" w:rsidTr="00F367DF">
        <w:trPr>
          <w:trHeight w:val="285"/>
        </w:trPr>
        <w:tc>
          <w:tcPr>
            <w:tcW w:w="6663" w:type="dxa"/>
            <w:tcBorders>
              <w:top w:val="single" w:sz="2" w:space="0" w:color="auto"/>
              <w:left w:val="single" w:sz="2" w:space="0" w:color="auto"/>
              <w:bottom w:val="single" w:sz="2" w:space="0" w:color="auto"/>
              <w:right w:val="single" w:sz="2" w:space="0" w:color="auto"/>
            </w:tcBorders>
            <w:noWrap/>
            <w:vAlign w:val="center"/>
            <w:hideMark/>
          </w:tcPr>
          <w:p w:rsidR="00C70662" w:rsidRPr="00E61443" w:rsidRDefault="00C70662" w:rsidP="00F367DF">
            <w:pPr>
              <w:widowControl/>
              <w:spacing w:line="360" w:lineRule="auto"/>
              <w:jc w:val="left"/>
              <w:rPr>
                <w:color w:val="000000"/>
                <w:sz w:val="24"/>
              </w:rPr>
            </w:pPr>
            <w:r w:rsidRPr="00CE6797">
              <w:rPr>
                <w:rFonts w:hint="eastAsia"/>
                <w:color w:val="000000"/>
                <w:sz w:val="24"/>
              </w:rPr>
              <w:t>申万菱信中证</w:t>
            </w:r>
            <w:r w:rsidRPr="00CE6797">
              <w:rPr>
                <w:rFonts w:hint="eastAsia"/>
                <w:color w:val="000000"/>
                <w:sz w:val="24"/>
              </w:rPr>
              <w:t>500</w:t>
            </w:r>
            <w:r w:rsidRPr="00CE6797">
              <w:rPr>
                <w:rFonts w:hint="eastAsia"/>
                <w:color w:val="000000"/>
                <w:sz w:val="24"/>
              </w:rPr>
              <w:t>指数优选增强型证券投资基金</w:t>
            </w:r>
            <w:r>
              <w:rPr>
                <w:rFonts w:hint="eastAsia"/>
                <w:color w:val="000000"/>
                <w:sz w:val="24"/>
              </w:rPr>
              <w:t>（</w:t>
            </w:r>
            <w:r>
              <w:rPr>
                <w:rFonts w:hint="eastAsia"/>
                <w:color w:val="000000"/>
                <w:sz w:val="24"/>
              </w:rPr>
              <w:t>A</w:t>
            </w:r>
            <w:r>
              <w:rPr>
                <w:rFonts w:hint="eastAsia"/>
                <w:color w:val="000000"/>
                <w:sz w:val="24"/>
              </w:rPr>
              <w:t>类</w:t>
            </w:r>
            <w:r>
              <w:rPr>
                <w:rFonts w:hint="eastAsia"/>
                <w:color w:val="000000"/>
                <w:sz w:val="24"/>
              </w:rPr>
              <w:t>/C</w:t>
            </w:r>
            <w:r>
              <w:rPr>
                <w:rFonts w:hint="eastAsia"/>
                <w:color w:val="000000"/>
                <w:sz w:val="24"/>
              </w:rPr>
              <w:t>类）</w:t>
            </w:r>
          </w:p>
        </w:tc>
        <w:tc>
          <w:tcPr>
            <w:tcW w:w="1751" w:type="dxa"/>
            <w:tcBorders>
              <w:top w:val="single" w:sz="2" w:space="0" w:color="auto"/>
              <w:left w:val="single" w:sz="2" w:space="0" w:color="auto"/>
              <w:bottom w:val="single" w:sz="2" w:space="0" w:color="auto"/>
              <w:right w:val="single" w:sz="2" w:space="0" w:color="auto"/>
            </w:tcBorders>
            <w:noWrap/>
            <w:vAlign w:val="center"/>
            <w:hideMark/>
          </w:tcPr>
          <w:p w:rsidR="00C70662" w:rsidRPr="00E61443" w:rsidRDefault="00C70662" w:rsidP="00F367DF">
            <w:pPr>
              <w:widowControl/>
              <w:spacing w:line="360" w:lineRule="auto"/>
              <w:jc w:val="left"/>
              <w:rPr>
                <w:color w:val="000000"/>
                <w:sz w:val="24"/>
              </w:rPr>
            </w:pPr>
            <w:r w:rsidRPr="00CE6797">
              <w:rPr>
                <w:color w:val="000000"/>
                <w:sz w:val="24"/>
              </w:rPr>
              <w:t>003986</w:t>
            </w:r>
            <w:r>
              <w:rPr>
                <w:rFonts w:hint="eastAsia"/>
                <w:color w:val="000000"/>
                <w:sz w:val="24"/>
              </w:rPr>
              <w:t>/</w:t>
            </w:r>
            <w:r w:rsidRPr="00E61443">
              <w:rPr>
                <w:color w:val="000000"/>
                <w:sz w:val="24"/>
              </w:rPr>
              <w:t>007794</w:t>
            </w:r>
          </w:p>
        </w:tc>
      </w:tr>
    </w:tbl>
    <w:p w:rsidR="00C70662" w:rsidRDefault="00C70662" w:rsidP="00C70662">
      <w:pPr>
        <w:spacing w:line="360" w:lineRule="auto"/>
        <w:rPr>
          <w:rFonts w:ascii="宋体" w:hAnsi="宋体" w:hint="eastAsia"/>
          <w:b/>
          <w:color w:val="000000"/>
          <w:sz w:val="24"/>
        </w:rPr>
      </w:pPr>
    </w:p>
    <w:p w:rsidR="002555BF" w:rsidRPr="00E61443" w:rsidRDefault="002555BF" w:rsidP="00E61443">
      <w:pPr>
        <w:numPr>
          <w:ilvl w:val="0"/>
          <w:numId w:val="23"/>
        </w:numPr>
        <w:spacing w:line="360" w:lineRule="auto"/>
        <w:ind w:left="709" w:hanging="283"/>
        <w:rPr>
          <w:rFonts w:ascii="宋体" w:hAnsi="宋体"/>
          <w:b/>
          <w:color w:val="000000"/>
          <w:sz w:val="24"/>
        </w:rPr>
      </w:pPr>
      <w:r w:rsidRPr="00E61443">
        <w:rPr>
          <w:rFonts w:ascii="宋体" w:hAnsi="宋体"/>
          <w:b/>
          <w:color w:val="000000"/>
          <w:sz w:val="24"/>
        </w:rPr>
        <w:t>基金转换业务</w:t>
      </w:r>
    </w:p>
    <w:p w:rsidR="00C70662" w:rsidRPr="00C70662" w:rsidRDefault="00C70662" w:rsidP="00C70662">
      <w:pPr>
        <w:widowControl/>
        <w:spacing w:line="360" w:lineRule="auto"/>
        <w:ind w:firstLineChars="200" w:firstLine="480"/>
        <w:rPr>
          <w:rFonts w:hAnsi="宋体" w:hint="eastAsia"/>
          <w:color w:val="000000"/>
          <w:sz w:val="24"/>
        </w:rPr>
      </w:pPr>
      <w:r w:rsidRPr="00C70662">
        <w:rPr>
          <w:rFonts w:hAnsi="宋体" w:hint="eastAsia"/>
          <w:color w:val="000000"/>
          <w:sz w:val="24"/>
        </w:rPr>
        <w:t>经与</w:t>
      </w:r>
      <w:r>
        <w:rPr>
          <w:rFonts w:hAnsi="宋体" w:hint="eastAsia"/>
          <w:color w:val="000000"/>
          <w:sz w:val="24"/>
        </w:rPr>
        <w:t>恒泰证券</w:t>
      </w:r>
      <w:r w:rsidRPr="00C70662">
        <w:rPr>
          <w:rFonts w:hAnsi="宋体" w:hint="eastAsia"/>
          <w:color w:val="000000"/>
          <w:sz w:val="24"/>
        </w:rPr>
        <w:t>协商一致，自</w:t>
      </w:r>
      <w:r w:rsidRPr="00C70662">
        <w:rPr>
          <w:rFonts w:hAnsi="宋体" w:hint="eastAsia"/>
          <w:color w:val="000000"/>
          <w:sz w:val="24"/>
        </w:rPr>
        <w:t>2020</w:t>
      </w:r>
      <w:r w:rsidRPr="00C70662">
        <w:rPr>
          <w:rFonts w:hAnsi="宋体" w:hint="eastAsia"/>
          <w:color w:val="000000"/>
          <w:sz w:val="24"/>
        </w:rPr>
        <w:t>年</w:t>
      </w:r>
      <w:r>
        <w:rPr>
          <w:rFonts w:hAnsi="宋体" w:hint="eastAsia"/>
          <w:color w:val="000000"/>
          <w:sz w:val="24"/>
        </w:rPr>
        <w:t>6</w:t>
      </w:r>
      <w:r w:rsidRPr="00C70662">
        <w:rPr>
          <w:rFonts w:hAnsi="宋体" w:hint="eastAsia"/>
          <w:color w:val="000000"/>
          <w:sz w:val="24"/>
        </w:rPr>
        <w:t>月</w:t>
      </w:r>
      <w:r>
        <w:rPr>
          <w:rFonts w:hAnsi="宋体" w:hint="eastAsia"/>
          <w:color w:val="000000"/>
          <w:sz w:val="24"/>
        </w:rPr>
        <w:t>1</w:t>
      </w:r>
      <w:r w:rsidRPr="00C70662">
        <w:rPr>
          <w:rFonts w:hAnsi="宋体" w:hint="eastAsia"/>
          <w:color w:val="000000"/>
          <w:sz w:val="24"/>
        </w:rPr>
        <w:t>日起，本公司将在</w:t>
      </w:r>
      <w:r>
        <w:rPr>
          <w:rFonts w:hAnsi="宋体" w:hint="eastAsia"/>
          <w:color w:val="000000"/>
          <w:sz w:val="24"/>
        </w:rPr>
        <w:t>恒泰证券</w:t>
      </w:r>
      <w:r w:rsidRPr="00C70662">
        <w:rPr>
          <w:rFonts w:hAnsi="宋体" w:hint="eastAsia"/>
          <w:color w:val="000000"/>
          <w:sz w:val="24"/>
        </w:rPr>
        <w:t>开通上述基金之间的互相转换业务。</w:t>
      </w:r>
    </w:p>
    <w:p w:rsidR="00E61443" w:rsidRDefault="00C70662" w:rsidP="00C70662">
      <w:pPr>
        <w:widowControl/>
        <w:spacing w:line="360" w:lineRule="auto"/>
        <w:ind w:firstLineChars="200" w:firstLine="480"/>
        <w:rPr>
          <w:rFonts w:hAnsi="宋体" w:hint="eastAsia"/>
          <w:color w:val="000000"/>
          <w:sz w:val="24"/>
        </w:rPr>
      </w:pPr>
      <w:r w:rsidRPr="00C70662">
        <w:rPr>
          <w:rFonts w:hAnsi="宋体" w:hint="eastAsia"/>
          <w:color w:val="000000"/>
          <w:sz w:val="24"/>
        </w:rPr>
        <w:t>具体业务规则请遵循</w:t>
      </w:r>
      <w:r>
        <w:rPr>
          <w:rFonts w:hAnsi="宋体" w:hint="eastAsia"/>
          <w:color w:val="000000"/>
          <w:sz w:val="24"/>
        </w:rPr>
        <w:t>恒泰证券</w:t>
      </w:r>
      <w:r w:rsidRPr="00C70662">
        <w:rPr>
          <w:rFonts w:hAnsi="宋体" w:hint="eastAsia"/>
          <w:color w:val="000000"/>
          <w:sz w:val="24"/>
        </w:rPr>
        <w:t>的规定，各基金的相关费率请查阅各基金最新的招募说明书（更新）或登录本公司网站查询。</w:t>
      </w:r>
    </w:p>
    <w:p w:rsidR="00C70662" w:rsidRPr="00C70662" w:rsidRDefault="00C70662" w:rsidP="00C70662">
      <w:pPr>
        <w:widowControl/>
        <w:spacing w:line="360" w:lineRule="auto"/>
        <w:rPr>
          <w:rFonts w:hAnsi="宋体" w:hint="eastAsia"/>
          <w:color w:val="000000"/>
          <w:sz w:val="24"/>
        </w:rPr>
      </w:pPr>
    </w:p>
    <w:p w:rsidR="00C70662" w:rsidRPr="00C70662" w:rsidRDefault="00C70662" w:rsidP="00C70662">
      <w:pPr>
        <w:numPr>
          <w:ilvl w:val="0"/>
          <w:numId w:val="23"/>
        </w:numPr>
        <w:spacing w:line="360" w:lineRule="auto"/>
        <w:ind w:left="709" w:hanging="283"/>
        <w:rPr>
          <w:rFonts w:ascii="宋体" w:hAnsi="宋体" w:hint="eastAsia"/>
          <w:b/>
          <w:color w:val="000000"/>
          <w:sz w:val="24"/>
        </w:rPr>
      </w:pPr>
      <w:r w:rsidRPr="00C70662">
        <w:rPr>
          <w:rFonts w:ascii="宋体" w:hAnsi="宋体" w:hint="eastAsia"/>
          <w:b/>
          <w:color w:val="000000"/>
          <w:sz w:val="24"/>
        </w:rPr>
        <w:t>定期定额投资业务</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定期定额申购业务是指投资者通过指定销售机构提出固定日期和固定金额的扣款和申购申请，由指定销售机构在约定扣款日为投资者自动完成扣款及基金申购申请的一种交易方式。</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（一）适用基金范围</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自</w:t>
      </w:r>
      <w:r w:rsidRPr="00C70662">
        <w:rPr>
          <w:rFonts w:hAnsi="宋体" w:hint="eastAsia"/>
          <w:sz w:val="24"/>
        </w:rPr>
        <w:t>2020</w:t>
      </w:r>
      <w:r w:rsidRPr="00C70662">
        <w:rPr>
          <w:rFonts w:hAnsi="宋体" w:hint="eastAsia"/>
          <w:sz w:val="24"/>
        </w:rPr>
        <w:t>年</w:t>
      </w:r>
      <w:r>
        <w:rPr>
          <w:rFonts w:hAnsi="宋体" w:hint="eastAsia"/>
          <w:sz w:val="24"/>
        </w:rPr>
        <w:t>6</w:t>
      </w:r>
      <w:r w:rsidRPr="00C70662">
        <w:rPr>
          <w:rFonts w:hAnsi="宋体" w:hint="eastAsia"/>
          <w:sz w:val="24"/>
        </w:rPr>
        <w:t>月</w:t>
      </w:r>
      <w:r>
        <w:rPr>
          <w:rFonts w:hAnsi="宋体" w:hint="eastAsia"/>
          <w:sz w:val="24"/>
        </w:rPr>
        <w:t>1</w:t>
      </w:r>
      <w:r w:rsidRPr="00C70662">
        <w:rPr>
          <w:rFonts w:hAnsi="宋体" w:hint="eastAsia"/>
          <w:sz w:val="24"/>
        </w:rPr>
        <w:t>日起，本公司将同时</w:t>
      </w:r>
      <w:r>
        <w:rPr>
          <w:rFonts w:hAnsi="宋体" w:hint="eastAsia"/>
          <w:color w:val="000000"/>
          <w:sz w:val="24"/>
        </w:rPr>
        <w:t>恒泰证券</w:t>
      </w:r>
      <w:r w:rsidRPr="00C70662">
        <w:rPr>
          <w:rFonts w:hAnsi="宋体" w:hint="eastAsia"/>
          <w:sz w:val="24"/>
        </w:rPr>
        <w:t>在办理上述基金的定期定额投资业务。</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（二）适用投资者范围</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中华人民共和国境内的个人投资者（法律法规禁止购买证券投资基金者除外）。</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lastRenderedPageBreak/>
        <w:t>（三）申请方式</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1</w:t>
      </w:r>
      <w:r w:rsidRPr="00C70662">
        <w:rPr>
          <w:rFonts w:hAnsi="宋体" w:hint="eastAsia"/>
          <w:sz w:val="24"/>
        </w:rPr>
        <w:t>、凡申请办理上述基金定期定额投资业务的投资者须首先开立本公司开放式基金账户（适用于自建</w:t>
      </w:r>
      <w:r w:rsidRPr="00C70662">
        <w:rPr>
          <w:rFonts w:hAnsi="宋体" w:hint="eastAsia"/>
          <w:sz w:val="24"/>
        </w:rPr>
        <w:t>TA</w:t>
      </w:r>
      <w:r w:rsidRPr="00C70662">
        <w:rPr>
          <w:rFonts w:hAnsi="宋体" w:hint="eastAsia"/>
          <w:sz w:val="24"/>
        </w:rPr>
        <w:t>基金，已开户者除外），具体开户程序请遵循</w:t>
      </w:r>
      <w:r>
        <w:rPr>
          <w:rFonts w:hAnsi="宋体" w:hint="eastAsia"/>
          <w:sz w:val="24"/>
        </w:rPr>
        <w:t>恒泰证券</w:t>
      </w:r>
      <w:r w:rsidRPr="00C70662">
        <w:rPr>
          <w:rFonts w:hAnsi="宋体" w:hint="eastAsia"/>
          <w:sz w:val="24"/>
        </w:rPr>
        <w:t>的规定。</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2</w:t>
      </w:r>
      <w:r w:rsidRPr="00C70662">
        <w:rPr>
          <w:rFonts w:hAnsi="宋体" w:hint="eastAsia"/>
          <w:sz w:val="24"/>
        </w:rPr>
        <w:t>、已开立本公司开放式基金账户到</w:t>
      </w:r>
      <w:r>
        <w:rPr>
          <w:rFonts w:hAnsi="宋体" w:hint="eastAsia"/>
          <w:color w:val="000000"/>
          <w:sz w:val="24"/>
        </w:rPr>
        <w:t>恒泰证券</w:t>
      </w:r>
      <w:r w:rsidRPr="00C70662">
        <w:rPr>
          <w:rFonts w:hAnsi="宋体" w:hint="eastAsia"/>
          <w:sz w:val="24"/>
        </w:rPr>
        <w:t>申请增开交易账号（已开户者除外），并申请办理定期定额投资业务，具体办理程序请遵循</w:t>
      </w:r>
      <w:r>
        <w:rPr>
          <w:rFonts w:hAnsi="宋体" w:hint="eastAsia"/>
          <w:sz w:val="24"/>
        </w:rPr>
        <w:t>恒泰证券</w:t>
      </w:r>
      <w:r w:rsidRPr="00C70662">
        <w:rPr>
          <w:rFonts w:hAnsi="宋体" w:hint="eastAsia"/>
          <w:sz w:val="24"/>
        </w:rPr>
        <w:t>的规定。</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（四）扣款方式和扣款日期</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投资者须遵循</w:t>
      </w:r>
      <w:r>
        <w:rPr>
          <w:rFonts w:hAnsi="宋体" w:hint="eastAsia"/>
          <w:color w:val="000000"/>
          <w:sz w:val="24"/>
        </w:rPr>
        <w:t>恒泰证券</w:t>
      </w:r>
      <w:r w:rsidRPr="00C70662">
        <w:rPr>
          <w:rFonts w:hAnsi="宋体" w:hint="eastAsia"/>
          <w:sz w:val="24"/>
        </w:rPr>
        <w:t>的基金定期定额投资业务规则，指定本人的人民币结算账户作为扣款账户；根据与</w:t>
      </w:r>
      <w:r>
        <w:rPr>
          <w:rFonts w:hAnsi="宋体" w:hint="eastAsia"/>
          <w:color w:val="000000"/>
          <w:sz w:val="24"/>
        </w:rPr>
        <w:t>恒泰证券</w:t>
      </w:r>
      <w:r w:rsidRPr="00C70662">
        <w:rPr>
          <w:rFonts w:hAnsi="宋体" w:hint="eastAsia"/>
          <w:sz w:val="24"/>
        </w:rPr>
        <w:t>的约定进行扣款。若遇非基金申购开放日则顺延至下一基金申购开放日。</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（五）投资金额</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投资者可与</w:t>
      </w:r>
      <w:r>
        <w:rPr>
          <w:rFonts w:hAnsi="宋体" w:hint="eastAsia"/>
          <w:color w:val="000000"/>
          <w:sz w:val="24"/>
        </w:rPr>
        <w:t>恒泰证券</w:t>
      </w:r>
      <w:r w:rsidRPr="00C70662">
        <w:rPr>
          <w:rFonts w:hAnsi="宋体" w:hint="eastAsia"/>
          <w:sz w:val="24"/>
        </w:rPr>
        <w:t>就申请开办基金定期定额投资业务约定每期申购金额，定期定额业务起点金额为人民币</w:t>
      </w:r>
      <w:r w:rsidRPr="00C70662">
        <w:rPr>
          <w:rFonts w:hAnsi="宋体" w:hint="eastAsia"/>
          <w:sz w:val="24"/>
        </w:rPr>
        <w:t>1</w:t>
      </w:r>
      <w:r w:rsidRPr="00C70662">
        <w:rPr>
          <w:rFonts w:hAnsi="宋体" w:hint="eastAsia"/>
          <w:sz w:val="24"/>
        </w:rPr>
        <w:t>元整。如销售机构规定的定期定额投资申购金额下限高于</w:t>
      </w:r>
      <w:r w:rsidRPr="00C70662">
        <w:rPr>
          <w:rFonts w:hAnsi="宋体" w:hint="eastAsia"/>
          <w:sz w:val="24"/>
        </w:rPr>
        <w:t>1</w:t>
      </w:r>
      <w:r w:rsidRPr="00C70662">
        <w:rPr>
          <w:rFonts w:hAnsi="宋体" w:hint="eastAsia"/>
          <w:sz w:val="24"/>
        </w:rPr>
        <w:t>元，则按照销售机构规定的申购金额下限执行。</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（六）交易确认</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每月实际扣款日即为基金申购申请日，并以该日（</w:t>
      </w:r>
      <w:r w:rsidRPr="00C70662">
        <w:rPr>
          <w:rFonts w:hAnsi="宋体" w:hint="eastAsia"/>
          <w:sz w:val="24"/>
        </w:rPr>
        <w:t>T</w:t>
      </w:r>
      <w:r w:rsidRPr="00C70662">
        <w:rPr>
          <w:rFonts w:hAnsi="宋体" w:hint="eastAsia"/>
          <w:sz w:val="24"/>
        </w:rPr>
        <w:t>日）的基金份额资产净值为基准计算申购份额，申购份额将在</w:t>
      </w:r>
      <w:r w:rsidRPr="00C70662">
        <w:rPr>
          <w:rFonts w:hAnsi="宋体" w:hint="eastAsia"/>
          <w:sz w:val="24"/>
        </w:rPr>
        <w:t>T+1</w:t>
      </w:r>
      <w:r w:rsidRPr="00C70662">
        <w:rPr>
          <w:rFonts w:hAnsi="宋体" w:hint="eastAsia"/>
          <w:sz w:val="24"/>
        </w:rPr>
        <w:t>工作日确认成功后直接计入投资者的基金账户内。基金份额确认查询起始日为</w:t>
      </w:r>
      <w:r w:rsidRPr="00C70662">
        <w:rPr>
          <w:rFonts w:hAnsi="宋体" w:hint="eastAsia"/>
          <w:sz w:val="24"/>
        </w:rPr>
        <w:t>T+2</w:t>
      </w:r>
      <w:r w:rsidRPr="00C70662">
        <w:rPr>
          <w:rFonts w:hAnsi="宋体" w:hint="eastAsia"/>
          <w:sz w:val="24"/>
        </w:rPr>
        <w:t>工作日。</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（七）已申购份额的赎回及赎回费率</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投资者办理基金定期定额申购业务后，可以自</w:t>
      </w:r>
      <w:r w:rsidRPr="00C70662">
        <w:rPr>
          <w:rFonts w:hAnsi="宋体" w:hint="eastAsia"/>
          <w:sz w:val="24"/>
        </w:rPr>
        <w:t>T+2</w:t>
      </w:r>
      <w:r w:rsidRPr="00C70662">
        <w:rPr>
          <w:rFonts w:hAnsi="宋体" w:hint="eastAsia"/>
          <w:sz w:val="24"/>
        </w:rPr>
        <w:t>日起（</w:t>
      </w:r>
      <w:r w:rsidRPr="00C70662">
        <w:rPr>
          <w:rFonts w:hAnsi="宋体" w:hint="eastAsia"/>
          <w:sz w:val="24"/>
        </w:rPr>
        <w:t>T</w:t>
      </w:r>
      <w:r w:rsidRPr="00C70662">
        <w:rPr>
          <w:rFonts w:hAnsi="宋体" w:hint="eastAsia"/>
          <w:sz w:val="24"/>
        </w:rPr>
        <w:t>为申购申请日）随时办理基金的赎回。如无另行公告，定期定额投资业务已申购份额的赎回及赎回费率等同于正常的赎回业务。</w:t>
      </w:r>
    </w:p>
    <w:p w:rsidR="00C70662" w:rsidRPr="00C70662" w:rsidRDefault="00C70662" w:rsidP="00C70662">
      <w:pPr>
        <w:spacing w:line="360" w:lineRule="auto"/>
        <w:ind w:firstLineChars="200" w:firstLine="480"/>
        <w:rPr>
          <w:rFonts w:hAnsi="宋体" w:hint="eastAsia"/>
          <w:sz w:val="24"/>
        </w:rPr>
      </w:pPr>
      <w:r w:rsidRPr="00C70662">
        <w:rPr>
          <w:rFonts w:hAnsi="宋体" w:hint="eastAsia"/>
          <w:sz w:val="24"/>
        </w:rPr>
        <w:t>（八）变更及终止</w:t>
      </w:r>
    </w:p>
    <w:p w:rsidR="00E61443" w:rsidRDefault="00C70662" w:rsidP="00C70662">
      <w:pPr>
        <w:spacing w:line="360" w:lineRule="auto"/>
        <w:ind w:firstLineChars="200" w:firstLine="480"/>
        <w:rPr>
          <w:rFonts w:hAnsi="宋体" w:hint="eastAsia"/>
          <w:sz w:val="24"/>
        </w:rPr>
      </w:pPr>
      <w:r w:rsidRPr="00C70662">
        <w:rPr>
          <w:rFonts w:hAnsi="宋体" w:hint="eastAsia"/>
          <w:sz w:val="24"/>
        </w:rPr>
        <w:t>投资者通过</w:t>
      </w:r>
      <w:r>
        <w:rPr>
          <w:rFonts w:hAnsi="宋体" w:hint="eastAsia"/>
          <w:color w:val="000000"/>
          <w:sz w:val="24"/>
        </w:rPr>
        <w:t>恒泰证券</w:t>
      </w:r>
      <w:r w:rsidRPr="00C70662">
        <w:rPr>
          <w:rFonts w:hAnsi="宋体" w:hint="eastAsia"/>
          <w:sz w:val="24"/>
        </w:rPr>
        <w:t>申请办理，具体办理程序遵循</w:t>
      </w:r>
      <w:r>
        <w:rPr>
          <w:rFonts w:hAnsi="宋体" w:hint="eastAsia"/>
          <w:sz w:val="24"/>
        </w:rPr>
        <w:t>恒泰证券</w:t>
      </w:r>
      <w:r w:rsidRPr="00C70662">
        <w:rPr>
          <w:rFonts w:hAnsi="宋体" w:hint="eastAsia"/>
          <w:sz w:val="24"/>
        </w:rPr>
        <w:t>的有关规定。</w:t>
      </w:r>
    </w:p>
    <w:p w:rsidR="00C70662" w:rsidRPr="00C70662" w:rsidRDefault="00C70662" w:rsidP="00C70662">
      <w:pPr>
        <w:spacing w:line="360" w:lineRule="auto"/>
        <w:ind w:firstLineChars="200" w:firstLine="480"/>
        <w:rPr>
          <w:rFonts w:hAnsi="宋体" w:hint="eastAsia"/>
          <w:sz w:val="24"/>
        </w:rPr>
      </w:pPr>
    </w:p>
    <w:p w:rsidR="007E7851" w:rsidRPr="00E61443" w:rsidRDefault="002555BF" w:rsidP="00E61443">
      <w:pPr>
        <w:numPr>
          <w:ilvl w:val="0"/>
          <w:numId w:val="23"/>
        </w:numPr>
        <w:spacing w:line="360" w:lineRule="auto"/>
        <w:ind w:left="709" w:hanging="283"/>
        <w:rPr>
          <w:rFonts w:ascii="宋体" w:hAnsi="宋体" w:hint="eastAsia"/>
          <w:b/>
          <w:color w:val="000000"/>
          <w:sz w:val="24"/>
        </w:rPr>
      </w:pPr>
      <w:r w:rsidRPr="00E61443">
        <w:rPr>
          <w:rFonts w:ascii="宋体" w:hAnsi="宋体"/>
          <w:b/>
          <w:color w:val="000000"/>
          <w:sz w:val="24"/>
        </w:rPr>
        <w:t>重要提示</w:t>
      </w:r>
    </w:p>
    <w:p w:rsidR="00E61443" w:rsidRPr="00E61443" w:rsidRDefault="00E61443" w:rsidP="00E61443">
      <w:pPr>
        <w:spacing w:line="360" w:lineRule="auto"/>
        <w:ind w:firstLineChars="200" w:firstLine="480"/>
        <w:rPr>
          <w:rFonts w:hAnsi="宋体" w:hint="eastAsia"/>
          <w:color w:val="000000"/>
          <w:sz w:val="24"/>
        </w:rPr>
      </w:pPr>
      <w:r w:rsidRPr="00E61443">
        <w:rPr>
          <w:rFonts w:hAnsi="宋体" w:hint="eastAsia"/>
          <w:color w:val="000000"/>
          <w:sz w:val="24"/>
        </w:rPr>
        <w:t>1</w:t>
      </w:r>
      <w:r w:rsidRPr="00E61443">
        <w:rPr>
          <w:rFonts w:hAnsi="宋体" w:hint="eastAsia"/>
          <w:color w:val="000000"/>
          <w:sz w:val="24"/>
        </w:rPr>
        <w:t>、本次所开通业务办理的相关规则及流程以</w:t>
      </w:r>
      <w:r>
        <w:rPr>
          <w:rFonts w:hAnsi="宋体" w:hint="eastAsia"/>
          <w:color w:val="000000"/>
          <w:sz w:val="24"/>
        </w:rPr>
        <w:t>恒泰证券</w:t>
      </w:r>
      <w:r w:rsidRPr="00E61443">
        <w:rPr>
          <w:rFonts w:hAnsi="宋体" w:hint="eastAsia"/>
          <w:color w:val="000000"/>
          <w:sz w:val="24"/>
        </w:rPr>
        <w:t>的安排和规定为准，投资者欲了解各基金产品的详细情况，请仔细阅读各基金的基金合同、基金招募说明书（更新）等法律文件。</w:t>
      </w:r>
    </w:p>
    <w:p w:rsidR="00E61443" w:rsidRPr="00E61443" w:rsidRDefault="00E61443" w:rsidP="00E61443">
      <w:pPr>
        <w:spacing w:line="360" w:lineRule="auto"/>
        <w:ind w:firstLineChars="200" w:firstLine="480"/>
        <w:rPr>
          <w:rFonts w:hAnsi="宋体" w:hint="eastAsia"/>
          <w:color w:val="000000"/>
          <w:sz w:val="24"/>
        </w:rPr>
      </w:pPr>
      <w:r w:rsidRPr="00E61443">
        <w:rPr>
          <w:rFonts w:hAnsi="宋体" w:hint="eastAsia"/>
          <w:color w:val="000000"/>
          <w:sz w:val="24"/>
        </w:rPr>
        <w:lastRenderedPageBreak/>
        <w:t>2</w:t>
      </w:r>
      <w:r w:rsidRPr="00E61443">
        <w:rPr>
          <w:rFonts w:hAnsi="宋体" w:hint="eastAsia"/>
          <w:color w:val="000000"/>
          <w:sz w:val="24"/>
        </w:rPr>
        <w:t>、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2555BF" w:rsidRDefault="00E61443" w:rsidP="00E61443">
      <w:pPr>
        <w:spacing w:line="360" w:lineRule="auto"/>
        <w:ind w:firstLineChars="200" w:firstLine="480"/>
        <w:rPr>
          <w:rFonts w:hAnsi="宋体" w:hint="eastAsia"/>
          <w:color w:val="000000"/>
          <w:sz w:val="24"/>
        </w:rPr>
      </w:pPr>
      <w:r w:rsidRPr="00E61443">
        <w:rPr>
          <w:rFonts w:hAnsi="宋体" w:hint="eastAsia"/>
          <w:color w:val="000000"/>
          <w:sz w:val="24"/>
        </w:rPr>
        <w:t>3</w:t>
      </w:r>
      <w:r w:rsidR="00D7323D">
        <w:rPr>
          <w:rFonts w:hAnsi="宋体" w:hint="eastAsia"/>
          <w:color w:val="000000"/>
          <w:sz w:val="24"/>
        </w:rPr>
        <w:t>、投资者应认真阅读拟投资基金的</w:t>
      </w:r>
      <w:r w:rsidRPr="00E61443">
        <w:rPr>
          <w:rFonts w:hAnsi="宋体" w:hint="eastAsia"/>
          <w:color w:val="000000"/>
          <w:sz w:val="24"/>
        </w:rPr>
        <w:t>基金合同</w:t>
      </w:r>
      <w:r w:rsidR="00D7323D">
        <w:rPr>
          <w:rFonts w:hAnsi="宋体" w:hint="eastAsia"/>
          <w:color w:val="000000"/>
          <w:sz w:val="24"/>
        </w:rPr>
        <w:t>、</w:t>
      </w:r>
      <w:r w:rsidRPr="00E61443">
        <w:rPr>
          <w:rFonts w:hAnsi="宋体" w:hint="eastAsia"/>
          <w:color w:val="000000"/>
          <w:sz w:val="24"/>
        </w:rPr>
        <w:t>招募说明书</w:t>
      </w:r>
      <w:r w:rsidR="00EF6F2A" w:rsidRPr="00E61443">
        <w:rPr>
          <w:rFonts w:hAnsi="宋体" w:hint="eastAsia"/>
          <w:color w:val="000000"/>
          <w:sz w:val="24"/>
        </w:rPr>
        <w:t>（更新）</w:t>
      </w:r>
      <w:r w:rsidRPr="00E61443">
        <w:rPr>
          <w:rFonts w:hAnsi="宋体" w:hint="eastAsia"/>
          <w:color w:val="000000"/>
          <w:sz w:val="24"/>
        </w:rPr>
        <w:t>等法律文件，了解所投资基金的风险收益特征，并根据自身情况购买与本人风险承受能力相匹配的产品。</w:t>
      </w:r>
    </w:p>
    <w:p w:rsidR="00C70662" w:rsidRPr="00B65381" w:rsidRDefault="00C70662" w:rsidP="00E61443">
      <w:pPr>
        <w:spacing w:line="360" w:lineRule="auto"/>
        <w:ind w:firstLineChars="200" w:firstLine="480"/>
        <w:rPr>
          <w:rFonts w:hAnsi="宋体" w:hint="eastAsia"/>
          <w:color w:val="000000"/>
          <w:sz w:val="24"/>
        </w:rPr>
      </w:pPr>
    </w:p>
    <w:p w:rsidR="002555BF" w:rsidRPr="00E61443" w:rsidRDefault="002555BF" w:rsidP="00E61443">
      <w:pPr>
        <w:numPr>
          <w:ilvl w:val="0"/>
          <w:numId w:val="23"/>
        </w:numPr>
        <w:spacing w:line="360" w:lineRule="auto"/>
        <w:ind w:left="709" w:hanging="283"/>
        <w:rPr>
          <w:rFonts w:ascii="宋体" w:hAnsi="宋体"/>
          <w:b/>
          <w:color w:val="000000"/>
          <w:sz w:val="24"/>
        </w:rPr>
      </w:pPr>
      <w:r w:rsidRPr="00E61443">
        <w:rPr>
          <w:rFonts w:ascii="宋体" w:hAnsi="宋体"/>
          <w:b/>
          <w:color w:val="000000"/>
          <w:sz w:val="24"/>
        </w:rPr>
        <w:t>投资者可通过以下渠道咨询详情</w:t>
      </w:r>
    </w:p>
    <w:p w:rsidR="00CE6797" w:rsidRPr="00CE6797" w:rsidRDefault="00CE6797" w:rsidP="00CE6797">
      <w:pPr>
        <w:spacing w:line="360" w:lineRule="auto"/>
        <w:ind w:firstLineChars="200" w:firstLine="480"/>
        <w:rPr>
          <w:rFonts w:hAnsi="宋体" w:hint="eastAsia"/>
          <w:color w:val="000000"/>
          <w:sz w:val="24"/>
        </w:rPr>
      </w:pPr>
      <w:r w:rsidRPr="00CE6797">
        <w:rPr>
          <w:rFonts w:hAnsi="宋体" w:hint="eastAsia"/>
          <w:color w:val="000000"/>
          <w:sz w:val="24"/>
        </w:rPr>
        <w:t>1</w:t>
      </w:r>
      <w:r>
        <w:rPr>
          <w:rFonts w:hAnsi="宋体" w:hint="eastAsia"/>
          <w:color w:val="000000"/>
          <w:sz w:val="24"/>
        </w:rPr>
        <w:t>、</w:t>
      </w:r>
      <w:r w:rsidRPr="00CE6797">
        <w:rPr>
          <w:rFonts w:hAnsi="宋体" w:hint="eastAsia"/>
          <w:color w:val="000000"/>
          <w:sz w:val="24"/>
        </w:rPr>
        <w:t>恒泰证券股份有限公司</w:t>
      </w:r>
    </w:p>
    <w:p w:rsidR="00CE6797" w:rsidRDefault="00CE6797" w:rsidP="00CE6797">
      <w:pPr>
        <w:spacing w:line="360" w:lineRule="auto"/>
        <w:ind w:firstLineChars="200" w:firstLine="480"/>
        <w:rPr>
          <w:rFonts w:hAnsi="宋体" w:hint="eastAsia"/>
          <w:color w:val="000000"/>
          <w:sz w:val="24"/>
        </w:rPr>
      </w:pPr>
      <w:r w:rsidRPr="00CE6797">
        <w:rPr>
          <w:rFonts w:hAnsi="宋体" w:hint="eastAsia"/>
          <w:color w:val="000000"/>
          <w:sz w:val="24"/>
        </w:rPr>
        <w:t>公司网址：</w:t>
      </w:r>
      <w:r w:rsidR="00EB5AF6" w:rsidRPr="00FA70C8">
        <w:rPr>
          <w:rFonts w:hAnsi="宋体" w:hint="eastAsia"/>
          <w:color w:val="000000"/>
          <w:sz w:val="24"/>
        </w:rPr>
        <w:t>www.cnht.com.cn</w:t>
      </w:r>
    </w:p>
    <w:p w:rsidR="00EB5AF6" w:rsidRPr="00CE6797" w:rsidRDefault="00EB5AF6" w:rsidP="00EB5AF6">
      <w:pPr>
        <w:spacing w:line="360" w:lineRule="auto"/>
        <w:ind w:firstLineChars="200" w:firstLine="480"/>
        <w:rPr>
          <w:rFonts w:hAnsi="宋体" w:hint="eastAsia"/>
          <w:color w:val="000000"/>
          <w:sz w:val="24"/>
        </w:rPr>
      </w:pPr>
      <w:r>
        <w:rPr>
          <w:rFonts w:hAnsi="宋体" w:hint="eastAsia"/>
          <w:color w:val="000000"/>
          <w:sz w:val="24"/>
        </w:rPr>
        <w:t>客服电话</w:t>
      </w:r>
      <w:r w:rsidRPr="00CE6797">
        <w:rPr>
          <w:rFonts w:hAnsi="宋体" w:hint="eastAsia"/>
          <w:color w:val="000000"/>
          <w:sz w:val="24"/>
        </w:rPr>
        <w:t>：</w:t>
      </w:r>
      <w:r w:rsidRPr="00CE6797">
        <w:rPr>
          <w:rFonts w:hAnsi="宋体" w:hint="eastAsia"/>
          <w:color w:val="000000"/>
          <w:sz w:val="24"/>
        </w:rPr>
        <w:t>400-196-6188</w:t>
      </w:r>
      <w:r w:rsidR="00882577">
        <w:rPr>
          <w:rFonts w:hAnsi="宋体" w:hint="eastAsia"/>
          <w:color w:val="000000"/>
          <w:sz w:val="24"/>
        </w:rPr>
        <w:t>或</w:t>
      </w:r>
      <w:r w:rsidRPr="00CE6797">
        <w:rPr>
          <w:rFonts w:hAnsi="宋体" w:hint="eastAsia"/>
          <w:color w:val="000000"/>
          <w:sz w:val="24"/>
        </w:rPr>
        <w:t>956088</w:t>
      </w:r>
    </w:p>
    <w:p w:rsidR="002555BF" w:rsidRPr="00B65381" w:rsidRDefault="002555BF" w:rsidP="00CE6797">
      <w:pPr>
        <w:spacing w:line="360" w:lineRule="auto"/>
        <w:ind w:firstLineChars="200" w:firstLine="480"/>
        <w:rPr>
          <w:rFonts w:hAnsi="宋体"/>
          <w:color w:val="000000"/>
          <w:sz w:val="24"/>
        </w:rPr>
      </w:pPr>
      <w:r w:rsidRPr="00B65381">
        <w:rPr>
          <w:rFonts w:hAnsi="宋体"/>
          <w:color w:val="000000"/>
          <w:sz w:val="24"/>
        </w:rPr>
        <w:t>2</w:t>
      </w:r>
      <w:r w:rsidRPr="00B65381">
        <w:rPr>
          <w:rFonts w:hAnsi="宋体"/>
          <w:color w:val="000000"/>
          <w:sz w:val="24"/>
        </w:rPr>
        <w:t>、申万菱信基金管理有限公司</w:t>
      </w:r>
    </w:p>
    <w:p w:rsidR="002555BF" w:rsidRPr="00B65381" w:rsidRDefault="00216496" w:rsidP="002555BF">
      <w:pPr>
        <w:spacing w:before="75" w:after="75" w:line="360" w:lineRule="auto"/>
        <w:ind w:firstLineChars="200" w:firstLine="480"/>
        <w:rPr>
          <w:rFonts w:hAnsi="宋体"/>
          <w:color w:val="000000"/>
          <w:sz w:val="24"/>
        </w:rPr>
      </w:pPr>
      <w:r>
        <w:rPr>
          <w:rFonts w:hAnsi="宋体" w:hint="eastAsia"/>
          <w:color w:val="000000"/>
          <w:sz w:val="24"/>
        </w:rPr>
        <w:t>公司网址</w:t>
      </w:r>
      <w:r w:rsidR="002555BF" w:rsidRPr="00B65381">
        <w:rPr>
          <w:rFonts w:hAnsi="宋体"/>
          <w:color w:val="000000"/>
          <w:sz w:val="24"/>
        </w:rPr>
        <w:t>：</w:t>
      </w:r>
      <w:r w:rsidR="002555BF" w:rsidRPr="00B65381">
        <w:rPr>
          <w:rFonts w:hAnsi="宋体"/>
          <w:color w:val="000000"/>
          <w:sz w:val="24"/>
        </w:rPr>
        <w:t>www.swsmu.com</w:t>
      </w:r>
    </w:p>
    <w:p w:rsidR="002555BF" w:rsidRDefault="002555BF" w:rsidP="002555BF">
      <w:pPr>
        <w:spacing w:before="75" w:after="75" w:line="360" w:lineRule="auto"/>
        <w:ind w:firstLineChars="200" w:firstLine="480"/>
        <w:rPr>
          <w:rFonts w:hAnsi="宋体" w:hint="eastAsia"/>
          <w:color w:val="000000"/>
          <w:sz w:val="24"/>
        </w:rPr>
      </w:pPr>
      <w:r w:rsidRPr="00B65381">
        <w:rPr>
          <w:rFonts w:hAnsi="宋体"/>
          <w:color w:val="000000"/>
          <w:sz w:val="24"/>
        </w:rPr>
        <w:t>客服电话：</w:t>
      </w:r>
      <w:r w:rsidR="00CE5214" w:rsidRPr="00B65381">
        <w:rPr>
          <w:rFonts w:hAnsi="宋体"/>
          <w:color w:val="000000"/>
          <w:sz w:val="24"/>
        </w:rPr>
        <w:t>400</w:t>
      </w:r>
      <w:r w:rsidR="00CE5214" w:rsidRPr="00B65381">
        <w:rPr>
          <w:rFonts w:hAnsi="宋体" w:hint="eastAsia"/>
          <w:color w:val="000000"/>
          <w:sz w:val="24"/>
        </w:rPr>
        <w:t>-</w:t>
      </w:r>
      <w:r w:rsidR="00CE5214" w:rsidRPr="00B65381">
        <w:rPr>
          <w:rFonts w:hAnsi="宋体"/>
          <w:color w:val="000000"/>
          <w:sz w:val="24"/>
        </w:rPr>
        <w:t>880</w:t>
      </w:r>
      <w:r w:rsidR="00CE5214" w:rsidRPr="00B65381">
        <w:rPr>
          <w:rFonts w:hAnsi="宋体" w:hint="eastAsia"/>
          <w:color w:val="000000"/>
          <w:sz w:val="24"/>
        </w:rPr>
        <w:t>-</w:t>
      </w:r>
      <w:r w:rsidRPr="00B65381">
        <w:rPr>
          <w:rFonts w:hAnsi="宋体"/>
          <w:color w:val="000000"/>
          <w:sz w:val="24"/>
        </w:rPr>
        <w:t>8588</w:t>
      </w:r>
      <w:r w:rsidRPr="00B65381">
        <w:rPr>
          <w:rFonts w:hAnsi="宋体"/>
          <w:color w:val="000000"/>
          <w:sz w:val="24"/>
        </w:rPr>
        <w:t>（免长途话费）或</w:t>
      </w:r>
      <w:r w:rsidRPr="00B65381">
        <w:rPr>
          <w:rFonts w:hAnsi="宋体"/>
          <w:color w:val="000000"/>
          <w:sz w:val="24"/>
        </w:rPr>
        <w:t>021-962299</w:t>
      </w:r>
    </w:p>
    <w:p w:rsidR="00C70662" w:rsidRPr="00B65381" w:rsidRDefault="00C70662" w:rsidP="002555BF">
      <w:pPr>
        <w:spacing w:before="75" w:after="75" w:line="360" w:lineRule="auto"/>
        <w:ind w:firstLineChars="200" w:firstLine="480"/>
        <w:rPr>
          <w:rFonts w:hAnsi="宋体"/>
          <w:color w:val="000000"/>
          <w:sz w:val="24"/>
        </w:rPr>
      </w:pPr>
    </w:p>
    <w:p w:rsidR="008B0F8D" w:rsidRPr="00B65381" w:rsidRDefault="008B0F8D" w:rsidP="002555BF">
      <w:pPr>
        <w:spacing w:before="75" w:after="75" w:line="360" w:lineRule="auto"/>
        <w:ind w:firstLineChars="200" w:firstLine="480"/>
        <w:rPr>
          <w:color w:val="000000"/>
          <w:sz w:val="24"/>
        </w:rPr>
      </w:pPr>
      <w:r w:rsidRPr="00B65381">
        <w:rPr>
          <w:rFonts w:hAnsi="宋体" w:hint="eastAsia"/>
          <w:color w:val="000000"/>
          <w:sz w:val="24"/>
        </w:rPr>
        <w:t>风险提示：</w:t>
      </w:r>
      <w:r w:rsidR="00DB71A2">
        <w:rPr>
          <w:rFonts w:hAnsi="宋体" w:hint="eastAsia"/>
          <w:color w:val="000000"/>
          <w:sz w:val="24"/>
        </w:rPr>
        <w:t>本公司</w:t>
      </w:r>
      <w:r w:rsidRPr="00B65381">
        <w:rPr>
          <w:rFonts w:hAnsi="宋体" w:hint="eastAsia"/>
          <w:color w:val="000000"/>
          <w:sz w:val="24"/>
        </w:rPr>
        <w:t>承诺以诚实信用、勤勉尽责的原则管理和运用基金资产，但不保证基金一定盈利，也不保证最低收益。投资者应认真阅读基金的基金合同</w:t>
      </w:r>
      <w:r w:rsidR="00DB71A2">
        <w:rPr>
          <w:rFonts w:hAnsi="宋体" w:hint="eastAsia"/>
          <w:color w:val="000000"/>
          <w:sz w:val="24"/>
        </w:rPr>
        <w:t>、</w:t>
      </w:r>
      <w:r w:rsidRPr="00B65381">
        <w:rPr>
          <w:rFonts w:hAnsi="宋体" w:hint="eastAsia"/>
          <w:color w:val="000000"/>
          <w:sz w:val="24"/>
        </w:rPr>
        <w:t>招募说明书</w:t>
      </w:r>
      <w:r w:rsidR="00DB71A2">
        <w:rPr>
          <w:rFonts w:hAnsi="宋体" w:hint="eastAsia"/>
          <w:color w:val="000000"/>
          <w:sz w:val="24"/>
        </w:rPr>
        <w:t>（更新）</w:t>
      </w:r>
      <w:r w:rsidRPr="00B65381">
        <w:rPr>
          <w:rFonts w:hAnsi="宋体" w:hint="eastAsia"/>
          <w:color w:val="000000"/>
          <w:sz w:val="24"/>
        </w:rPr>
        <w:t>。敬请投资者注意投资风险。</w:t>
      </w:r>
    </w:p>
    <w:p w:rsidR="002555BF" w:rsidRPr="00B65381" w:rsidRDefault="002555BF" w:rsidP="00AA3A0C">
      <w:pPr>
        <w:spacing w:before="75" w:after="75" w:line="360" w:lineRule="auto"/>
        <w:ind w:firstLineChars="200" w:firstLine="480"/>
        <w:rPr>
          <w:rFonts w:hAnsi="宋体" w:hint="eastAsia"/>
          <w:color w:val="000000"/>
          <w:sz w:val="24"/>
        </w:rPr>
      </w:pPr>
      <w:r w:rsidRPr="00B65381">
        <w:rPr>
          <w:rFonts w:hAnsi="宋体"/>
          <w:color w:val="000000"/>
          <w:sz w:val="24"/>
        </w:rPr>
        <w:t>特此公告。</w:t>
      </w:r>
    </w:p>
    <w:p w:rsidR="002555BF" w:rsidRPr="00B65381" w:rsidRDefault="002555BF" w:rsidP="002555BF">
      <w:pPr>
        <w:spacing w:before="75" w:after="75" w:line="360" w:lineRule="auto"/>
        <w:ind w:firstLineChars="200" w:firstLine="480"/>
        <w:rPr>
          <w:color w:val="000000"/>
          <w:sz w:val="24"/>
        </w:rPr>
      </w:pPr>
    </w:p>
    <w:p w:rsidR="002555BF" w:rsidRPr="00B65381" w:rsidRDefault="002555BF" w:rsidP="002555BF">
      <w:pPr>
        <w:spacing w:line="360" w:lineRule="auto"/>
        <w:jc w:val="right"/>
        <w:rPr>
          <w:color w:val="000000"/>
          <w:sz w:val="24"/>
        </w:rPr>
      </w:pPr>
      <w:r w:rsidRPr="00B65381">
        <w:rPr>
          <w:rFonts w:hAnsi="宋体"/>
          <w:color w:val="000000"/>
          <w:sz w:val="24"/>
        </w:rPr>
        <w:t>申万菱信基金管理有限公司</w:t>
      </w:r>
    </w:p>
    <w:p w:rsidR="00854AF7" w:rsidRPr="00B65381" w:rsidRDefault="00CE6797" w:rsidP="003E0F1E">
      <w:pPr>
        <w:spacing w:line="360" w:lineRule="auto"/>
        <w:ind w:firstLine="435"/>
        <w:jc w:val="right"/>
        <w:rPr>
          <w:rFonts w:hAnsi="宋体" w:hint="eastAsia"/>
          <w:color w:val="000000"/>
          <w:sz w:val="24"/>
        </w:rPr>
      </w:pPr>
      <w:r>
        <w:rPr>
          <w:rFonts w:hint="eastAsia"/>
          <w:color w:val="000000"/>
          <w:sz w:val="24"/>
        </w:rPr>
        <w:t>2020</w:t>
      </w:r>
      <w:r w:rsidR="002555BF" w:rsidRPr="00B65381">
        <w:rPr>
          <w:color w:val="000000"/>
          <w:sz w:val="24"/>
        </w:rPr>
        <w:t>年</w:t>
      </w:r>
      <w:r>
        <w:rPr>
          <w:rFonts w:hint="eastAsia"/>
          <w:color w:val="000000"/>
          <w:sz w:val="24"/>
        </w:rPr>
        <w:t>5</w:t>
      </w:r>
      <w:r w:rsidR="002555BF" w:rsidRPr="00B65381">
        <w:rPr>
          <w:color w:val="000000"/>
          <w:sz w:val="24"/>
        </w:rPr>
        <w:t>月</w:t>
      </w:r>
      <w:r>
        <w:rPr>
          <w:rFonts w:hint="eastAsia"/>
          <w:color w:val="000000"/>
          <w:sz w:val="24"/>
        </w:rPr>
        <w:t>29</w:t>
      </w:r>
      <w:r w:rsidR="002555BF" w:rsidRPr="00B65381">
        <w:rPr>
          <w:color w:val="000000"/>
          <w:sz w:val="24"/>
        </w:rPr>
        <w:t>日</w:t>
      </w:r>
    </w:p>
    <w:sectPr w:rsidR="00854AF7" w:rsidRPr="00B6538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90" w:rsidRDefault="00D62590" w:rsidP="003E7E33">
      <w:r>
        <w:separator/>
      </w:r>
    </w:p>
  </w:endnote>
  <w:endnote w:type="continuationSeparator" w:id="1">
    <w:p w:rsidR="00D62590" w:rsidRDefault="00D62590" w:rsidP="003E7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90" w:rsidRDefault="00D62590" w:rsidP="003E7E33">
      <w:r>
        <w:separator/>
      </w:r>
    </w:p>
  </w:footnote>
  <w:footnote w:type="continuationSeparator" w:id="1">
    <w:p w:rsidR="00D62590" w:rsidRDefault="00D62590" w:rsidP="003E7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5D" w:rsidRPr="000C47B3" w:rsidRDefault="0041285D" w:rsidP="00A660A7">
    <w:pPr>
      <w:spacing w:line="360" w:lineRule="auto"/>
      <w:jc w:val="left"/>
      <w:rPr>
        <w:rFonts w:ascii="宋体" w:hAnsi="宋体"/>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6C3"/>
    <w:multiLevelType w:val="hybridMultilevel"/>
    <w:tmpl w:val="3E7C9E52"/>
    <w:lvl w:ilvl="0" w:tplc="02E210C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47244E"/>
    <w:multiLevelType w:val="hybridMultilevel"/>
    <w:tmpl w:val="92D6B8D4"/>
    <w:lvl w:ilvl="0" w:tplc="C6E0302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6A2A86"/>
    <w:multiLevelType w:val="multilevel"/>
    <w:tmpl w:val="2CA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C7CA5"/>
    <w:multiLevelType w:val="hybridMultilevel"/>
    <w:tmpl w:val="962220C0"/>
    <w:lvl w:ilvl="0" w:tplc="0456984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F91522"/>
    <w:multiLevelType w:val="hybridMultilevel"/>
    <w:tmpl w:val="A3F690EA"/>
    <w:lvl w:ilvl="0" w:tplc="9FAAE57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AED08AB"/>
    <w:multiLevelType w:val="hybridMultilevel"/>
    <w:tmpl w:val="0F465E0A"/>
    <w:lvl w:ilvl="0" w:tplc="1474F9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F854608"/>
    <w:multiLevelType w:val="multilevel"/>
    <w:tmpl w:val="C0F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8307D"/>
    <w:multiLevelType w:val="multilevel"/>
    <w:tmpl w:val="EDE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07131"/>
    <w:multiLevelType w:val="multilevel"/>
    <w:tmpl w:val="77A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C6502"/>
    <w:multiLevelType w:val="multilevel"/>
    <w:tmpl w:val="76F8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72E2F"/>
    <w:multiLevelType w:val="multilevel"/>
    <w:tmpl w:val="DC28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23956"/>
    <w:multiLevelType w:val="multilevel"/>
    <w:tmpl w:val="CBF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93AEF"/>
    <w:multiLevelType w:val="multilevel"/>
    <w:tmpl w:val="293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93530"/>
    <w:multiLevelType w:val="multilevel"/>
    <w:tmpl w:val="747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E2D7A"/>
    <w:multiLevelType w:val="hybridMultilevel"/>
    <w:tmpl w:val="01A208A4"/>
    <w:lvl w:ilvl="0" w:tplc="597090A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58438A8"/>
    <w:multiLevelType w:val="multilevel"/>
    <w:tmpl w:val="A0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D3586"/>
    <w:multiLevelType w:val="multilevel"/>
    <w:tmpl w:val="091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71029"/>
    <w:multiLevelType w:val="multilevel"/>
    <w:tmpl w:val="5F8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962BB"/>
    <w:multiLevelType w:val="hybridMultilevel"/>
    <w:tmpl w:val="1F22BFB4"/>
    <w:lvl w:ilvl="0" w:tplc="9FA4ED7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D2909E4"/>
    <w:multiLevelType w:val="multilevel"/>
    <w:tmpl w:val="60D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A2BF0"/>
    <w:multiLevelType w:val="multilevel"/>
    <w:tmpl w:val="B1E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97967"/>
    <w:multiLevelType w:val="hybridMultilevel"/>
    <w:tmpl w:val="F8045928"/>
    <w:lvl w:ilvl="0" w:tplc="B608C2C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24378E"/>
    <w:multiLevelType w:val="multilevel"/>
    <w:tmpl w:val="E75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21"/>
  </w:num>
  <w:num w:numId="5">
    <w:abstractNumId w:val="18"/>
  </w:num>
  <w:num w:numId="6">
    <w:abstractNumId w:val="0"/>
  </w:num>
  <w:num w:numId="7">
    <w:abstractNumId w:val="4"/>
  </w:num>
  <w:num w:numId="8">
    <w:abstractNumId w:val="8"/>
  </w:num>
  <w:num w:numId="9">
    <w:abstractNumId w:val="16"/>
  </w:num>
  <w:num w:numId="10">
    <w:abstractNumId w:val="20"/>
  </w:num>
  <w:num w:numId="11">
    <w:abstractNumId w:val="17"/>
  </w:num>
  <w:num w:numId="12">
    <w:abstractNumId w:val="22"/>
  </w:num>
  <w:num w:numId="13">
    <w:abstractNumId w:val="10"/>
  </w:num>
  <w:num w:numId="14">
    <w:abstractNumId w:val="9"/>
  </w:num>
  <w:num w:numId="15">
    <w:abstractNumId w:val="6"/>
  </w:num>
  <w:num w:numId="16">
    <w:abstractNumId w:val="13"/>
  </w:num>
  <w:num w:numId="17">
    <w:abstractNumId w:val="7"/>
  </w:num>
  <w:num w:numId="18">
    <w:abstractNumId w:val="11"/>
  </w:num>
  <w:num w:numId="19">
    <w:abstractNumId w:val="12"/>
  </w:num>
  <w:num w:numId="20">
    <w:abstractNumId w:val="2"/>
  </w:num>
  <w:num w:numId="21">
    <w:abstractNumId w:val="19"/>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704"/>
    <w:rsid w:val="00002531"/>
    <w:rsid w:val="00003D0D"/>
    <w:rsid w:val="000123AD"/>
    <w:rsid w:val="00013D51"/>
    <w:rsid w:val="00020E88"/>
    <w:rsid w:val="0002285D"/>
    <w:rsid w:val="00024729"/>
    <w:rsid w:val="0003381A"/>
    <w:rsid w:val="0004522E"/>
    <w:rsid w:val="000640D4"/>
    <w:rsid w:val="000B1EC3"/>
    <w:rsid w:val="000B622D"/>
    <w:rsid w:val="000B7EE2"/>
    <w:rsid w:val="000C2DC8"/>
    <w:rsid w:val="000C47B3"/>
    <w:rsid w:val="000C625A"/>
    <w:rsid w:val="000E5FC7"/>
    <w:rsid w:val="000E7E7A"/>
    <w:rsid w:val="000F0D81"/>
    <w:rsid w:val="000F552A"/>
    <w:rsid w:val="000F626E"/>
    <w:rsid w:val="00100BDE"/>
    <w:rsid w:val="00105B01"/>
    <w:rsid w:val="001072B8"/>
    <w:rsid w:val="00116702"/>
    <w:rsid w:val="00135583"/>
    <w:rsid w:val="00136C3B"/>
    <w:rsid w:val="00143359"/>
    <w:rsid w:val="0014459C"/>
    <w:rsid w:val="00151570"/>
    <w:rsid w:val="0015203F"/>
    <w:rsid w:val="0015363E"/>
    <w:rsid w:val="0015497C"/>
    <w:rsid w:val="00156AA2"/>
    <w:rsid w:val="00167846"/>
    <w:rsid w:val="00173435"/>
    <w:rsid w:val="00191AF9"/>
    <w:rsid w:val="00191B2E"/>
    <w:rsid w:val="00197120"/>
    <w:rsid w:val="001A0D04"/>
    <w:rsid w:val="001A6B38"/>
    <w:rsid w:val="001A6C21"/>
    <w:rsid w:val="001B2C02"/>
    <w:rsid w:val="001B761E"/>
    <w:rsid w:val="001C7018"/>
    <w:rsid w:val="001D0FCE"/>
    <w:rsid w:val="001D12EB"/>
    <w:rsid w:val="001D4FD2"/>
    <w:rsid w:val="001D73C3"/>
    <w:rsid w:val="001D74C5"/>
    <w:rsid w:val="001E11F3"/>
    <w:rsid w:val="001E33B6"/>
    <w:rsid w:val="001E4117"/>
    <w:rsid w:val="001F41AF"/>
    <w:rsid w:val="0020039C"/>
    <w:rsid w:val="0020262D"/>
    <w:rsid w:val="002053AD"/>
    <w:rsid w:val="002073E2"/>
    <w:rsid w:val="00216496"/>
    <w:rsid w:val="0021711A"/>
    <w:rsid w:val="00231400"/>
    <w:rsid w:val="00231998"/>
    <w:rsid w:val="00236947"/>
    <w:rsid w:val="002457BB"/>
    <w:rsid w:val="00251611"/>
    <w:rsid w:val="00252972"/>
    <w:rsid w:val="002555BF"/>
    <w:rsid w:val="0026077D"/>
    <w:rsid w:val="00260BEE"/>
    <w:rsid w:val="002743A1"/>
    <w:rsid w:val="002776EB"/>
    <w:rsid w:val="002838F9"/>
    <w:rsid w:val="00286EBB"/>
    <w:rsid w:val="002A2FA5"/>
    <w:rsid w:val="002A422D"/>
    <w:rsid w:val="002A5B4A"/>
    <w:rsid w:val="002A60DA"/>
    <w:rsid w:val="002A758E"/>
    <w:rsid w:val="002A7BC4"/>
    <w:rsid w:val="002B1D2F"/>
    <w:rsid w:val="002B29BD"/>
    <w:rsid w:val="002B7476"/>
    <w:rsid w:val="002B7C23"/>
    <w:rsid w:val="002C2C0D"/>
    <w:rsid w:val="002E083F"/>
    <w:rsid w:val="002E6238"/>
    <w:rsid w:val="002F0A55"/>
    <w:rsid w:val="002F4588"/>
    <w:rsid w:val="00300D6E"/>
    <w:rsid w:val="00301BDD"/>
    <w:rsid w:val="00306281"/>
    <w:rsid w:val="003102ED"/>
    <w:rsid w:val="00310C39"/>
    <w:rsid w:val="00326B4D"/>
    <w:rsid w:val="003454FE"/>
    <w:rsid w:val="00347B0C"/>
    <w:rsid w:val="00366DD2"/>
    <w:rsid w:val="0037085A"/>
    <w:rsid w:val="00387A9B"/>
    <w:rsid w:val="00396C7D"/>
    <w:rsid w:val="00397212"/>
    <w:rsid w:val="003A2936"/>
    <w:rsid w:val="003C0D33"/>
    <w:rsid w:val="003C3765"/>
    <w:rsid w:val="003C4C7A"/>
    <w:rsid w:val="003D3D9B"/>
    <w:rsid w:val="003D4341"/>
    <w:rsid w:val="003E0F1E"/>
    <w:rsid w:val="003E3A4F"/>
    <w:rsid w:val="003E4B08"/>
    <w:rsid w:val="003E7E33"/>
    <w:rsid w:val="003F611D"/>
    <w:rsid w:val="0041161A"/>
    <w:rsid w:val="0041285D"/>
    <w:rsid w:val="004139B1"/>
    <w:rsid w:val="00415C46"/>
    <w:rsid w:val="004439A7"/>
    <w:rsid w:val="00451DF2"/>
    <w:rsid w:val="00452059"/>
    <w:rsid w:val="00452643"/>
    <w:rsid w:val="00452C75"/>
    <w:rsid w:val="0045671C"/>
    <w:rsid w:val="00481F7E"/>
    <w:rsid w:val="00493704"/>
    <w:rsid w:val="004A5CB8"/>
    <w:rsid w:val="004A6824"/>
    <w:rsid w:val="004A770E"/>
    <w:rsid w:val="004B1B04"/>
    <w:rsid w:val="004B5850"/>
    <w:rsid w:val="004C1A11"/>
    <w:rsid w:val="004C4FE5"/>
    <w:rsid w:val="004C5AC0"/>
    <w:rsid w:val="004D4FF3"/>
    <w:rsid w:val="004D597B"/>
    <w:rsid w:val="004E1057"/>
    <w:rsid w:val="004E4224"/>
    <w:rsid w:val="004E5165"/>
    <w:rsid w:val="004F2C8F"/>
    <w:rsid w:val="00501475"/>
    <w:rsid w:val="0050737A"/>
    <w:rsid w:val="005101BE"/>
    <w:rsid w:val="005111E8"/>
    <w:rsid w:val="005138ED"/>
    <w:rsid w:val="005142FE"/>
    <w:rsid w:val="00535DC3"/>
    <w:rsid w:val="00555EDF"/>
    <w:rsid w:val="00563ED2"/>
    <w:rsid w:val="005652F1"/>
    <w:rsid w:val="0058180B"/>
    <w:rsid w:val="005847A2"/>
    <w:rsid w:val="0059209B"/>
    <w:rsid w:val="0059506E"/>
    <w:rsid w:val="005B1FE7"/>
    <w:rsid w:val="005B55FD"/>
    <w:rsid w:val="005C3577"/>
    <w:rsid w:val="005C5A2F"/>
    <w:rsid w:val="005C652A"/>
    <w:rsid w:val="005D30E8"/>
    <w:rsid w:val="005D3A1F"/>
    <w:rsid w:val="005D3E93"/>
    <w:rsid w:val="005E1501"/>
    <w:rsid w:val="005F09D9"/>
    <w:rsid w:val="005F266D"/>
    <w:rsid w:val="00600F7F"/>
    <w:rsid w:val="00603F69"/>
    <w:rsid w:val="00605992"/>
    <w:rsid w:val="006109C1"/>
    <w:rsid w:val="00622EC0"/>
    <w:rsid w:val="00633886"/>
    <w:rsid w:val="00641DF1"/>
    <w:rsid w:val="00647242"/>
    <w:rsid w:val="00657E85"/>
    <w:rsid w:val="00675821"/>
    <w:rsid w:val="00680411"/>
    <w:rsid w:val="006822E2"/>
    <w:rsid w:val="0069393C"/>
    <w:rsid w:val="006A4160"/>
    <w:rsid w:val="006B68EE"/>
    <w:rsid w:val="006C4BD5"/>
    <w:rsid w:val="006D2428"/>
    <w:rsid w:val="006D473A"/>
    <w:rsid w:val="006E4D47"/>
    <w:rsid w:val="006F2D0E"/>
    <w:rsid w:val="006F442D"/>
    <w:rsid w:val="006F6E72"/>
    <w:rsid w:val="006F7ABC"/>
    <w:rsid w:val="00703858"/>
    <w:rsid w:val="0070407A"/>
    <w:rsid w:val="007043AD"/>
    <w:rsid w:val="0071505E"/>
    <w:rsid w:val="0073308F"/>
    <w:rsid w:val="00733FDB"/>
    <w:rsid w:val="00735613"/>
    <w:rsid w:val="00745892"/>
    <w:rsid w:val="007639CA"/>
    <w:rsid w:val="00771D9C"/>
    <w:rsid w:val="00775109"/>
    <w:rsid w:val="00786609"/>
    <w:rsid w:val="00795D59"/>
    <w:rsid w:val="0079618D"/>
    <w:rsid w:val="007B53EC"/>
    <w:rsid w:val="007C399C"/>
    <w:rsid w:val="007C4A13"/>
    <w:rsid w:val="007D1D06"/>
    <w:rsid w:val="007D5367"/>
    <w:rsid w:val="007D56FC"/>
    <w:rsid w:val="007E5520"/>
    <w:rsid w:val="007E7851"/>
    <w:rsid w:val="007F20EE"/>
    <w:rsid w:val="007F4468"/>
    <w:rsid w:val="00801188"/>
    <w:rsid w:val="00812C86"/>
    <w:rsid w:val="00816BE2"/>
    <w:rsid w:val="008176C0"/>
    <w:rsid w:val="00822F48"/>
    <w:rsid w:val="008311D7"/>
    <w:rsid w:val="008445A8"/>
    <w:rsid w:val="00845672"/>
    <w:rsid w:val="00854AF7"/>
    <w:rsid w:val="008677D6"/>
    <w:rsid w:val="00874935"/>
    <w:rsid w:val="00881E8D"/>
    <w:rsid w:val="00882577"/>
    <w:rsid w:val="00882C54"/>
    <w:rsid w:val="00883FAA"/>
    <w:rsid w:val="008879B7"/>
    <w:rsid w:val="00892C06"/>
    <w:rsid w:val="008934A5"/>
    <w:rsid w:val="008A23C0"/>
    <w:rsid w:val="008A4513"/>
    <w:rsid w:val="008A485D"/>
    <w:rsid w:val="008A4B27"/>
    <w:rsid w:val="008B0F8D"/>
    <w:rsid w:val="008B1322"/>
    <w:rsid w:val="008B3A66"/>
    <w:rsid w:val="008B7295"/>
    <w:rsid w:val="008C2086"/>
    <w:rsid w:val="008D766A"/>
    <w:rsid w:val="008E489C"/>
    <w:rsid w:val="008E647C"/>
    <w:rsid w:val="008F454D"/>
    <w:rsid w:val="0090493E"/>
    <w:rsid w:val="00915614"/>
    <w:rsid w:val="009160CF"/>
    <w:rsid w:val="009201CB"/>
    <w:rsid w:val="0093351D"/>
    <w:rsid w:val="009379FB"/>
    <w:rsid w:val="00940355"/>
    <w:rsid w:val="00942842"/>
    <w:rsid w:val="0094499F"/>
    <w:rsid w:val="00957521"/>
    <w:rsid w:val="00972162"/>
    <w:rsid w:val="009722E7"/>
    <w:rsid w:val="00982115"/>
    <w:rsid w:val="009A0311"/>
    <w:rsid w:val="009A1980"/>
    <w:rsid w:val="009B0475"/>
    <w:rsid w:val="009B3AAE"/>
    <w:rsid w:val="009B5B25"/>
    <w:rsid w:val="009C0BFD"/>
    <w:rsid w:val="009C1BE0"/>
    <w:rsid w:val="009C3041"/>
    <w:rsid w:val="009C387B"/>
    <w:rsid w:val="009C55CB"/>
    <w:rsid w:val="009D5D67"/>
    <w:rsid w:val="009D7982"/>
    <w:rsid w:val="009D7A48"/>
    <w:rsid w:val="009E5266"/>
    <w:rsid w:val="009F039A"/>
    <w:rsid w:val="00A04427"/>
    <w:rsid w:val="00A12927"/>
    <w:rsid w:val="00A33675"/>
    <w:rsid w:val="00A341E1"/>
    <w:rsid w:val="00A361BE"/>
    <w:rsid w:val="00A44873"/>
    <w:rsid w:val="00A4799B"/>
    <w:rsid w:val="00A54E30"/>
    <w:rsid w:val="00A660A7"/>
    <w:rsid w:val="00A8014B"/>
    <w:rsid w:val="00A872CC"/>
    <w:rsid w:val="00A90244"/>
    <w:rsid w:val="00AA1B9D"/>
    <w:rsid w:val="00AA3A0C"/>
    <w:rsid w:val="00AA5D05"/>
    <w:rsid w:val="00AB1484"/>
    <w:rsid w:val="00AC31D1"/>
    <w:rsid w:val="00AC342A"/>
    <w:rsid w:val="00AC493F"/>
    <w:rsid w:val="00AC5893"/>
    <w:rsid w:val="00AD1541"/>
    <w:rsid w:val="00AD3A37"/>
    <w:rsid w:val="00AD5E53"/>
    <w:rsid w:val="00AE015A"/>
    <w:rsid w:val="00AE26FF"/>
    <w:rsid w:val="00AE514B"/>
    <w:rsid w:val="00AF39E4"/>
    <w:rsid w:val="00AF3D2A"/>
    <w:rsid w:val="00B01C64"/>
    <w:rsid w:val="00B11D4A"/>
    <w:rsid w:val="00B11E02"/>
    <w:rsid w:val="00B17349"/>
    <w:rsid w:val="00B17EE9"/>
    <w:rsid w:val="00B301CA"/>
    <w:rsid w:val="00B30FE9"/>
    <w:rsid w:val="00B55341"/>
    <w:rsid w:val="00B6473B"/>
    <w:rsid w:val="00B65381"/>
    <w:rsid w:val="00B724AF"/>
    <w:rsid w:val="00B75BA3"/>
    <w:rsid w:val="00B81B9E"/>
    <w:rsid w:val="00B82747"/>
    <w:rsid w:val="00BA2069"/>
    <w:rsid w:val="00BB08BB"/>
    <w:rsid w:val="00BC285C"/>
    <w:rsid w:val="00BC2E59"/>
    <w:rsid w:val="00BD17E0"/>
    <w:rsid w:val="00BE6468"/>
    <w:rsid w:val="00BE7EC8"/>
    <w:rsid w:val="00BF0C7B"/>
    <w:rsid w:val="00BF1AE9"/>
    <w:rsid w:val="00BF3685"/>
    <w:rsid w:val="00BF4D59"/>
    <w:rsid w:val="00C07F1B"/>
    <w:rsid w:val="00C11725"/>
    <w:rsid w:val="00C11ECE"/>
    <w:rsid w:val="00C14779"/>
    <w:rsid w:val="00C2601B"/>
    <w:rsid w:val="00C26943"/>
    <w:rsid w:val="00C317DE"/>
    <w:rsid w:val="00C34723"/>
    <w:rsid w:val="00C4434F"/>
    <w:rsid w:val="00C4560A"/>
    <w:rsid w:val="00C53BA4"/>
    <w:rsid w:val="00C57B4E"/>
    <w:rsid w:val="00C7007C"/>
    <w:rsid w:val="00C70447"/>
    <w:rsid w:val="00C70662"/>
    <w:rsid w:val="00C71E08"/>
    <w:rsid w:val="00C71ECB"/>
    <w:rsid w:val="00C834A8"/>
    <w:rsid w:val="00C8556B"/>
    <w:rsid w:val="00CB07F5"/>
    <w:rsid w:val="00CB41A7"/>
    <w:rsid w:val="00CB4E2A"/>
    <w:rsid w:val="00CB7F56"/>
    <w:rsid w:val="00CC0B36"/>
    <w:rsid w:val="00CD1212"/>
    <w:rsid w:val="00CD220C"/>
    <w:rsid w:val="00CD31BF"/>
    <w:rsid w:val="00CD65AD"/>
    <w:rsid w:val="00CD65B9"/>
    <w:rsid w:val="00CE50FE"/>
    <w:rsid w:val="00CE5214"/>
    <w:rsid w:val="00CE6797"/>
    <w:rsid w:val="00CE6D4E"/>
    <w:rsid w:val="00CE7162"/>
    <w:rsid w:val="00D022D2"/>
    <w:rsid w:val="00D03013"/>
    <w:rsid w:val="00D0553D"/>
    <w:rsid w:val="00D06C68"/>
    <w:rsid w:val="00D0719D"/>
    <w:rsid w:val="00D25CE6"/>
    <w:rsid w:val="00D42012"/>
    <w:rsid w:val="00D44450"/>
    <w:rsid w:val="00D5045C"/>
    <w:rsid w:val="00D611B1"/>
    <w:rsid w:val="00D61B78"/>
    <w:rsid w:val="00D62590"/>
    <w:rsid w:val="00D67688"/>
    <w:rsid w:val="00D710A7"/>
    <w:rsid w:val="00D725B7"/>
    <w:rsid w:val="00D7323D"/>
    <w:rsid w:val="00D77366"/>
    <w:rsid w:val="00D930E0"/>
    <w:rsid w:val="00D954F6"/>
    <w:rsid w:val="00D97EEF"/>
    <w:rsid w:val="00DA147B"/>
    <w:rsid w:val="00DB71A2"/>
    <w:rsid w:val="00DB7740"/>
    <w:rsid w:val="00DC02A8"/>
    <w:rsid w:val="00DC520F"/>
    <w:rsid w:val="00DE2290"/>
    <w:rsid w:val="00E0478F"/>
    <w:rsid w:val="00E04A03"/>
    <w:rsid w:val="00E07D0E"/>
    <w:rsid w:val="00E22AF8"/>
    <w:rsid w:val="00E25B00"/>
    <w:rsid w:val="00E43629"/>
    <w:rsid w:val="00E61443"/>
    <w:rsid w:val="00E764DA"/>
    <w:rsid w:val="00E767F2"/>
    <w:rsid w:val="00E91209"/>
    <w:rsid w:val="00E96A7B"/>
    <w:rsid w:val="00EA619E"/>
    <w:rsid w:val="00EA72EA"/>
    <w:rsid w:val="00EA7E91"/>
    <w:rsid w:val="00EB105D"/>
    <w:rsid w:val="00EB5AF6"/>
    <w:rsid w:val="00EC43FF"/>
    <w:rsid w:val="00EC75EF"/>
    <w:rsid w:val="00ED1446"/>
    <w:rsid w:val="00ED19E3"/>
    <w:rsid w:val="00ED35C4"/>
    <w:rsid w:val="00EE0040"/>
    <w:rsid w:val="00EE480F"/>
    <w:rsid w:val="00EF1284"/>
    <w:rsid w:val="00EF495F"/>
    <w:rsid w:val="00EF6F2A"/>
    <w:rsid w:val="00F00721"/>
    <w:rsid w:val="00F01B5C"/>
    <w:rsid w:val="00F040FB"/>
    <w:rsid w:val="00F1109F"/>
    <w:rsid w:val="00F111D9"/>
    <w:rsid w:val="00F12161"/>
    <w:rsid w:val="00F367DF"/>
    <w:rsid w:val="00F41BBC"/>
    <w:rsid w:val="00F558DF"/>
    <w:rsid w:val="00F64C33"/>
    <w:rsid w:val="00F71752"/>
    <w:rsid w:val="00F73972"/>
    <w:rsid w:val="00F73F7A"/>
    <w:rsid w:val="00F86B27"/>
    <w:rsid w:val="00F913FE"/>
    <w:rsid w:val="00F94BE6"/>
    <w:rsid w:val="00F97A0B"/>
    <w:rsid w:val="00FA179B"/>
    <w:rsid w:val="00FA2996"/>
    <w:rsid w:val="00FA70C8"/>
    <w:rsid w:val="00FB003C"/>
    <w:rsid w:val="00FB5BE3"/>
    <w:rsid w:val="00FD7E86"/>
    <w:rsid w:val="00FE4F4D"/>
    <w:rsid w:val="00FE7C69"/>
    <w:rsid w:val="00FF0663"/>
    <w:rsid w:val="00FF3201"/>
    <w:rsid w:val="00FF4F62"/>
    <w:rsid w:val="00FF52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link w:val="3Char"/>
    <w:uiPriority w:val="9"/>
    <w:qFormat/>
    <w:rsid w:val="006A4160"/>
    <w:pPr>
      <w:widowControl/>
      <w:spacing w:before="300" w:after="150"/>
      <w:jc w:val="left"/>
      <w:outlineLvl w:val="2"/>
    </w:pPr>
    <w:rPr>
      <w:rFonts w:ascii="宋体" w:hAnsi="宋体"/>
      <w:b/>
      <w:bCs/>
      <w:kern w:val="0"/>
      <w:sz w:val="27"/>
      <w:szCs w:val="27"/>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18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D5D67"/>
    <w:rPr>
      <w:color w:val="0000FF"/>
      <w:u w:val="single"/>
    </w:rPr>
  </w:style>
  <w:style w:type="paragraph" w:styleId="a5">
    <w:name w:val="Balloon Text"/>
    <w:basedOn w:val="a"/>
    <w:semiHidden/>
    <w:rsid w:val="00B11D4A"/>
    <w:rPr>
      <w:sz w:val="18"/>
      <w:szCs w:val="18"/>
    </w:rPr>
  </w:style>
  <w:style w:type="paragraph" w:customStyle="1" w:styleId="Char">
    <w:name w:val=" Char"/>
    <w:basedOn w:val="a"/>
    <w:rsid w:val="00B11D4A"/>
  </w:style>
  <w:style w:type="paragraph" w:styleId="a6">
    <w:name w:val="header"/>
    <w:basedOn w:val="a"/>
    <w:link w:val="Char0"/>
    <w:rsid w:val="003E7E3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rsid w:val="003E7E33"/>
    <w:rPr>
      <w:kern w:val="2"/>
      <w:sz w:val="18"/>
      <w:szCs w:val="18"/>
    </w:rPr>
  </w:style>
  <w:style w:type="paragraph" w:styleId="a7">
    <w:name w:val="footer"/>
    <w:basedOn w:val="a"/>
    <w:link w:val="Char1"/>
    <w:rsid w:val="003E7E33"/>
    <w:pPr>
      <w:tabs>
        <w:tab w:val="center" w:pos="4153"/>
        <w:tab w:val="right" w:pos="8306"/>
      </w:tabs>
      <w:snapToGrid w:val="0"/>
      <w:jc w:val="left"/>
    </w:pPr>
    <w:rPr>
      <w:sz w:val="18"/>
      <w:szCs w:val="18"/>
      <w:lang/>
    </w:rPr>
  </w:style>
  <w:style w:type="character" w:customStyle="1" w:styleId="Char1">
    <w:name w:val="页脚 Char"/>
    <w:link w:val="a7"/>
    <w:rsid w:val="003E7E33"/>
    <w:rPr>
      <w:kern w:val="2"/>
      <w:sz w:val="18"/>
      <w:szCs w:val="18"/>
    </w:rPr>
  </w:style>
  <w:style w:type="character" w:customStyle="1" w:styleId="g1">
    <w:name w:val="g1"/>
    <w:rsid w:val="00A54E30"/>
    <w:rPr>
      <w:color w:val="008000"/>
    </w:rPr>
  </w:style>
  <w:style w:type="character" w:styleId="a8">
    <w:name w:val="annotation reference"/>
    <w:rsid w:val="009E5266"/>
    <w:rPr>
      <w:sz w:val="21"/>
      <w:szCs w:val="21"/>
    </w:rPr>
  </w:style>
  <w:style w:type="paragraph" w:styleId="a9">
    <w:name w:val="annotation text"/>
    <w:basedOn w:val="a"/>
    <w:link w:val="Char2"/>
    <w:rsid w:val="009E5266"/>
    <w:pPr>
      <w:jc w:val="left"/>
    </w:pPr>
    <w:rPr>
      <w:lang/>
    </w:rPr>
  </w:style>
  <w:style w:type="character" w:customStyle="1" w:styleId="Char2">
    <w:name w:val="批注文字 Char"/>
    <w:link w:val="a9"/>
    <w:rsid w:val="009E5266"/>
    <w:rPr>
      <w:kern w:val="2"/>
      <w:sz w:val="21"/>
      <w:szCs w:val="24"/>
    </w:rPr>
  </w:style>
  <w:style w:type="paragraph" w:styleId="aa">
    <w:name w:val="annotation subject"/>
    <w:basedOn w:val="a9"/>
    <w:next w:val="a9"/>
    <w:link w:val="Char3"/>
    <w:rsid w:val="009E5266"/>
    <w:rPr>
      <w:b/>
      <w:bCs/>
    </w:rPr>
  </w:style>
  <w:style w:type="character" w:customStyle="1" w:styleId="Char3">
    <w:name w:val="批注主题 Char"/>
    <w:link w:val="aa"/>
    <w:rsid w:val="009E5266"/>
    <w:rPr>
      <w:b/>
      <w:bCs/>
      <w:kern w:val="2"/>
      <w:sz w:val="21"/>
      <w:szCs w:val="24"/>
    </w:rPr>
  </w:style>
  <w:style w:type="character" w:customStyle="1" w:styleId="3Char">
    <w:name w:val="标题 3 Char"/>
    <w:link w:val="3"/>
    <w:uiPriority w:val="9"/>
    <w:rsid w:val="006A4160"/>
    <w:rPr>
      <w:rFonts w:ascii="宋体" w:hAnsi="宋体" w:cs="宋体"/>
      <w:b/>
      <w:bCs/>
      <w:sz w:val="27"/>
      <w:szCs w:val="27"/>
    </w:rPr>
  </w:style>
  <w:style w:type="paragraph" w:customStyle="1" w:styleId="tel">
    <w:name w:val="tel"/>
    <w:basedOn w:val="a"/>
    <w:rsid w:val="006A4160"/>
    <w:pPr>
      <w:widowControl/>
      <w:spacing w:after="15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68317538">
      <w:bodyDiv w:val="1"/>
      <w:marLeft w:val="0"/>
      <w:marRight w:val="0"/>
      <w:marTop w:val="0"/>
      <w:marBottom w:val="0"/>
      <w:divBdr>
        <w:top w:val="none" w:sz="0" w:space="0" w:color="auto"/>
        <w:left w:val="none" w:sz="0" w:space="0" w:color="auto"/>
        <w:bottom w:val="none" w:sz="0" w:space="0" w:color="auto"/>
        <w:right w:val="none" w:sz="0" w:space="0" w:color="auto"/>
      </w:divBdr>
      <w:divsChild>
        <w:div w:id="1121804512">
          <w:marLeft w:val="0"/>
          <w:marRight w:val="0"/>
          <w:marTop w:val="0"/>
          <w:marBottom w:val="0"/>
          <w:divBdr>
            <w:top w:val="none" w:sz="0" w:space="0" w:color="auto"/>
            <w:left w:val="none" w:sz="0" w:space="0" w:color="auto"/>
            <w:bottom w:val="none" w:sz="0" w:space="0" w:color="auto"/>
            <w:right w:val="none" w:sz="0" w:space="0" w:color="auto"/>
          </w:divBdr>
          <w:divsChild>
            <w:div w:id="189491773">
              <w:marLeft w:val="0"/>
              <w:marRight w:val="0"/>
              <w:marTop w:val="0"/>
              <w:marBottom w:val="0"/>
              <w:divBdr>
                <w:top w:val="none" w:sz="0" w:space="0" w:color="auto"/>
                <w:left w:val="none" w:sz="0" w:space="0" w:color="auto"/>
                <w:bottom w:val="none" w:sz="0" w:space="0" w:color="auto"/>
                <w:right w:val="none" w:sz="0" w:space="0" w:color="auto"/>
              </w:divBdr>
              <w:divsChild>
                <w:div w:id="932400431">
                  <w:marLeft w:val="0"/>
                  <w:marRight w:val="0"/>
                  <w:marTop w:val="0"/>
                  <w:marBottom w:val="0"/>
                  <w:divBdr>
                    <w:top w:val="none" w:sz="0" w:space="0" w:color="auto"/>
                    <w:left w:val="none" w:sz="0" w:space="0" w:color="auto"/>
                    <w:bottom w:val="none" w:sz="0" w:space="0" w:color="auto"/>
                    <w:right w:val="none" w:sz="0" w:space="0" w:color="auto"/>
                  </w:divBdr>
                  <w:divsChild>
                    <w:div w:id="1557861512">
                      <w:marLeft w:val="0"/>
                      <w:marRight w:val="0"/>
                      <w:marTop w:val="0"/>
                      <w:marBottom w:val="0"/>
                      <w:divBdr>
                        <w:top w:val="none" w:sz="0" w:space="0" w:color="auto"/>
                        <w:left w:val="none" w:sz="0" w:space="0" w:color="auto"/>
                        <w:bottom w:val="none" w:sz="0" w:space="0" w:color="auto"/>
                        <w:right w:val="none" w:sz="0" w:space="0" w:color="auto"/>
                      </w:divBdr>
                      <w:divsChild>
                        <w:div w:id="728260140">
                          <w:marLeft w:val="0"/>
                          <w:marRight w:val="0"/>
                          <w:marTop w:val="0"/>
                          <w:marBottom w:val="0"/>
                          <w:divBdr>
                            <w:top w:val="none" w:sz="0" w:space="0" w:color="auto"/>
                            <w:left w:val="none" w:sz="0" w:space="0" w:color="auto"/>
                            <w:bottom w:val="none" w:sz="0" w:space="0" w:color="auto"/>
                            <w:right w:val="none" w:sz="0" w:space="0" w:color="auto"/>
                          </w:divBdr>
                          <w:divsChild>
                            <w:div w:id="134950539">
                              <w:marLeft w:val="0"/>
                              <w:marRight w:val="0"/>
                              <w:marTop w:val="0"/>
                              <w:marBottom w:val="0"/>
                              <w:divBdr>
                                <w:top w:val="none" w:sz="0" w:space="0" w:color="auto"/>
                                <w:left w:val="none" w:sz="0" w:space="0" w:color="auto"/>
                                <w:bottom w:val="none" w:sz="0" w:space="0" w:color="auto"/>
                                <w:right w:val="none" w:sz="0" w:space="0" w:color="auto"/>
                              </w:divBdr>
                              <w:divsChild>
                                <w:div w:id="11826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590">
                      <w:marLeft w:val="0"/>
                      <w:marRight w:val="0"/>
                      <w:marTop w:val="0"/>
                      <w:marBottom w:val="150"/>
                      <w:divBdr>
                        <w:top w:val="none" w:sz="0" w:space="0" w:color="auto"/>
                        <w:left w:val="none" w:sz="0" w:space="0" w:color="auto"/>
                        <w:bottom w:val="none" w:sz="0" w:space="0" w:color="auto"/>
                        <w:right w:val="none" w:sz="0" w:space="0" w:color="auto"/>
                      </w:divBdr>
                    </w:div>
                  </w:divsChild>
                </w:div>
                <w:div w:id="1393891907">
                  <w:marLeft w:val="0"/>
                  <w:marRight w:val="0"/>
                  <w:marTop w:val="0"/>
                  <w:marBottom w:val="0"/>
                  <w:divBdr>
                    <w:top w:val="none" w:sz="0" w:space="0" w:color="auto"/>
                    <w:left w:val="none" w:sz="0" w:space="0" w:color="auto"/>
                    <w:bottom w:val="none" w:sz="0" w:space="0" w:color="auto"/>
                    <w:right w:val="none" w:sz="0" w:space="0" w:color="auto"/>
                  </w:divBdr>
                  <w:divsChild>
                    <w:div w:id="5246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5622">
      <w:bodyDiv w:val="1"/>
      <w:marLeft w:val="0"/>
      <w:marRight w:val="0"/>
      <w:marTop w:val="0"/>
      <w:marBottom w:val="0"/>
      <w:divBdr>
        <w:top w:val="none" w:sz="0" w:space="0" w:color="auto"/>
        <w:left w:val="none" w:sz="0" w:space="0" w:color="auto"/>
        <w:bottom w:val="none" w:sz="0" w:space="0" w:color="auto"/>
        <w:right w:val="none" w:sz="0" w:space="0" w:color="auto"/>
      </w:divBdr>
    </w:div>
    <w:div w:id="20866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C3796-E8DC-416F-B768-B6CFEF29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1479</Characters>
  <Application>Microsoft Office Word</Application>
  <DocSecurity>4</DocSecurity>
  <Lines>12</Lines>
  <Paragraphs>3</Paragraphs>
  <ScaleCrop>false</ScaleCrop>
  <Company>华夏银行总行</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关于参加“华夏银行•盈基金2011”网上银行基金申购4折优惠活动的公告</dc:title>
  <dc:subject/>
  <dc:creator>RORO</dc:creator>
  <cp:keywords/>
  <cp:lastModifiedBy>JonMMx 2000</cp:lastModifiedBy>
  <cp:revision>2</cp:revision>
  <cp:lastPrinted>2012-05-21T08:22:00Z</cp:lastPrinted>
  <dcterms:created xsi:type="dcterms:W3CDTF">2020-05-28T16:01:00Z</dcterms:created>
  <dcterms:modified xsi:type="dcterms:W3CDTF">2020-05-28T16:01:00Z</dcterms:modified>
</cp:coreProperties>
</file>