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D9" w:rsidRDefault="000549D9" w:rsidP="000549D9">
      <w:pPr>
        <w:pStyle w:val="a5"/>
        <w:shd w:val="clear" w:color="auto" w:fill="FFFFFF"/>
        <w:spacing w:before="0" w:beforeAutospacing="0" w:after="0" w:afterAutospacing="0" w:line="380" w:lineRule="atLeast"/>
        <w:rPr>
          <w:b/>
          <w:color w:val="1E1E1E"/>
          <w:sz w:val="30"/>
          <w:szCs w:val="30"/>
        </w:rPr>
      </w:pPr>
    </w:p>
    <w:p w:rsidR="00524511" w:rsidRPr="00310BAF" w:rsidRDefault="00524511" w:rsidP="00DF3695">
      <w:pPr>
        <w:pStyle w:val="a5"/>
        <w:shd w:val="clear" w:color="auto" w:fill="FFFFFF"/>
        <w:spacing w:before="0" w:beforeAutospacing="0" w:after="0" w:afterAutospacing="0" w:line="380" w:lineRule="atLeast"/>
        <w:ind w:firstLineChars="300" w:firstLine="904"/>
        <w:rPr>
          <w:b/>
          <w:color w:val="1E1E1E"/>
          <w:sz w:val="30"/>
          <w:szCs w:val="30"/>
        </w:rPr>
      </w:pPr>
      <w:r w:rsidRPr="00310BAF">
        <w:rPr>
          <w:rFonts w:hint="eastAsia"/>
          <w:b/>
          <w:color w:val="1E1E1E"/>
          <w:sz w:val="30"/>
          <w:szCs w:val="30"/>
        </w:rPr>
        <w:t>农银汇理基金管理有限公司关于面向养老金客户</w:t>
      </w:r>
    </w:p>
    <w:p w:rsidR="00524511" w:rsidRPr="00310BAF" w:rsidRDefault="00524511" w:rsidP="00310BAF">
      <w:pPr>
        <w:pStyle w:val="a5"/>
        <w:shd w:val="clear" w:color="auto" w:fill="FFFFFF"/>
        <w:spacing w:before="0" w:beforeAutospacing="0" w:after="0" w:afterAutospacing="0" w:line="380" w:lineRule="atLeast"/>
        <w:ind w:firstLineChars="800" w:firstLine="2409"/>
        <w:rPr>
          <w:b/>
          <w:color w:val="1E1E1E"/>
          <w:sz w:val="30"/>
          <w:szCs w:val="30"/>
        </w:rPr>
      </w:pPr>
      <w:r w:rsidRPr="00310BAF">
        <w:rPr>
          <w:rFonts w:hint="eastAsia"/>
          <w:b/>
          <w:color w:val="1E1E1E"/>
          <w:sz w:val="30"/>
          <w:szCs w:val="30"/>
        </w:rPr>
        <w:t xml:space="preserve">实施特定申购费率的公告 </w:t>
      </w:r>
    </w:p>
    <w:p w:rsidR="00524511" w:rsidRPr="00310BAF" w:rsidRDefault="00524511" w:rsidP="00310BAF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color w:val="1E1E1E"/>
        </w:rPr>
      </w:pPr>
      <w:r w:rsidRPr="00310BAF">
        <w:rPr>
          <w:rFonts w:hint="eastAsia"/>
          <w:color w:val="1E1E1E"/>
        </w:rPr>
        <w:t>鉴于养老金在我国社会保障体系中的重要地位，为更好地向养老金客户提供专业的投资理财服务，根据农银汇理基金管理有限公司（以下简称“本公司”）旗下基金的《基金合同》 及相关法律法规规定，本公司决定自2020年5月</w:t>
      </w:r>
      <w:r w:rsidR="00794ABB" w:rsidRPr="00310BAF">
        <w:rPr>
          <w:rFonts w:hint="eastAsia"/>
          <w:color w:val="1E1E1E"/>
        </w:rPr>
        <w:t>2</w:t>
      </w:r>
      <w:r w:rsidR="00794ABB">
        <w:rPr>
          <w:rFonts w:hint="eastAsia"/>
          <w:color w:val="1E1E1E"/>
        </w:rPr>
        <w:t>9</w:t>
      </w:r>
      <w:r w:rsidRPr="00310BAF">
        <w:rPr>
          <w:rFonts w:hint="eastAsia"/>
          <w:color w:val="1E1E1E"/>
        </w:rPr>
        <w:t>日起，对通过本公司直销中心柜台申购指定基金的养老金客户实施特定</w:t>
      </w:r>
      <w:r w:rsidR="00F86133">
        <w:rPr>
          <w:rFonts w:hint="eastAsia"/>
          <w:color w:val="1E1E1E"/>
        </w:rPr>
        <w:t>申购费率（仅限前端收费模式），并将于该等基金招募说明书下一次</w:t>
      </w:r>
      <w:r w:rsidRPr="00310BAF">
        <w:rPr>
          <w:rFonts w:hint="eastAsia"/>
          <w:color w:val="1E1E1E"/>
        </w:rPr>
        <w:t>更新时进行调整。</w:t>
      </w:r>
    </w:p>
    <w:p w:rsidR="00310BAF" w:rsidRDefault="00310BAF" w:rsidP="00310BAF">
      <w:pPr>
        <w:pStyle w:val="a5"/>
        <w:shd w:val="clear" w:color="auto" w:fill="FFFFFF"/>
        <w:spacing w:before="0" w:beforeAutospacing="0" w:after="0" w:afterAutospacing="0" w:line="360" w:lineRule="auto"/>
        <w:rPr>
          <w:color w:val="1E1E1E"/>
        </w:rPr>
      </w:pPr>
    </w:p>
    <w:p w:rsidR="00524511" w:rsidRPr="00310BAF" w:rsidRDefault="00524511" w:rsidP="00310BAF">
      <w:pPr>
        <w:pStyle w:val="a5"/>
        <w:shd w:val="clear" w:color="auto" w:fill="FFFFFF"/>
        <w:spacing w:before="0" w:beforeAutospacing="0" w:after="0" w:afterAutospacing="0" w:line="360" w:lineRule="auto"/>
        <w:rPr>
          <w:color w:val="1E1E1E"/>
        </w:rPr>
      </w:pPr>
      <w:r w:rsidRPr="00310BAF">
        <w:rPr>
          <w:rFonts w:hint="eastAsia"/>
          <w:color w:val="1E1E1E"/>
        </w:rPr>
        <w:t>现将相关事项说明如下：</w:t>
      </w:r>
    </w:p>
    <w:p w:rsidR="00524511" w:rsidRPr="00310BAF" w:rsidRDefault="00524511" w:rsidP="00310BAF">
      <w:pPr>
        <w:pStyle w:val="a5"/>
        <w:shd w:val="clear" w:color="auto" w:fill="FFFFFF"/>
        <w:spacing w:before="0" w:beforeAutospacing="0" w:after="0" w:afterAutospacing="0" w:line="360" w:lineRule="auto"/>
        <w:rPr>
          <w:color w:val="1E1E1E"/>
        </w:rPr>
      </w:pPr>
      <w:r w:rsidRPr="00310BAF">
        <w:rPr>
          <w:rFonts w:hint="eastAsia"/>
          <w:color w:val="1E1E1E"/>
        </w:rPr>
        <w:t>一、养老金客户范围</w:t>
      </w:r>
    </w:p>
    <w:p w:rsidR="00DA09E1" w:rsidRDefault="00F86133" w:rsidP="00DA09E1">
      <w:pPr>
        <w:pStyle w:val="a5"/>
        <w:shd w:val="clear" w:color="auto" w:fill="FFFFFF"/>
        <w:spacing w:line="360" w:lineRule="auto"/>
        <w:ind w:firstLineChars="200" w:firstLine="480"/>
        <w:rPr>
          <w:color w:val="1E1E1E"/>
        </w:rPr>
      </w:pPr>
      <w:r w:rsidRPr="00F86133">
        <w:rPr>
          <w:rFonts w:hint="eastAsia"/>
          <w:color w:val="1E1E1E"/>
        </w:rPr>
        <w:t>养老金客户包括全国社会保障基金、可以投资基金的地方社会保障基金、企业年金单一计划以及集合计划、企业年金理事会委托的特定客户资产管理计划、基本养老保险基金、符合人社部规定的养老金产品、职业年金计划、养老目标基金。如将来出现可以投资基金的住房公积金、享受税收优惠的个人养老账户、经养老基金监管部门认可的新的养老基金类型，</w:t>
      </w:r>
      <w:r w:rsidR="005E703B" w:rsidRPr="005E703B">
        <w:rPr>
          <w:rFonts w:hint="eastAsia"/>
          <w:color w:val="1E1E1E"/>
        </w:rPr>
        <w:t>基金管理人将依据相关规定将其纳入养老金客户范围。</w:t>
      </w:r>
    </w:p>
    <w:p w:rsidR="003F7FEB" w:rsidRDefault="003F7FEB" w:rsidP="003F7FEB">
      <w:pPr>
        <w:pStyle w:val="a5"/>
        <w:shd w:val="clear" w:color="auto" w:fill="FFFFFF"/>
        <w:spacing w:before="0" w:beforeAutospacing="0" w:after="0" w:afterAutospacing="0" w:line="360" w:lineRule="auto"/>
        <w:rPr>
          <w:color w:val="1E1E1E"/>
        </w:rPr>
      </w:pPr>
    </w:p>
    <w:p w:rsidR="00794ABB" w:rsidRDefault="00794ABB" w:rsidP="003F7FEB">
      <w:pPr>
        <w:pStyle w:val="a5"/>
        <w:shd w:val="clear" w:color="auto" w:fill="FFFFFF"/>
        <w:spacing w:before="0" w:beforeAutospacing="0" w:after="0" w:afterAutospacing="0" w:line="360" w:lineRule="auto"/>
        <w:rPr>
          <w:color w:val="1E1E1E"/>
        </w:rPr>
      </w:pPr>
    </w:p>
    <w:p w:rsidR="00794ABB" w:rsidRDefault="00794ABB" w:rsidP="003F7FEB">
      <w:pPr>
        <w:pStyle w:val="a5"/>
        <w:shd w:val="clear" w:color="auto" w:fill="FFFFFF"/>
        <w:spacing w:before="0" w:beforeAutospacing="0" w:after="0" w:afterAutospacing="0" w:line="360" w:lineRule="auto"/>
        <w:rPr>
          <w:color w:val="1E1E1E"/>
        </w:rPr>
      </w:pPr>
      <w:r>
        <w:rPr>
          <w:rFonts w:hint="eastAsia"/>
          <w:color w:val="1E1E1E"/>
        </w:rPr>
        <w:t>二、适用基金</w:t>
      </w:r>
    </w:p>
    <w:tbl>
      <w:tblPr>
        <w:tblStyle w:val="aa"/>
        <w:tblW w:w="0" w:type="auto"/>
        <w:tblLook w:val="04A0"/>
      </w:tblPr>
      <w:tblGrid>
        <w:gridCol w:w="2020"/>
        <w:gridCol w:w="3180"/>
      </w:tblGrid>
      <w:tr w:rsidR="00794ABB" w:rsidRPr="00794ABB" w:rsidTr="00794ABB">
        <w:trPr>
          <w:trHeight w:val="390"/>
        </w:trPr>
        <w:tc>
          <w:tcPr>
            <w:tcW w:w="2020" w:type="dxa"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b/>
                <w:bCs/>
                <w:color w:val="1E1E1E"/>
              </w:rPr>
            </w:pPr>
            <w:r w:rsidRPr="00794ABB">
              <w:rPr>
                <w:rFonts w:hint="eastAsia"/>
                <w:b/>
                <w:bCs/>
                <w:color w:val="1E1E1E"/>
              </w:rPr>
              <w:t>代码</w:t>
            </w:r>
          </w:p>
        </w:tc>
        <w:tc>
          <w:tcPr>
            <w:tcW w:w="3180" w:type="dxa"/>
            <w:hideMark/>
          </w:tcPr>
          <w:p w:rsidR="00794ABB" w:rsidRPr="00794ABB" w:rsidRDefault="00E108F3" w:rsidP="00794ABB">
            <w:pPr>
              <w:pStyle w:val="a5"/>
              <w:shd w:val="clear" w:color="auto" w:fill="FFFFFF"/>
              <w:spacing w:line="360" w:lineRule="auto"/>
              <w:rPr>
                <w:b/>
                <w:bCs/>
                <w:color w:val="1E1E1E"/>
              </w:rPr>
            </w:pPr>
            <w:r>
              <w:rPr>
                <w:rFonts w:hint="eastAsia"/>
                <w:b/>
                <w:bCs/>
                <w:color w:val="1E1E1E"/>
              </w:rPr>
              <w:t>简称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660001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农银行业成长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660002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农银恒久增利A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660003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农银平衡双利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660004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农银策略价值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660005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农银中小盘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660006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农银大盘蓝筹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lastRenderedPageBreak/>
              <w:t>660008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农银沪深300</w:t>
            </w:r>
            <w:r w:rsidR="00F863E4">
              <w:rPr>
                <w:rFonts w:hint="eastAsia"/>
                <w:color w:val="1E1E1E"/>
              </w:rPr>
              <w:t xml:space="preserve"> A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660009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农银增强收益A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660010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农银策略精选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660011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农银中证500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660012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农银消费主题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660013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农银信用添利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660015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农银行业轮动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000039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农银低估值高增长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000127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农银行业领先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000259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农银区间收益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000336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农银研究精选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000913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农银医疗保健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000462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农银主题轮动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001319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农银信息传媒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001606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农银工业4.0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001940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农银现代农业加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002190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农银新能源主题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002191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农银物联网主题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002189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农银国企改革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003050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农银金丰定开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003051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农银金利定开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003526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农银金穗纯债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003691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农银金泰定开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004134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农银金安18个月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004341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农银尖端科技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001656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农银中国优势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004741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农银区间策略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005061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农银永益定开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005492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农银研究驱动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lastRenderedPageBreak/>
              <w:t>005638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农银量化智慧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005921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农银金鑫定开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005815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农银汇理睿选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006758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农银汇理金禄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006685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农银汇理永安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006726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农银稳进多因子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006534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农银永盛定开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006977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农银海棠定开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007106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农银可转债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007496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农银丰泽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007407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农银养老2035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007888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农银金盈债券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008030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农银金益债券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008078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农银区间精选混合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007573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农银丰盈定开债券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008216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农银彭博利率债指数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008293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农银创新医疗混合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008355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农银金祺定开债券</w:t>
            </w:r>
          </w:p>
        </w:tc>
      </w:tr>
      <w:tr w:rsidR="00794ABB" w:rsidRPr="00794ABB" w:rsidTr="00794ABB">
        <w:trPr>
          <w:trHeight w:val="300"/>
        </w:trPr>
        <w:tc>
          <w:tcPr>
            <w:tcW w:w="202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008819</w:t>
            </w:r>
          </w:p>
        </w:tc>
        <w:tc>
          <w:tcPr>
            <w:tcW w:w="3180" w:type="dxa"/>
            <w:noWrap/>
            <w:hideMark/>
          </w:tcPr>
          <w:p w:rsidR="00794ABB" w:rsidRPr="00794ABB" w:rsidRDefault="00794ABB" w:rsidP="00794ABB">
            <w:pPr>
              <w:pStyle w:val="a5"/>
              <w:shd w:val="clear" w:color="auto" w:fill="FFFFFF"/>
              <w:spacing w:line="360" w:lineRule="auto"/>
              <w:rPr>
                <w:color w:val="1E1E1E"/>
              </w:rPr>
            </w:pPr>
            <w:r w:rsidRPr="00794ABB">
              <w:rPr>
                <w:rFonts w:hint="eastAsia"/>
                <w:color w:val="1E1E1E"/>
              </w:rPr>
              <w:t>农银策略趋势混合</w:t>
            </w:r>
          </w:p>
        </w:tc>
      </w:tr>
    </w:tbl>
    <w:p w:rsidR="00794ABB" w:rsidRDefault="00794ABB" w:rsidP="003F7FEB">
      <w:pPr>
        <w:pStyle w:val="a5"/>
        <w:shd w:val="clear" w:color="auto" w:fill="FFFFFF"/>
        <w:spacing w:before="0" w:beforeAutospacing="0" w:after="0" w:afterAutospacing="0" w:line="360" w:lineRule="auto"/>
        <w:rPr>
          <w:color w:val="1E1E1E"/>
        </w:rPr>
      </w:pPr>
    </w:p>
    <w:p w:rsidR="00F86133" w:rsidRDefault="00F86133" w:rsidP="003F7FEB">
      <w:pPr>
        <w:pStyle w:val="a5"/>
        <w:shd w:val="clear" w:color="auto" w:fill="FFFFFF"/>
        <w:spacing w:before="0" w:beforeAutospacing="0" w:after="0" w:afterAutospacing="0" w:line="360" w:lineRule="auto"/>
        <w:rPr>
          <w:color w:val="1E1E1E"/>
        </w:rPr>
      </w:pPr>
    </w:p>
    <w:p w:rsidR="00524511" w:rsidRPr="00310BAF" w:rsidRDefault="00794ABB" w:rsidP="00310BAF">
      <w:pPr>
        <w:pStyle w:val="a5"/>
        <w:shd w:val="clear" w:color="auto" w:fill="FFFFFF"/>
        <w:spacing w:before="0" w:beforeAutospacing="0" w:after="0" w:afterAutospacing="0" w:line="360" w:lineRule="auto"/>
        <w:rPr>
          <w:color w:val="1E1E1E"/>
        </w:rPr>
      </w:pPr>
      <w:r>
        <w:rPr>
          <w:rFonts w:hint="eastAsia"/>
          <w:color w:val="1E1E1E"/>
        </w:rPr>
        <w:t>三</w:t>
      </w:r>
      <w:r w:rsidR="00524511" w:rsidRPr="00310BAF">
        <w:rPr>
          <w:rFonts w:hint="eastAsia"/>
          <w:color w:val="1E1E1E"/>
        </w:rPr>
        <w:t>、特定申购费率情况</w:t>
      </w:r>
    </w:p>
    <w:p w:rsidR="00276D7A" w:rsidRDefault="00524511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color w:val="1E1E1E"/>
        </w:rPr>
      </w:pPr>
      <w:r w:rsidRPr="00310BAF">
        <w:rPr>
          <w:rFonts w:hint="eastAsia"/>
          <w:color w:val="1E1E1E"/>
        </w:rPr>
        <w:t>自2020年5月</w:t>
      </w:r>
      <w:r w:rsidR="00794ABB" w:rsidRPr="00310BAF">
        <w:rPr>
          <w:rFonts w:hint="eastAsia"/>
          <w:color w:val="1E1E1E"/>
        </w:rPr>
        <w:t>2</w:t>
      </w:r>
      <w:r w:rsidR="00794ABB">
        <w:rPr>
          <w:rFonts w:hint="eastAsia"/>
          <w:color w:val="1E1E1E"/>
        </w:rPr>
        <w:t>9</w:t>
      </w:r>
      <w:r w:rsidRPr="00310BAF">
        <w:rPr>
          <w:rFonts w:hint="eastAsia"/>
          <w:color w:val="1E1E1E"/>
        </w:rPr>
        <w:t>日起，本公司将对通过本公司直销中心</w:t>
      </w:r>
      <w:r w:rsidR="00985BC8">
        <w:rPr>
          <w:rFonts w:hint="eastAsia"/>
          <w:color w:val="1E1E1E"/>
        </w:rPr>
        <w:t>柜台</w:t>
      </w:r>
      <w:r w:rsidRPr="00310BAF">
        <w:rPr>
          <w:rFonts w:hint="eastAsia"/>
          <w:color w:val="1E1E1E"/>
        </w:rPr>
        <w:t>申购指定基金的养老金客户实施特定申购费率：</w:t>
      </w:r>
    </w:p>
    <w:p w:rsidR="00276D7A" w:rsidRDefault="00524511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color w:val="1E1E1E"/>
        </w:rPr>
      </w:pPr>
      <w:r w:rsidRPr="00310BAF">
        <w:rPr>
          <w:rFonts w:hint="eastAsia"/>
          <w:color w:val="1E1E1E"/>
        </w:rPr>
        <w:t>通过公司直销中心</w:t>
      </w:r>
      <w:r w:rsidR="00985BC8">
        <w:rPr>
          <w:rFonts w:hint="eastAsia"/>
          <w:color w:val="1E1E1E"/>
        </w:rPr>
        <w:t>柜台</w:t>
      </w:r>
      <w:r w:rsidRPr="00310BAF">
        <w:rPr>
          <w:rFonts w:hint="eastAsia"/>
          <w:color w:val="1E1E1E"/>
        </w:rPr>
        <w:t>申购该等基金的，适用的申购费率为对应申购金额所适用的原申购费率10%；申购费率为固定金额的，则按原费率执行，不再享有费率折扣。</w:t>
      </w:r>
    </w:p>
    <w:p w:rsidR="00276D7A" w:rsidRDefault="00524511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color w:val="1E1E1E"/>
        </w:rPr>
      </w:pPr>
      <w:r w:rsidRPr="00310BAF">
        <w:rPr>
          <w:rFonts w:hint="eastAsia"/>
          <w:color w:val="1E1E1E"/>
        </w:rPr>
        <w:t>在申购费按金额分档的情况下，如果投资者多次申购，申购费适用单笔申购金额所对应的费率。</w:t>
      </w:r>
    </w:p>
    <w:p w:rsidR="00524511" w:rsidRPr="00310BAF" w:rsidRDefault="00524511" w:rsidP="00310BAF">
      <w:pPr>
        <w:spacing w:line="360" w:lineRule="auto"/>
        <w:rPr>
          <w:rFonts w:ascii="Times New Roman" w:hAnsi="Times New Roman" w:cs="Times New Roman"/>
          <w:color w:val="1F497D"/>
          <w:sz w:val="24"/>
          <w:szCs w:val="24"/>
        </w:rPr>
      </w:pPr>
    </w:p>
    <w:p w:rsidR="00081DAB" w:rsidRPr="00310BAF" w:rsidRDefault="00794ABB" w:rsidP="00310BAF">
      <w:pPr>
        <w:spacing w:line="360" w:lineRule="auto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四</w:t>
      </w:r>
      <w:r w:rsidR="00081DAB" w:rsidRPr="00310BAF">
        <w:rPr>
          <w:rFonts w:hint="eastAsia"/>
          <w:bCs/>
          <w:sz w:val="24"/>
          <w:szCs w:val="24"/>
        </w:rPr>
        <w:t>、重要提示</w:t>
      </w:r>
    </w:p>
    <w:p w:rsidR="00081DAB" w:rsidRPr="00310BAF" w:rsidRDefault="00081DAB" w:rsidP="00310BAF">
      <w:pPr>
        <w:spacing w:line="360" w:lineRule="auto"/>
        <w:rPr>
          <w:sz w:val="24"/>
          <w:szCs w:val="24"/>
        </w:rPr>
      </w:pPr>
      <w:r w:rsidRPr="00310BAF">
        <w:rPr>
          <w:rFonts w:hint="eastAsia"/>
          <w:sz w:val="24"/>
          <w:szCs w:val="24"/>
        </w:rPr>
        <w:t>1</w:t>
      </w:r>
      <w:r w:rsidRPr="00310BAF">
        <w:rPr>
          <w:rFonts w:hint="eastAsia"/>
          <w:sz w:val="24"/>
          <w:szCs w:val="24"/>
        </w:rPr>
        <w:t>、除养老金客户外的其它投资者申购上述基金仍适用原申购费率。</w:t>
      </w:r>
    </w:p>
    <w:p w:rsidR="00081DAB" w:rsidRPr="00310BAF" w:rsidRDefault="00794ABB" w:rsidP="00310BA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081DAB" w:rsidRPr="00310BAF">
        <w:rPr>
          <w:rFonts w:hint="eastAsia"/>
          <w:sz w:val="24"/>
          <w:szCs w:val="24"/>
        </w:rPr>
        <w:t>、本公告的最终解释权归</w:t>
      </w:r>
      <w:r w:rsidR="00310BAF" w:rsidRPr="00310BAF">
        <w:rPr>
          <w:rFonts w:hint="eastAsia"/>
          <w:sz w:val="24"/>
          <w:szCs w:val="24"/>
        </w:rPr>
        <w:t>农银汇理</w:t>
      </w:r>
      <w:r w:rsidR="00081DAB" w:rsidRPr="00310BAF">
        <w:rPr>
          <w:rFonts w:hint="eastAsia"/>
          <w:sz w:val="24"/>
          <w:szCs w:val="24"/>
        </w:rPr>
        <w:t>基金管理有限公司所有，有关该业务的具体事宜如有变化，敬请投资人留意本公司发布的相关公告。</w:t>
      </w:r>
    </w:p>
    <w:p w:rsidR="00081DAB" w:rsidRPr="00310BAF" w:rsidRDefault="00794ABB" w:rsidP="00310BA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081DAB" w:rsidRPr="00310BAF">
        <w:rPr>
          <w:rFonts w:hint="eastAsia"/>
          <w:sz w:val="24"/>
          <w:szCs w:val="24"/>
        </w:rPr>
        <w:t>、投资者可拨打</w:t>
      </w:r>
      <w:r w:rsidR="00310BAF" w:rsidRPr="00310BAF">
        <w:rPr>
          <w:rFonts w:hint="eastAsia"/>
          <w:sz w:val="24"/>
          <w:szCs w:val="24"/>
        </w:rPr>
        <w:t>农银汇理</w:t>
      </w:r>
      <w:r w:rsidR="00081DAB" w:rsidRPr="00310BAF">
        <w:rPr>
          <w:rFonts w:hint="eastAsia"/>
          <w:sz w:val="24"/>
          <w:szCs w:val="24"/>
        </w:rPr>
        <w:t>基金管理有限公司客户服务电话</w:t>
      </w:r>
      <w:r w:rsidR="00081DAB" w:rsidRPr="00310BAF">
        <w:rPr>
          <w:rFonts w:hint="eastAsia"/>
          <w:sz w:val="24"/>
          <w:szCs w:val="24"/>
        </w:rPr>
        <w:t>400-6</w:t>
      </w:r>
      <w:r w:rsidR="00310BAF" w:rsidRPr="00310BAF">
        <w:rPr>
          <w:rFonts w:hint="eastAsia"/>
          <w:sz w:val="24"/>
          <w:szCs w:val="24"/>
        </w:rPr>
        <w:t>8</w:t>
      </w:r>
      <w:r w:rsidR="00081DAB" w:rsidRPr="00310BAF">
        <w:rPr>
          <w:rFonts w:hint="eastAsia"/>
          <w:sz w:val="24"/>
          <w:szCs w:val="24"/>
        </w:rPr>
        <w:t>-</w:t>
      </w:r>
      <w:r w:rsidR="00310BAF" w:rsidRPr="00310BAF">
        <w:rPr>
          <w:rFonts w:hint="eastAsia"/>
          <w:sz w:val="24"/>
          <w:szCs w:val="24"/>
        </w:rPr>
        <w:t>95599</w:t>
      </w:r>
      <w:r w:rsidR="00081DAB" w:rsidRPr="00310BAF">
        <w:rPr>
          <w:rFonts w:hint="eastAsia"/>
          <w:sz w:val="24"/>
          <w:szCs w:val="24"/>
        </w:rPr>
        <w:t>或登录网站</w:t>
      </w:r>
      <w:r w:rsidR="00310BAF" w:rsidRPr="00310BAF">
        <w:rPr>
          <w:sz w:val="24"/>
          <w:szCs w:val="24"/>
        </w:rPr>
        <w:t>http://www.abc-ca.com/</w:t>
      </w:r>
      <w:r w:rsidR="00081DAB" w:rsidRPr="00310BAF">
        <w:rPr>
          <w:rFonts w:hint="eastAsia"/>
          <w:sz w:val="24"/>
          <w:szCs w:val="24"/>
        </w:rPr>
        <w:t>咨询、了解相关情况。</w:t>
      </w:r>
    </w:p>
    <w:p w:rsidR="00310BAF" w:rsidRDefault="00310BAF" w:rsidP="00310BAF">
      <w:pPr>
        <w:spacing w:line="360" w:lineRule="auto"/>
        <w:ind w:firstLineChars="2250" w:firstLine="5400"/>
        <w:rPr>
          <w:sz w:val="24"/>
          <w:szCs w:val="24"/>
        </w:rPr>
      </w:pPr>
    </w:p>
    <w:p w:rsidR="00310BAF" w:rsidRDefault="00310BAF" w:rsidP="00310BAF">
      <w:pPr>
        <w:spacing w:line="360" w:lineRule="auto"/>
        <w:ind w:firstLineChars="2250" w:firstLine="5400"/>
        <w:rPr>
          <w:sz w:val="24"/>
          <w:szCs w:val="24"/>
        </w:rPr>
      </w:pPr>
    </w:p>
    <w:p w:rsidR="00310BAF" w:rsidRDefault="00310BAF" w:rsidP="00310BAF">
      <w:pPr>
        <w:spacing w:line="360" w:lineRule="auto"/>
        <w:ind w:firstLineChars="2250" w:firstLine="5400"/>
        <w:rPr>
          <w:sz w:val="24"/>
          <w:szCs w:val="24"/>
        </w:rPr>
      </w:pPr>
    </w:p>
    <w:p w:rsidR="00DF3695" w:rsidRDefault="00DF3695" w:rsidP="00310BAF">
      <w:pPr>
        <w:spacing w:line="360" w:lineRule="auto"/>
        <w:ind w:firstLineChars="2250" w:firstLine="5400"/>
        <w:rPr>
          <w:sz w:val="24"/>
          <w:szCs w:val="24"/>
        </w:rPr>
      </w:pPr>
    </w:p>
    <w:p w:rsidR="00DF3695" w:rsidRDefault="00DF3695" w:rsidP="00310BAF">
      <w:pPr>
        <w:spacing w:line="360" w:lineRule="auto"/>
        <w:ind w:firstLineChars="2250" w:firstLine="5400"/>
        <w:rPr>
          <w:sz w:val="24"/>
          <w:szCs w:val="24"/>
        </w:rPr>
      </w:pPr>
    </w:p>
    <w:p w:rsidR="00081DAB" w:rsidRDefault="00310BAF" w:rsidP="00310BAF">
      <w:pPr>
        <w:spacing w:line="360" w:lineRule="auto"/>
        <w:ind w:firstLineChars="2250" w:firstLine="5400"/>
        <w:rPr>
          <w:sz w:val="24"/>
          <w:szCs w:val="24"/>
        </w:rPr>
      </w:pPr>
      <w:r w:rsidRPr="00310BAF">
        <w:rPr>
          <w:rFonts w:hint="eastAsia"/>
          <w:sz w:val="24"/>
          <w:szCs w:val="24"/>
        </w:rPr>
        <w:t>农银汇理</w:t>
      </w:r>
      <w:r w:rsidR="00081DAB" w:rsidRPr="00310BAF">
        <w:rPr>
          <w:rFonts w:hint="eastAsia"/>
          <w:sz w:val="24"/>
          <w:szCs w:val="24"/>
        </w:rPr>
        <w:t>基金管理有限公司</w:t>
      </w:r>
    </w:p>
    <w:p w:rsidR="00310BAF" w:rsidRPr="00310BAF" w:rsidRDefault="00310BAF" w:rsidP="00310BAF">
      <w:pPr>
        <w:spacing w:line="360" w:lineRule="auto"/>
        <w:ind w:firstLineChars="2500" w:firstLine="6000"/>
        <w:rPr>
          <w:sz w:val="24"/>
          <w:szCs w:val="24"/>
        </w:rPr>
      </w:pPr>
      <w:r w:rsidRPr="00310BAF">
        <w:rPr>
          <w:rFonts w:hint="eastAsia"/>
          <w:color w:val="1E1E1E"/>
          <w:sz w:val="24"/>
          <w:szCs w:val="24"/>
        </w:rPr>
        <w:t>2020</w:t>
      </w:r>
      <w:r w:rsidRPr="00310BAF">
        <w:rPr>
          <w:rFonts w:hint="eastAsia"/>
          <w:color w:val="1E1E1E"/>
          <w:sz w:val="24"/>
          <w:szCs w:val="24"/>
        </w:rPr>
        <w:t>年</w:t>
      </w:r>
      <w:r w:rsidRPr="00310BAF">
        <w:rPr>
          <w:rFonts w:hint="eastAsia"/>
          <w:color w:val="1E1E1E"/>
          <w:sz w:val="24"/>
          <w:szCs w:val="24"/>
        </w:rPr>
        <w:t>5</w:t>
      </w:r>
      <w:r w:rsidRPr="00310BAF">
        <w:rPr>
          <w:rFonts w:hint="eastAsia"/>
          <w:color w:val="1E1E1E"/>
          <w:sz w:val="24"/>
          <w:szCs w:val="24"/>
        </w:rPr>
        <w:t>月</w:t>
      </w:r>
      <w:r w:rsidR="00794ABB" w:rsidRPr="00310BAF">
        <w:rPr>
          <w:rFonts w:hint="eastAsia"/>
          <w:color w:val="1E1E1E"/>
          <w:sz w:val="24"/>
          <w:szCs w:val="24"/>
        </w:rPr>
        <w:t>2</w:t>
      </w:r>
      <w:r w:rsidR="00794ABB">
        <w:rPr>
          <w:rFonts w:hint="eastAsia"/>
          <w:color w:val="1E1E1E"/>
          <w:sz w:val="24"/>
          <w:szCs w:val="24"/>
        </w:rPr>
        <w:t>8</w:t>
      </w:r>
      <w:r w:rsidRPr="00310BAF">
        <w:rPr>
          <w:rFonts w:hint="eastAsia"/>
          <w:color w:val="1E1E1E"/>
          <w:sz w:val="24"/>
          <w:szCs w:val="24"/>
        </w:rPr>
        <w:t>日</w:t>
      </w:r>
    </w:p>
    <w:p w:rsidR="004641C0" w:rsidRPr="00310BAF" w:rsidRDefault="004641C0" w:rsidP="004641C0">
      <w:pPr>
        <w:pStyle w:val="a5"/>
        <w:shd w:val="clear" w:color="auto" w:fill="FFFFFF"/>
        <w:spacing w:before="0" w:beforeAutospacing="0" w:after="0" w:afterAutospacing="0" w:line="380" w:lineRule="atLeast"/>
        <w:rPr>
          <w:b/>
          <w:color w:val="1E1E1E"/>
          <w:sz w:val="30"/>
          <w:szCs w:val="30"/>
        </w:rPr>
      </w:pPr>
    </w:p>
    <w:p w:rsidR="005C617D" w:rsidRPr="004641C0" w:rsidRDefault="005C617D"/>
    <w:sectPr w:rsidR="005C617D" w:rsidRPr="004641C0" w:rsidSect="005C6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C45" w:rsidRDefault="00BF5C45" w:rsidP="00524511">
      <w:r>
        <w:separator/>
      </w:r>
    </w:p>
  </w:endnote>
  <w:endnote w:type="continuationSeparator" w:id="1">
    <w:p w:rsidR="00BF5C45" w:rsidRDefault="00BF5C45" w:rsidP="00524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C45" w:rsidRDefault="00BF5C45" w:rsidP="00524511">
      <w:r>
        <w:separator/>
      </w:r>
    </w:p>
  </w:footnote>
  <w:footnote w:type="continuationSeparator" w:id="1">
    <w:p w:rsidR="00BF5C45" w:rsidRDefault="00BF5C45" w:rsidP="005245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511"/>
    <w:rsid w:val="000549D9"/>
    <w:rsid w:val="00081DAB"/>
    <w:rsid w:val="001E5E91"/>
    <w:rsid w:val="00255780"/>
    <w:rsid w:val="00276D7A"/>
    <w:rsid w:val="002E79BD"/>
    <w:rsid w:val="00310BAF"/>
    <w:rsid w:val="003A0732"/>
    <w:rsid w:val="003F7FEB"/>
    <w:rsid w:val="0042256F"/>
    <w:rsid w:val="004641C0"/>
    <w:rsid w:val="004657F1"/>
    <w:rsid w:val="0047685B"/>
    <w:rsid w:val="004F790F"/>
    <w:rsid w:val="00524511"/>
    <w:rsid w:val="005C617D"/>
    <w:rsid w:val="005E703B"/>
    <w:rsid w:val="006B657B"/>
    <w:rsid w:val="006C2940"/>
    <w:rsid w:val="00767753"/>
    <w:rsid w:val="00794ABB"/>
    <w:rsid w:val="007A75D3"/>
    <w:rsid w:val="007F6846"/>
    <w:rsid w:val="00896F92"/>
    <w:rsid w:val="00925A90"/>
    <w:rsid w:val="00985BC8"/>
    <w:rsid w:val="00A1106C"/>
    <w:rsid w:val="00A31264"/>
    <w:rsid w:val="00AF291F"/>
    <w:rsid w:val="00AF493F"/>
    <w:rsid w:val="00B12284"/>
    <w:rsid w:val="00B4390F"/>
    <w:rsid w:val="00B566A8"/>
    <w:rsid w:val="00BC0001"/>
    <w:rsid w:val="00BF5C45"/>
    <w:rsid w:val="00C41D10"/>
    <w:rsid w:val="00D16237"/>
    <w:rsid w:val="00DA09E1"/>
    <w:rsid w:val="00DE56FB"/>
    <w:rsid w:val="00DF3695"/>
    <w:rsid w:val="00E108F3"/>
    <w:rsid w:val="00E25272"/>
    <w:rsid w:val="00E82CDD"/>
    <w:rsid w:val="00F0160E"/>
    <w:rsid w:val="00F84191"/>
    <w:rsid w:val="00F86133"/>
    <w:rsid w:val="00F8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11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4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45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4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4511"/>
    <w:rPr>
      <w:sz w:val="18"/>
      <w:szCs w:val="18"/>
    </w:rPr>
  </w:style>
  <w:style w:type="paragraph" w:styleId="a5">
    <w:name w:val="Normal (Web)"/>
    <w:basedOn w:val="a"/>
    <w:uiPriority w:val="99"/>
    <w:unhideWhenUsed/>
    <w:rsid w:val="00524511"/>
    <w:pPr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1E5E91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1E5E91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1E5E91"/>
    <w:rPr>
      <w:rFonts w:ascii="Calibri" w:eastAsia="宋体" w:hAnsi="Calibri" w:cs="宋体"/>
      <w:kern w:val="0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E5E91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1E5E91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1E5E9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1E5E91"/>
    <w:rPr>
      <w:rFonts w:ascii="Calibri" w:eastAsia="宋体" w:hAnsi="Calibri" w:cs="宋体"/>
      <w:kern w:val="0"/>
      <w:sz w:val="18"/>
      <w:szCs w:val="18"/>
    </w:rPr>
  </w:style>
  <w:style w:type="table" w:styleId="aa">
    <w:name w:val="Table Grid"/>
    <w:basedOn w:val="a1"/>
    <w:uiPriority w:val="59"/>
    <w:rsid w:val="00794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1410</Characters>
  <Application>Microsoft Office Word</Application>
  <DocSecurity>4</DocSecurity>
  <Lines>11</Lines>
  <Paragraphs>3</Paragraphs>
  <ScaleCrop>false</ScaleCrop>
  <Company>Lenovo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shimengnan10.29</dc:creator>
  <cp:lastModifiedBy>JonMMx 2000</cp:lastModifiedBy>
  <cp:revision>2</cp:revision>
  <dcterms:created xsi:type="dcterms:W3CDTF">2020-05-27T16:01:00Z</dcterms:created>
  <dcterms:modified xsi:type="dcterms:W3CDTF">2020-05-27T16:01:00Z</dcterms:modified>
</cp:coreProperties>
</file>