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BA" w:rsidRDefault="008E3EBA" w:rsidP="008E3EBA">
      <w:pPr>
        <w:pStyle w:val="Default"/>
      </w:pPr>
    </w:p>
    <w:p w:rsidR="008E3EBA" w:rsidRDefault="008E3EBA" w:rsidP="008E3EBA">
      <w:pPr>
        <w:pStyle w:val="Default"/>
        <w:jc w:val="center"/>
        <w:rPr>
          <w:b/>
          <w:sz w:val="28"/>
          <w:szCs w:val="28"/>
        </w:rPr>
      </w:pPr>
      <w:r w:rsidRPr="008E3EBA">
        <w:rPr>
          <w:b/>
          <w:sz w:val="28"/>
          <w:szCs w:val="28"/>
        </w:rPr>
        <w:t>国</w:t>
      </w:r>
      <w:r w:rsidRPr="008E3EBA">
        <w:rPr>
          <w:rFonts w:hint="eastAsia"/>
          <w:b/>
          <w:sz w:val="28"/>
          <w:szCs w:val="28"/>
        </w:rPr>
        <w:t>联安</w:t>
      </w:r>
      <w:r w:rsidRPr="008E3EBA">
        <w:rPr>
          <w:b/>
          <w:sz w:val="28"/>
          <w:szCs w:val="28"/>
        </w:rPr>
        <w:t>基金管理有限公司关于修订旗下</w:t>
      </w:r>
      <w:r>
        <w:rPr>
          <w:b/>
          <w:sz w:val="28"/>
          <w:szCs w:val="28"/>
        </w:rPr>
        <w:t>基金基金合同</w:t>
      </w:r>
      <w:r>
        <w:rPr>
          <w:rFonts w:hint="eastAsia"/>
          <w:b/>
          <w:sz w:val="28"/>
          <w:szCs w:val="28"/>
        </w:rPr>
        <w:t>及</w:t>
      </w:r>
    </w:p>
    <w:p w:rsidR="008E3EBA" w:rsidRDefault="008E3EBA" w:rsidP="008E3EBA">
      <w:pPr>
        <w:pStyle w:val="Default"/>
        <w:jc w:val="center"/>
        <w:rPr>
          <w:b/>
          <w:sz w:val="28"/>
          <w:szCs w:val="28"/>
        </w:rPr>
      </w:pPr>
      <w:r w:rsidRPr="008E3EBA">
        <w:rPr>
          <w:b/>
          <w:sz w:val="28"/>
          <w:szCs w:val="28"/>
        </w:rPr>
        <w:t>托管协议的公告</w:t>
      </w:r>
    </w:p>
    <w:p w:rsidR="008E3EBA" w:rsidRPr="008E3EBA" w:rsidRDefault="008E3EBA" w:rsidP="008E3EBA">
      <w:pPr>
        <w:pStyle w:val="Default"/>
        <w:jc w:val="center"/>
        <w:rPr>
          <w:b/>
          <w:sz w:val="28"/>
          <w:szCs w:val="28"/>
        </w:rPr>
      </w:pPr>
    </w:p>
    <w:p w:rsidR="008E3EBA" w:rsidRPr="008E3EBA" w:rsidRDefault="008E3EBA" w:rsidP="008E3EBA">
      <w:pPr>
        <w:pStyle w:val="Default"/>
        <w:spacing w:line="360" w:lineRule="auto"/>
        <w:ind w:firstLineChars="200" w:firstLine="480"/>
        <w:rPr>
          <w:rFonts w:asciiTheme="minorEastAsia" w:hAnsiTheme="minorEastAsia"/>
        </w:rPr>
      </w:pPr>
      <w:r w:rsidRPr="008E3EBA">
        <w:rPr>
          <w:rFonts w:asciiTheme="minorEastAsia" w:hAnsiTheme="minorEastAsia"/>
        </w:rPr>
        <w:t>根据中国证券监督管理委员会</w:t>
      </w:r>
      <w:r w:rsidRPr="008E3EBA">
        <w:rPr>
          <w:rFonts w:asciiTheme="minorEastAsia" w:hAnsiTheme="minorEastAsia" w:cs="Times New Roman"/>
        </w:rPr>
        <w:t>2019</w:t>
      </w:r>
      <w:r w:rsidRPr="008E3EBA">
        <w:rPr>
          <w:rFonts w:asciiTheme="minorEastAsia" w:hAnsiTheme="minorEastAsia"/>
        </w:rPr>
        <w:t>年</w:t>
      </w:r>
      <w:r w:rsidRPr="008E3EBA">
        <w:rPr>
          <w:rFonts w:asciiTheme="minorEastAsia" w:hAnsiTheme="minorEastAsia" w:cs="Times New Roman"/>
        </w:rPr>
        <w:t>7</w:t>
      </w:r>
      <w:r w:rsidRPr="008E3EBA">
        <w:rPr>
          <w:rFonts w:asciiTheme="minorEastAsia" w:hAnsiTheme="minorEastAsia"/>
        </w:rPr>
        <w:t>月</w:t>
      </w:r>
      <w:r w:rsidRPr="008E3EBA">
        <w:rPr>
          <w:rFonts w:asciiTheme="minorEastAsia" w:hAnsiTheme="minorEastAsia" w:cs="Times New Roman"/>
        </w:rPr>
        <w:t>26</w:t>
      </w:r>
      <w:r w:rsidRPr="008E3EBA">
        <w:rPr>
          <w:rFonts w:asciiTheme="minorEastAsia" w:hAnsiTheme="minorEastAsia"/>
        </w:rPr>
        <w:t>日颁布、同年</w:t>
      </w:r>
      <w:r w:rsidRPr="008E3EBA">
        <w:rPr>
          <w:rFonts w:asciiTheme="minorEastAsia" w:hAnsiTheme="minorEastAsia" w:cs="Times New Roman"/>
        </w:rPr>
        <w:t>9</w:t>
      </w:r>
      <w:r w:rsidRPr="008E3EBA">
        <w:rPr>
          <w:rFonts w:asciiTheme="minorEastAsia" w:hAnsiTheme="minorEastAsia"/>
        </w:rPr>
        <w:t>月</w:t>
      </w:r>
      <w:r w:rsidRPr="008E3EBA">
        <w:rPr>
          <w:rFonts w:asciiTheme="minorEastAsia" w:hAnsiTheme="minorEastAsia" w:cs="Times New Roman"/>
        </w:rPr>
        <w:t>1</w:t>
      </w:r>
      <w:r w:rsidRPr="008E3EBA">
        <w:rPr>
          <w:rFonts w:asciiTheme="minorEastAsia" w:hAnsiTheme="minorEastAsia"/>
        </w:rPr>
        <w:t>日实施的《公开募</w:t>
      </w:r>
      <w:r>
        <w:rPr>
          <w:rFonts w:asciiTheme="minorEastAsia" w:hAnsiTheme="minorEastAsia"/>
        </w:rPr>
        <w:t>集证券投资基金信息披露管理办法》</w:t>
      </w:r>
      <w:r w:rsidR="00975016">
        <w:rPr>
          <w:rFonts w:asciiTheme="minorEastAsia" w:hAnsiTheme="minorEastAsia" w:hint="eastAsia"/>
        </w:rPr>
        <w:t>及相关法律法规的</w:t>
      </w:r>
      <w:r>
        <w:rPr>
          <w:rFonts w:asciiTheme="minorEastAsia" w:hAnsiTheme="minorEastAsia"/>
        </w:rPr>
        <w:t>有关规定和基金合同的约定，国</w:t>
      </w:r>
      <w:r>
        <w:rPr>
          <w:rFonts w:asciiTheme="minorEastAsia" w:hAnsiTheme="minorEastAsia" w:hint="eastAsia"/>
        </w:rPr>
        <w:t>联安</w:t>
      </w:r>
      <w:r w:rsidRPr="008E3EBA">
        <w:rPr>
          <w:rFonts w:asciiTheme="minorEastAsia" w:hAnsiTheme="minorEastAsia"/>
        </w:rPr>
        <w:t>基金管理有限公司（以下简称“基金管理人”或“本公司”）经与各基金基金托管人协商一致，对本公司旗下基金的基金合同、托管协议中信息披露相关的条款进行了修订，并对基金管理人、基金托管人基本信息</w:t>
      </w:r>
      <w:r w:rsidR="00E661F3">
        <w:rPr>
          <w:rFonts w:asciiTheme="minorEastAsia" w:hAnsiTheme="minorEastAsia" w:hint="eastAsia"/>
        </w:rPr>
        <w:t>及其他</w:t>
      </w:r>
      <w:bookmarkStart w:id="0" w:name="_GoBack"/>
      <w:bookmarkEnd w:id="0"/>
      <w:r w:rsidR="00E661F3">
        <w:rPr>
          <w:rFonts w:asciiTheme="minorEastAsia" w:hAnsiTheme="minorEastAsia" w:hint="eastAsia"/>
        </w:rPr>
        <w:t>内容</w:t>
      </w:r>
      <w:r w:rsidRPr="008E3EBA">
        <w:rPr>
          <w:rFonts w:asciiTheme="minorEastAsia" w:hAnsiTheme="minorEastAsia"/>
        </w:rPr>
        <w:t>进行了必要的更新。涉及本次修订的基金名单如附件。</w:t>
      </w:r>
    </w:p>
    <w:p w:rsidR="008E3EBA" w:rsidRPr="008E3EBA" w:rsidRDefault="008E3EBA" w:rsidP="008E3EBA">
      <w:pPr>
        <w:pStyle w:val="Default"/>
        <w:spacing w:line="360" w:lineRule="auto"/>
        <w:ind w:firstLineChars="200" w:firstLine="480"/>
        <w:rPr>
          <w:rFonts w:asciiTheme="minorEastAsia" w:hAnsiTheme="minorEastAsia"/>
        </w:rPr>
      </w:pPr>
      <w:r w:rsidRPr="008E3EBA">
        <w:rPr>
          <w:rFonts w:asciiTheme="minorEastAsia" w:hAnsiTheme="minorEastAsia"/>
        </w:rPr>
        <w:t>本次修改符合有关法律法规规定和基金合同的约定，对基金份额持有人利益无实质性不利影响，并且履行了适当的程序。修订后的基金合同自本公告发布之日起生效。本次修订后的基金合同、托管协议将于本公告发布之日登载于基金管理人网站（</w:t>
      </w:r>
      <w:r w:rsidRPr="008E3EBA">
        <w:rPr>
          <w:rFonts w:asciiTheme="minorEastAsia" w:hAnsiTheme="minorEastAsia" w:cs="Times New Roman"/>
        </w:rPr>
        <w:t>www.</w:t>
      </w:r>
      <w:r>
        <w:rPr>
          <w:rFonts w:asciiTheme="minorEastAsia" w:hAnsiTheme="minorEastAsia" w:cs="Times New Roman" w:hint="eastAsia"/>
        </w:rPr>
        <w:t>cpic</w:t>
      </w:r>
      <w:r w:rsidRPr="008E3EBA">
        <w:rPr>
          <w:rFonts w:asciiTheme="minorEastAsia" w:hAnsiTheme="minorEastAsia" w:cs="Times New Roman"/>
        </w:rPr>
        <w:t>fund</w:t>
      </w:r>
      <w:r>
        <w:rPr>
          <w:rFonts w:asciiTheme="minorEastAsia" w:hAnsiTheme="minorEastAsia" w:cs="Times New Roman" w:hint="eastAsia"/>
        </w:rPr>
        <w:t>s</w:t>
      </w:r>
      <w:r w:rsidRPr="008E3EBA">
        <w:rPr>
          <w:rFonts w:asciiTheme="minorEastAsia" w:hAnsiTheme="minorEastAsia" w:cs="Times New Roman"/>
        </w:rPr>
        <w:t>.com</w:t>
      </w:r>
      <w:r w:rsidRPr="008E3EBA">
        <w:rPr>
          <w:rFonts w:asciiTheme="minorEastAsia" w:hAnsiTheme="minorEastAsia"/>
        </w:rPr>
        <w:t>）和中国证监会基金电子披露网站（</w:t>
      </w:r>
      <w:r w:rsidRPr="008E3EBA">
        <w:rPr>
          <w:rFonts w:asciiTheme="minorEastAsia" w:hAnsiTheme="minorEastAsia" w:cs="Times New Roman"/>
        </w:rPr>
        <w:t>http://eid.csrc.gov.cn/fund</w:t>
      </w:r>
      <w:r w:rsidRPr="008E3EBA">
        <w:rPr>
          <w:rFonts w:asciiTheme="minorEastAsia" w:hAnsiTheme="minorEastAsia"/>
        </w:rPr>
        <w:t>）。投资人办理基金交易等相关业务前，应仔细阅读各基金的基金合同、招募说明书等文件。</w:t>
      </w:r>
    </w:p>
    <w:p w:rsidR="008E3EBA" w:rsidRPr="008E3EBA" w:rsidRDefault="008E3EBA" w:rsidP="008E3EBA">
      <w:pPr>
        <w:pStyle w:val="Default"/>
        <w:spacing w:line="360" w:lineRule="auto"/>
        <w:ind w:firstLineChars="200" w:firstLine="480"/>
        <w:rPr>
          <w:rFonts w:asciiTheme="minorEastAsia" w:hAnsiTheme="minorEastAsia"/>
        </w:rPr>
      </w:pPr>
      <w:r w:rsidRPr="008E3EBA">
        <w:rPr>
          <w:rFonts w:asciiTheme="minorEastAsia" w:hAnsiTheme="minorEastAsia"/>
        </w:rPr>
        <w:t>投资人可以通过本基金管理人的网站（</w:t>
      </w:r>
      <w:r w:rsidRPr="008E3EBA">
        <w:rPr>
          <w:rFonts w:asciiTheme="minorEastAsia" w:hAnsiTheme="minorEastAsia" w:cs="Times New Roman"/>
        </w:rPr>
        <w:t>www.</w:t>
      </w:r>
      <w:r>
        <w:rPr>
          <w:rFonts w:asciiTheme="minorEastAsia" w:hAnsiTheme="minorEastAsia" w:cs="Times New Roman" w:hint="eastAsia"/>
        </w:rPr>
        <w:t>cpic</w:t>
      </w:r>
      <w:r w:rsidRPr="008E3EBA">
        <w:rPr>
          <w:rFonts w:asciiTheme="minorEastAsia" w:hAnsiTheme="minorEastAsia" w:cs="Times New Roman"/>
        </w:rPr>
        <w:t>fund</w:t>
      </w:r>
      <w:r>
        <w:rPr>
          <w:rFonts w:asciiTheme="minorEastAsia" w:hAnsiTheme="minorEastAsia" w:cs="Times New Roman" w:hint="eastAsia"/>
        </w:rPr>
        <w:t>s</w:t>
      </w:r>
      <w:r w:rsidRPr="008E3EBA">
        <w:rPr>
          <w:rFonts w:asciiTheme="minorEastAsia" w:hAnsiTheme="minorEastAsia" w:cs="Times New Roman"/>
        </w:rPr>
        <w:t>.com</w:t>
      </w:r>
      <w:r w:rsidRPr="008E3EBA">
        <w:rPr>
          <w:rFonts w:asciiTheme="minorEastAsia" w:hAnsiTheme="minorEastAsia"/>
        </w:rPr>
        <w:t>）或客户服务电话（</w:t>
      </w:r>
      <w:r w:rsidRPr="008E3EBA">
        <w:rPr>
          <w:rFonts w:asciiTheme="minorEastAsia" w:hAnsiTheme="minorEastAsia" w:cs="Times New Roman" w:hint="eastAsia"/>
        </w:rPr>
        <w:t>400-700-0365</w:t>
      </w:r>
      <w:r w:rsidRPr="008E3EBA">
        <w:rPr>
          <w:rFonts w:asciiTheme="minorEastAsia" w:hAnsiTheme="minorEastAsia"/>
        </w:rPr>
        <w:t>）咨询相关情况。</w:t>
      </w:r>
    </w:p>
    <w:p w:rsidR="008E3EBA" w:rsidRPr="008E3EBA" w:rsidRDefault="008E3EBA" w:rsidP="008E3EBA">
      <w:pPr>
        <w:pStyle w:val="Default"/>
        <w:spacing w:line="360" w:lineRule="auto"/>
        <w:ind w:firstLineChars="200" w:firstLine="480"/>
        <w:rPr>
          <w:rFonts w:asciiTheme="minorEastAsia" w:hAnsiTheme="minorEastAsia"/>
        </w:rPr>
      </w:pPr>
      <w:r w:rsidRPr="008E3EBA">
        <w:rPr>
          <w:rFonts w:asciiTheme="minorEastAsia" w:hAnsiTheme="minorEastAsia"/>
        </w:rPr>
        <w:t>风险提示：基金管理人承诺以诚实信用、勤勉尽责的原则管理和运用基金资产，但不保证基金一定盈利，也不保证最低收益。投资者投资于基金管理人管理的基金时应认真阅读基金相关法律文件，了解基金产品的详细情况，选择与自己风险识别能力和风险承受能力相匹配的基金，并注意投资风险。</w:t>
      </w:r>
    </w:p>
    <w:p w:rsidR="008E3EBA" w:rsidRDefault="008E3EBA" w:rsidP="00CB1762">
      <w:pPr>
        <w:pStyle w:val="Default"/>
        <w:spacing w:line="360" w:lineRule="auto"/>
        <w:ind w:firstLineChars="200" w:firstLine="480"/>
        <w:rPr>
          <w:rFonts w:asciiTheme="minorEastAsia" w:hAnsiTheme="minorEastAsia"/>
        </w:rPr>
      </w:pPr>
      <w:r w:rsidRPr="008E3EBA">
        <w:rPr>
          <w:rFonts w:asciiTheme="minorEastAsia" w:hAnsiTheme="minorEastAsia"/>
        </w:rPr>
        <w:t>特此公告。</w:t>
      </w:r>
    </w:p>
    <w:p w:rsidR="008E3EBA" w:rsidRDefault="008E3EBA" w:rsidP="008E3EBA">
      <w:pPr>
        <w:pStyle w:val="Default"/>
        <w:spacing w:line="360" w:lineRule="auto"/>
        <w:rPr>
          <w:rFonts w:asciiTheme="minorEastAsia" w:hAnsiTheme="minorEastAsia"/>
        </w:rPr>
      </w:pPr>
    </w:p>
    <w:p w:rsidR="008E3EBA" w:rsidRPr="008E3EBA" w:rsidRDefault="008E3EBA" w:rsidP="008E3EBA">
      <w:pPr>
        <w:pStyle w:val="Default"/>
        <w:spacing w:line="360" w:lineRule="auto"/>
        <w:rPr>
          <w:rFonts w:asciiTheme="minorEastAsia" w:hAnsiTheme="minorEastAsia"/>
        </w:rPr>
      </w:pPr>
    </w:p>
    <w:p w:rsidR="008E3EBA" w:rsidRPr="008E3EBA" w:rsidRDefault="008E3EBA" w:rsidP="008E3EBA">
      <w:pPr>
        <w:pStyle w:val="Default"/>
        <w:spacing w:line="360" w:lineRule="auto"/>
        <w:jc w:val="right"/>
        <w:rPr>
          <w:rFonts w:asciiTheme="minorEastAsia" w:hAnsiTheme="minorEastAsia"/>
        </w:rPr>
      </w:pPr>
      <w:r>
        <w:rPr>
          <w:rFonts w:asciiTheme="minorEastAsia" w:hAnsiTheme="minorEastAsia"/>
        </w:rPr>
        <w:t>国</w:t>
      </w:r>
      <w:r>
        <w:rPr>
          <w:rFonts w:asciiTheme="minorEastAsia" w:hAnsiTheme="minorEastAsia" w:hint="eastAsia"/>
        </w:rPr>
        <w:t>联安</w:t>
      </w:r>
      <w:r w:rsidRPr="008E3EBA">
        <w:rPr>
          <w:rFonts w:asciiTheme="minorEastAsia" w:hAnsiTheme="minorEastAsia"/>
        </w:rPr>
        <w:t>基金管理有限公司</w:t>
      </w:r>
    </w:p>
    <w:p w:rsidR="00C67260" w:rsidRDefault="008E3EBA" w:rsidP="00CB1762">
      <w:pPr>
        <w:wordWrap w:val="0"/>
        <w:spacing w:line="360" w:lineRule="auto"/>
        <w:jc w:val="right"/>
        <w:rPr>
          <w:rFonts w:asciiTheme="minorEastAsia" w:hAnsiTheme="minorEastAsia"/>
          <w:sz w:val="24"/>
          <w:szCs w:val="24"/>
        </w:rPr>
      </w:pPr>
      <w:r w:rsidRPr="008E3EBA">
        <w:rPr>
          <w:rFonts w:asciiTheme="minorEastAsia" w:hAnsiTheme="minorEastAsia"/>
          <w:sz w:val="24"/>
          <w:szCs w:val="24"/>
        </w:rPr>
        <w:t>二零</w:t>
      </w:r>
      <w:r w:rsidR="00CB1762" w:rsidRPr="008E3EBA">
        <w:rPr>
          <w:rFonts w:asciiTheme="minorEastAsia" w:hAnsiTheme="minorEastAsia"/>
          <w:sz w:val="24"/>
          <w:szCs w:val="24"/>
        </w:rPr>
        <w:t>二零</w:t>
      </w:r>
      <w:r w:rsidR="00CB1762">
        <w:rPr>
          <w:rFonts w:asciiTheme="minorEastAsia" w:hAnsiTheme="minorEastAsia"/>
          <w:sz w:val="24"/>
          <w:szCs w:val="24"/>
        </w:rPr>
        <w:t>年</w:t>
      </w:r>
      <w:r w:rsidR="00CB1762">
        <w:rPr>
          <w:rFonts w:asciiTheme="minorEastAsia" w:hAnsiTheme="minorEastAsia" w:hint="eastAsia"/>
          <w:sz w:val="24"/>
          <w:szCs w:val="24"/>
        </w:rPr>
        <w:t>五</w:t>
      </w:r>
      <w:r w:rsidRPr="008E3EBA">
        <w:rPr>
          <w:rFonts w:asciiTheme="minorEastAsia" w:hAnsiTheme="minorEastAsia"/>
          <w:sz w:val="24"/>
          <w:szCs w:val="24"/>
        </w:rPr>
        <w:t>月</w:t>
      </w:r>
      <w:r w:rsidR="002F2311">
        <w:rPr>
          <w:rFonts w:asciiTheme="minorEastAsia" w:hAnsiTheme="minorEastAsia" w:hint="eastAsia"/>
          <w:sz w:val="24"/>
          <w:szCs w:val="24"/>
        </w:rPr>
        <w:t>二</w:t>
      </w:r>
      <w:r w:rsidR="00CB1762">
        <w:rPr>
          <w:rFonts w:asciiTheme="minorEastAsia" w:hAnsiTheme="minorEastAsia" w:hint="eastAsia"/>
          <w:sz w:val="24"/>
          <w:szCs w:val="24"/>
        </w:rPr>
        <w:t>十六</w:t>
      </w:r>
      <w:r w:rsidRPr="008E3EBA">
        <w:rPr>
          <w:rFonts w:asciiTheme="minorEastAsia" w:hAnsiTheme="minorEastAsia"/>
          <w:sz w:val="24"/>
          <w:szCs w:val="24"/>
        </w:rPr>
        <w:t>日</w:t>
      </w:r>
    </w:p>
    <w:p w:rsidR="008E3EBA" w:rsidRDefault="008E3EBA" w:rsidP="008E3EBA">
      <w:pPr>
        <w:spacing w:line="360" w:lineRule="auto"/>
        <w:jc w:val="right"/>
        <w:rPr>
          <w:rFonts w:asciiTheme="minorEastAsia" w:hAnsiTheme="minorEastAsia"/>
          <w:sz w:val="24"/>
          <w:szCs w:val="24"/>
        </w:rPr>
      </w:pPr>
    </w:p>
    <w:p w:rsidR="001342D5" w:rsidRDefault="001342D5" w:rsidP="0057324E">
      <w:pPr>
        <w:spacing w:line="360" w:lineRule="auto"/>
        <w:ind w:firstLineChars="200" w:firstLine="480"/>
        <w:jc w:val="left"/>
        <w:rPr>
          <w:sz w:val="24"/>
          <w:szCs w:val="24"/>
        </w:rPr>
      </w:pPr>
      <w:r w:rsidRPr="001342D5">
        <w:rPr>
          <w:sz w:val="24"/>
          <w:szCs w:val="24"/>
        </w:rPr>
        <w:t>附件：本次修订的基金名单</w:t>
      </w:r>
    </w:p>
    <w:tbl>
      <w:tblPr>
        <w:tblW w:w="88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7900"/>
      </w:tblGrid>
      <w:tr w:rsidR="00744FBE" w:rsidRPr="00744FBE" w:rsidTr="00744FBE">
        <w:trPr>
          <w:trHeight w:val="280"/>
        </w:trPr>
        <w:tc>
          <w:tcPr>
            <w:tcW w:w="960" w:type="dxa"/>
            <w:shd w:val="clear" w:color="auto" w:fill="auto"/>
            <w:noWrap/>
            <w:vAlign w:val="center"/>
            <w:hideMark/>
          </w:tcPr>
          <w:p w:rsidR="00744FBE" w:rsidRPr="00744FBE" w:rsidRDefault="00744FBE" w:rsidP="00744FBE">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lastRenderedPageBreak/>
              <w:t>序号</w:t>
            </w:r>
          </w:p>
        </w:tc>
        <w:tc>
          <w:tcPr>
            <w:tcW w:w="7900" w:type="dxa"/>
            <w:shd w:val="clear" w:color="auto" w:fill="auto"/>
            <w:vAlign w:val="center"/>
            <w:hideMark/>
          </w:tcPr>
          <w:p w:rsidR="00744FBE" w:rsidRPr="00744FBE" w:rsidRDefault="00744FBE" w:rsidP="00744FBE">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基金全称</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国联安德盛稳健证券投资基金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国联安德盛小盘精选证券投资基金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国联安德盛安心成长混合型证券投资基金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国联安德盛精选混合型证券投资基金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5</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国联安德盛优势混合型证券投资基金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6</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国联安德盛红利混合型证券投资基金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7</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国联安德盛增利债券证券投资基金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8</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国联安主题驱动混合型证券投资基金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9</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国联安双禧中证</w:t>
            </w:r>
            <w:r w:rsidRPr="00CD2AA8">
              <w:rPr>
                <w:rFonts w:asciiTheme="majorEastAsia" w:eastAsiaTheme="majorEastAsia" w:hAnsiTheme="majorEastAsia"/>
                <w:sz w:val="22"/>
              </w:rPr>
              <w:t>100</w:t>
            </w:r>
            <w:r w:rsidRPr="00CD2AA8">
              <w:rPr>
                <w:rFonts w:asciiTheme="majorEastAsia" w:eastAsiaTheme="majorEastAsia" w:hAnsiTheme="majorEastAsia" w:hint="eastAsia"/>
                <w:sz w:val="22"/>
              </w:rPr>
              <w:t>指数分级证券投资基金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10</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国联安信心增益债券型证券投资基金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11</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上证大宗商品股票交易型开放式指数证券投资基金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12</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国联安上证大宗商品股票交易型开放式指数证券投资基金联接基金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13</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国联安货币市场证券投资基金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14</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国联安优选行业混合型证券投资基金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15</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国联安信心增长债券型证券投资基金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16</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国联安双力中小板综指证券投资基金（</w:t>
            </w:r>
            <w:r w:rsidRPr="00CD2AA8">
              <w:rPr>
                <w:rFonts w:asciiTheme="majorEastAsia" w:eastAsiaTheme="majorEastAsia" w:hAnsiTheme="majorEastAsia"/>
                <w:sz w:val="22"/>
              </w:rPr>
              <w:t xml:space="preserve">LOF) </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17</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国联安双佳信用债券型证券投资基金（</w:t>
            </w:r>
            <w:r w:rsidRPr="00CD2AA8">
              <w:rPr>
                <w:rFonts w:asciiTheme="majorEastAsia" w:eastAsiaTheme="majorEastAsia" w:hAnsiTheme="majorEastAsia"/>
                <w:sz w:val="22"/>
              </w:rPr>
              <w:t>LOF</w:t>
            </w:r>
            <w:r w:rsidRPr="00CD2AA8">
              <w:rPr>
                <w:rFonts w:asciiTheme="majorEastAsia" w:eastAsiaTheme="majorEastAsia" w:hAnsiTheme="majorEastAsia" w:hint="eastAsia"/>
                <w:sz w:val="22"/>
              </w:rPr>
              <w:t>）</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18</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国联安安泰灵活配置混合型证券投资基金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19</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国联安中证医药</w:t>
            </w:r>
            <w:r w:rsidRPr="00CD2AA8">
              <w:rPr>
                <w:rFonts w:asciiTheme="majorEastAsia" w:eastAsiaTheme="majorEastAsia" w:hAnsiTheme="majorEastAsia"/>
                <w:sz w:val="22"/>
              </w:rPr>
              <w:t>100</w:t>
            </w:r>
            <w:r w:rsidRPr="00CD2AA8">
              <w:rPr>
                <w:rFonts w:asciiTheme="majorEastAsia" w:eastAsiaTheme="majorEastAsia" w:hAnsiTheme="majorEastAsia" w:hint="eastAsia"/>
                <w:sz w:val="22"/>
              </w:rPr>
              <w:t>指数证券投资基金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20</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国联安新精选灵活配置混合型证券投资基金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21</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国联安通盈灵活配置混合型证券投资基金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22</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国联安鑫安灵活配置混合型证券投资基金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23</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国联安睿祺灵活配置混合型证券投资基金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24</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国联安鑫享灵活配置混合型证券投资基金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25</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国联安添鑫灵活配置混合型证券投资基金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26</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国联安科技动力股票型证券投资基金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27</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国联安安稳灵活配置混合型证券投资基金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28</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国联安添利增长债券型证券投资基金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29</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国联安锐意成长混合型证券投资基金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30</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国联安鑫汇混合型证券投资基金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31</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国联安鑫乾混合型证券投资基金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32</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国联安鑫发混合型证券投资基金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33</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国联安鑫隆混合型证券投资基金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34</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国联安远见成长混合型证券投资基金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35</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国联安价值优选股票型证券投资基金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36</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国联安增富一年定期开放纯债债券型发起式证券投资基金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37</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国联安增裕一年定期开放纯债债券型发起式证券投资基金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38</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国联安行业领先混合型证券投资基金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39</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国联安增鑫纯债债券型证券投资基金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40</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国联安智能制造混合型证券投资基金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41</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国联安安享稳健养老目标一年持有期混合型基金中基金（</w:t>
            </w:r>
            <w:r w:rsidRPr="00CD2AA8">
              <w:rPr>
                <w:rFonts w:asciiTheme="majorEastAsia" w:eastAsiaTheme="majorEastAsia" w:hAnsiTheme="majorEastAsia"/>
                <w:sz w:val="22"/>
              </w:rPr>
              <w:t>FOF</w:t>
            </w:r>
            <w:r w:rsidRPr="00CD2AA8">
              <w:rPr>
                <w:rFonts w:asciiTheme="majorEastAsia" w:eastAsiaTheme="majorEastAsia" w:hAnsiTheme="majorEastAsia" w:hint="eastAsia"/>
                <w:sz w:val="22"/>
              </w:rPr>
              <w:t>）</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42</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国联安中证全指半导体产品与设备交易型开放式指数证券投资基金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lastRenderedPageBreak/>
              <w:t>43</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国联安增盈纯债债券型证券投资基金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44</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国联安增瑞政策性金融债纯债债券型证券投资基金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45</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国联安中证全指半导体产品与设备交易型开放式指数证券投资基金联接基金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46</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w:t>
            </w:r>
            <w:r w:rsidRPr="00CD2AA8">
              <w:rPr>
                <w:rFonts w:asciiTheme="majorEastAsia" w:eastAsiaTheme="majorEastAsia" w:hAnsiTheme="majorEastAsia"/>
                <w:sz w:val="22"/>
              </w:rPr>
              <w:t>6</w:t>
            </w:r>
            <w:r w:rsidRPr="00CD2AA8">
              <w:rPr>
                <w:rFonts w:asciiTheme="majorEastAsia" w:eastAsiaTheme="majorEastAsia" w:hAnsiTheme="majorEastAsia" w:hint="eastAsia"/>
                <w:sz w:val="22"/>
              </w:rPr>
              <w:t>个月定期开放债券型证券投资基金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47</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国联安新科技混合型证券投资基金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48</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国联安恒利</w:t>
            </w:r>
            <w:r w:rsidRPr="00CD2AA8">
              <w:rPr>
                <w:rFonts w:asciiTheme="majorEastAsia" w:eastAsiaTheme="majorEastAsia" w:hAnsiTheme="majorEastAsia"/>
                <w:sz w:val="22"/>
              </w:rPr>
              <w:t>63</w:t>
            </w:r>
            <w:r w:rsidRPr="00CD2AA8">
              <w:rPr>
                <w:rFonts w:asciiTheme="majorEastAsia" w:eastAsiaTheme="majorEastAsia" w:hAnsiTheme="majorEastAsia" w:hint="eastAsia"/>
                <w:sz w:val="22"/>
              </w:rPr>
              <w:t>个月定期开放债券型证券投资基金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49</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国联安沪深</w:t>
            </w:r>
            <w:r w:rsidRPr="00CD2AA8">
              <w:rPr>
                <w:rFonts w:asciiTheme="majorEastAsia" w:eastAsiaTheme="majorEastAsia" w:hAnsiTheme="majorEastAsia"/>
                <w:sz w:val="22"/>
              </w:rPr>
              <w:t>300</w:t>
            </w:r>
            <w:r w:rsidRPr="00CD2AA8">
              <w:rPr>
                <w:rFonts w:asciiTheme="majorEastAsia" w:eastAsiaTheme="majorEastAsia" w:hAnsiTheme="majorEastAsia" w:hint="eastAsia"/>
                <w:sz w:val="22"/>
              </w:rPr>
              <w:t>交易型开放式指数证券投资基金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50</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国联安短债债券型证券投资基金</w:t>
            </w:r>
          </w:p>
        </w:tc>
      </w:tr>
      <w:tr w:rsidR="004B264C" w:rsidRPr="00744FBE" w:rsidTr="00744FBE">
        <w:trPr>
          <w:trHeight w:val="280"/>
        </w:trPr>
        <w:tc>
          <w:tcPr>
            <w:tcW w:w="960" w:type="dxa"/>
            <w:shd w:val="clear" w:color="auto" w:fill="auto"/>
            <w:noWrap/>
            <w:vAlign w:val="center"/>
            <w:hideMark/>
          </w:tcPr>
          <w:p w:rsidR="004B264C" w:rsidRPr="00744FBE" w:rsidRDefault="004B264C" w:rsidP="004B264C">
            <w:pPr>
              <w:widowControl/>
              <w:jc w:val="center"/>
              <w:rPr>
                <w:rFonts w:ascii="宋体" w:eastAsia="宋体" w:hAnsi="宋体" w:cs="宋体"/>
                <w:color w:val="000000"/>
                <w:kern w:val="0"/>
                <w:sz w:val="22"/>
              </w:rPr>
            </w:pPr>
            <w:r w:rsidRPr="00744FBE">
              <w:rPr>
                <w:rFonts w:ascii="宋体" w:eastAsia="宋体" w:hAnsi="宋体" w:cs="宋体" w:hint="eastAsia"/>
                <w:color w:val="000000"/>
                <w:kern w:val="0"/>
                <w:sz w:val="22"/>
              </w:rPr>
              <w:t>51</w:t>
            </w:r>
          </w:p>
        </w:tc>
        <w:tc>
          <w:tcPr>
            <w:tcW w:w="7900" w:type="dxa"/>
            <w:shd w:val="clear" w:color="auto" w:fill="auto"/>
            <w:noWrap/>
            <w:hideMark/>
          </w:tcPr>
          <w:p w:rsidR="004B264C" w:rsidRPr="00CD2AA8" w:rsidRDefault="004B264C" w:rsidP="004B264C">
            <w:pPr>
              <w:widowControl/>
              <w:jc w:val="left"/>
              <w:rPr>
                <w:rFonts w:asciiTheme="majorEastAsia" w:eastAsiaTheme="majorEastAsia" w:hAnsiTheme="majorEastAsia" w:cs="宋体"/>
                <w:color w:val="000000"/>
                <w:kern w:val="0"/>
                <w:sz w:val="22"/>
              </w:rPr>
            </w:pPr>
            <w:r w:rsidRPr="00CD2AA8">
              <w:rPr>
                <w:rFonts w:asciiTheme="majorEastAsia" w:eastAsiaTheme="majorEastAsia" w:hAnsiTheme="majorEastAsia" w:hint="eastAsia"/>
                <w:sz w:val="22"/>
              </w:rPr>
              <w:t>国联安沪深</w:t>
            </w:r>
            <w:r w:rsidRPr="00CD2AA8">
              <w:rPr>
                <w:rFonts w:asciiTheme="majorEastAsia" w:eastAsiaTheme="majorEastAsia" w:hAnsiTheme="majorEastAsia"/>
                <w:sz w:val="22"/>
              </w:rPr>
              <w:t>300</w:t>
            </w:r>
            <w:r w:rsidRPr="00CD2AA8">
              <w:rPr>
                <w:rFonts w:asciiTheme="majorEastAsia" w:eastAsiaTheme="majorEastAsia" w:hAnsiTheme="majorEastAsia" w:hint="eastAsia"/>
                <w:sz w:val="22"/>
              </w:rPr>
              <w:t>交易型开放式指数证券投资基金联接基金</w:t>
            </w:r>
          </w:p>
        </w:tc>
      </w:tr>
    </w:tbl>
    <w:p w:rsidR="0057324E" w:rsidRPr="00744FBE" w:rsidRDefault="0057324E" w:rsidP="0057324E">
      <w:pPr>
        <w:spacing w:line="360" w:lineRule="auto"/>
        <w:ind w:firstLineChars="200" w:firstLine="480"/>
        <w:jc w:val="left"/>
        <w:rPr>
          <w:sz w:val="24"/>
          <w:szCs w:val="24"/>
        </w:rPr>
      </w:pPr>
    </w:p>
    <w:p w:rsidR="0057324E" w:rsidRPr="001342D5" w:rsidRDefault="0057324E" w:rsidP="001342D5">
      <w:pPr>
        <w:spacing w:line="360" w:lineRule="auto"/>
        <w:jc w:val="left"/>
        <w:rPr>
          <w:rFonts w:asciiTheme="minorEastAsia" w:hAnsiTheme="minorEastAsia"/>
          <w:sz w:val="24"/>
          <w:szCs w:val="24"/>
        </w:rPr>
      </w:pPr>
    </w:p>
    <w:p w:rsidR="008E3EBA" w:rsidRPr="008E3EBA" w:rsidRDefault="008E3EBA" w:rsidP="008E3EBA">
      <w:pPr>
        <w:spacing w:line="360" w:lineRule="auto"/>
        <w:jc w:val="right"/>
        <w:rPr>
          <w:rFonts w:asciiTheme="minorEastAsia" w:hAnsiTheme="minorEastAsia"/>
          <w:sz w:val="24"/>
          <w:szCs w:val="24"/>
        </w:rPr>
      </w:pPr>
    </w:p>
    <w:sectPr w:rsidR="008E3EBA" w:rsidRPr="008E3EBA" w:rsidSect="00ED79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C05" w:rsidRDefault="003C3C05" w:rsidP="004B264C">
      <w:r>
        <w:separator/>
      </w:r>
    </w:p>
  </w:endnote>
  <w:endnote w:type="continuationSeparator" w:id="1">
    <w:p w:rsidR="003C3C05" w:rsidRDefault="003C3C05" w:rsidP="004B26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C05" w:rsidRDefault="003C3C05" w:rsidP="004B264C">
      <w:r>
        <w:separator/>
      </w:r>
    </w:p>
  </w:footnote>
  <w:footnote w:type="continuationSeparator" w:id="1">
    <w:p w:rsidR="003C3C05" w:rsidRDefault="003C3C05" w:rsidP="004B264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黄雯毓">
    <w15:presenceInfo w15:providerId="AD" w15:userId="S-1-5-21-827558896-2395754743-2485761113-53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EBA"/>
    <w:rsid w:val="001342D5"/>
    <w:rsid w:val="00224D09"/>
    <w:rsid w:val="002E0D94"/>
    <w:rsid w:val="002F2311"/>
    <w:rsid w:val="003C3C05"/>
    <w:rsid w:val="00426E26"/>
    <w:rsid w:val="004A39AD"/>
    <w:rsid w:val="004B264C"/>
    <w:rsid w:val="00551405"/>
    <w:rsid w:val="0057324E"/>
    <w:rsid w:val="005E2BA7"/>
    <w:rsid w:val="006A2B89"/>
    <w:rsid w:val="00744FBE"/>
    <w:rsid w:val="008E3EBA"/>
    <w:rsid w:val="009349A0"/>
    <w:rsid w:val="00975016"/>
    <w:rsid w:val="00CB1762"/>
    <w:rsid w:val="00CD2AA8"/>
    <w:rsid w:val="00E661F3"/>
    <w:rsid w:val="00ED7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3EBA"/>
    <w:pPr>
      <w:widowControl w:val="0"/>
      <w:autoSpaceDE w:val="0"/>
      <w:autoSpaceDN w:val="0"/>
      <w:adjustRightInd w:val="0"/>
    </w:pPr>
    <w:rPr>
      <w:rFonts w:ascii="宋体" w:hAnsi="宋体" w:cs="宋体"/>
      <w:color w:val="000000"/>
      <w:kern w:val="0"/>
      <w:sz w:val="24"/>
      <w:szCs w:val="24"/>
    </w:rPr>
  </w:style>
  <w:style w:type="paragraph" w:styleId="a3">
    <w:name w:val="Date"/>
    <w:basedOn w:val="a"/>
    <w:next w:val="a"/>
    <w:link w:val="Char"/>
    <w:uiPriority w:val="99"/>
    <w:semiHidden/>
    <w:unhideWhenUsed/>
    <w:rsid w:val="008E3EBA"/>
    <w:pPr>
      <w:ind w:leftChars="2500" w:left="100"/>
    </w:pPr>
  </w:style>
  <w:style w:type="character" w:customStyle="1" w:styleId="Char">
    <w:name w:val="日期 Char"/>
    <w:basedOn w:val="a0"/>
    <w:link w:val="a3"/>
    <w:uiPriority w:val="99"/>
    <w:semiHidden/>
    <w:rsid w:val="008E3EBA"/>
  </w:style>
  <w:style w:type="paragraph" w:styleId="a4">
    <w:name w:val="header"/>
    <w:basedOn w:val="a"/>
    <w:link w:val="Char0"/>
    <w:uiPriority w:val="99"/>
    <w:unhideWhenUsed/>
    <w:rsid w:val="004B26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264C"/>
    <w:rPr>
      <w:sz w:val="18"/>
      <w:szCs w:val="18"/>
    </w:rPr>
  </w:style>
  <w:style w:type="paragraph" w:styleId="a5">
    <w:name w:val="footer"/>
    <w:basedOn w:val="a"/>
    <w:link w:val="Char1"/>
    <w:uiPriority w:val="99"/>
    <w:unhideWhenUsed/>
    <w:rsid w:val="004B264C"/>
    <w:pPr>
      <w:tabs>
        <w:tab w:val="center" w:pos="4153"/>
        <w:tab w:val="right" w:pos="8306"/>
      </w:tabs>
      <w:snapToGrid w:val="0"/>
      <w:jc w:val="left"/>
    </w:pPr>
    <w:rPr>
      <w:sz w:val="18"/>
      <w:szCs w:val="18"/>
    </w:rPr>
  </w:style>
  <w:style w:type="character" w:customStyle="1" w:styleId="Char1">
    <w:name w:val="页脚 Char"/>
    <w:basedOn w:val="a0"/>
    <w:link w:val="a5"/>
    <w:uiPriority w:val="99"/>
    <w:rsid w:val="004B264C"/>
    <w:rPr>
      <w:sz w:val="18"/>
      <w:szCs w:val="18"/>
    </w:rPr>
  </w:style>
  <w:style w:type="paragraph" w:styleId="a6">
    <w:name w:val="Balloon Text"/>
    <w:basedOn w:val="a"/>
    <w:link w:val="Char2"/>
    <w:uiPriority w:val="99"/>
    <w:semiHidden/>
    <w:unhideWhenUsed/>
    <w:rsid w:val="00CD2AA8"/>
    <w:rPr>
      <w:sz w:val="18"/>
      <w:szCs w:val="18"/>
    </w:rPr>
  </w:style>
  <w:style w:type="character" w:customStyle="1" w:styleId="Char2">
    <w:name w:val="批注框文本 Char"/>
    <w:basedOn w:val="a0"/>
    <w:link w:val="a6"/>
    <w:uiPriority w:val="99"/>
    <w:semiHidden/>
    <w:rsid w:val="00CD2A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3EBA"/>
    <w:pPr>
      <w:widowControl w:val="0"/>
      <w:autoSpaceDE w:val="0"/>
      <w:autoSpaceDN w:val="0"/>
      <w:adjustRightInd w:val="0"/>
    </w:pPr>
    <w:rPr>
      <w:rFonts w:ascii="宋体" w:hAnsi="宋体" w:cs="宋体"/>
      <w:color w:val="000000"/>
      <w:kern w:val="0"/>
      <w:sz w:val="24"/>
      <w:szCs w:val="24"/>
    </w:rPr>
  </w:style>
  <w:style w:type="paragraph" w:styleId="a3">
    <w:name w:val="Date"/>
    <w:basedOn w:val="a"/>
    <w:next w:val="a"/>
    <w:link w:val="Char"/>
    <w:uiPriority w:val="99"/>
    <w:semiHidden/>
    <w:unhideWhenUsed/>
    <w:rsid w:val="008E3EBA"/>
    <w:pPr>
      <w:ind w:leftChars="2500" w:left="100"/>
    </w:pPr>
  </w:style>
  <w:style w:type="character" w:customStyle="1" w:styleId="Char">
    <w:name w:val="日期 Char"/>
    <w:basedOn w:val="a0"/>
    <w:link w:val="a3"/>
    <w:uiPriority w:val="99"/>
    <w:semiHidden/>
    <w:rsid w:val="008E3EBA"/>
  </w:style>
  <w:style w:type="paragraph" w:styleId="a4">
    <w:name w:val="header"/>
    <w:basedOn w:val="a"/>
    <w:link w:val="Char0"/>
    <w:uiPriority w:val="99"/>
    <w:unhideWhenUsed/>
    <w:rsid w:val="004B26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B264C"/>
    <w:rPr>
      <w:sz w:val="18"/>
      <w:szCs w:val="18"/>
    </w:rPr>
  </w:style>
  <w:style w:type="paragraph" w:styleId="a5">
    <w:name w:val="footer"/>
    <w:basedOn w:val="a"/>
    <w:link w:val="Char1"/>
    <w:uiPriority w:val="99"/>
    <w:unhideWhenUsed/>
    <w:rsid w:val="004B264C"/>
    <w:pPr>
      <w:tabs>
        <w:tab w:val="center" w:pos="4153"/>
        <w:tab w:val="right" w:pos="8306"/>
      </w:tabs>
      <w:snapToGrid w:val="0"/>
      <w:jc w:val="left"/>
    </w:pPr>
    <w:rPr>
      <w:sz w:val="18"/>
      <w:szCs w:val="18"/>
    </w:rPr>
  </w:style>
  <w:style w:type="character" w:customStyle="1" w:styleId="Char1">
    <w:name w:val="页脚 Char"/>
    <w:basedOn w:val="a0"/>
    <w:link w:val="a5"/>
    <w:uiPriority w:val="99"/>
    <w:rsid w:val="004B264C"/>
    <w:rPr>
      <w:sz w:val="18"/>
      <w:szCs w:val="18"/>
    </w:rPr>
  </w:style>
  <w:style w:type="paragraph" w:styleId="a6">
    <w:name w:val="Balloon Text"/>
    <w:basedOn w:val="a"/>
    <w:link w:val="Char2"/>
    <w:uiPriority w:val="99"/>
    <w:semiHidden/>
    <w:unhideWhenUsed/>
    <w:rsid w:val="00CD2AA8"/>
    <w:rPr>
      <w:sz w:val="18"/>
      <w:szCs w:val="18"/>
    </w:rPr>
  </w:style>
  <w:style w:type="character" w:customStyle="1" w:styleId="Char2">
    <w:name w:val="批注框文本 Char"/>
    <w:basedOn w:val="a0"/>
    <w:link w:val="a6"/>
    <w:uiPriority w:val="99"/>
    <w:semiHidden/>
    <w:rsid w:val="00CD2AA8"/>
    <w:rPr>
      <w:sz w:val="18"/>
      <w:szCs w:val="18"/>
    </w:rPr>
  </w:style>
</w:styles>
</file>

<file path=word/webSettings.xml><?xml version="1.0" encoding="utf-8"?>
<w:webSettings xmlns:r="http://schemas.openxmlformats.org/officeDocument/2006/relationships" xmlns:w="http://schemas.openxmlformats.org/wordprocessingml/2006/main">
  <w:divs>
    <w:div w:id="618604970">
      <w:bodyDiv w:val="1"/>
      <w:marLeft w:val="0"/>
      <w:marRight w:val="0"/>
      <w:marTop w:val="0"/>
      <w:marBottom w:val="0"/>
      <w:divBdr>
        <w:top w:val="none" w:sz="0" w:space="0" w:color="auto"/>
        <w:left w:val="none" w:sz="0" w:space="0" w:color="auto"/>
        <w:bottom w:val="none" w:sz="0" w:space="0" w:color="auto"/>
        <w:right w:val="none" w:sz="0" w:space="0" w:color="auto"/>
      </w:divBdr>
    </w:div>
    <w:div w:id="8268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1609</Characters>
  <Application>Microsoft Office Word</Application>
  <DocSecurity>4</DocSecurity>
  <Lines>13</Lines>
  <Paragraphs>3</Paragraphs>
  <ScaleCrop>false</ScaleCrop>
  <Company>Microsoft</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吴有生</dc:creator>
  <cp:lastModifiedBy>JonMMx 2000</cp:lastModifiedBy>
  <cp:revision>2</cp:revision>
  <dcterms:created xsi:type="dcterms:W3CDTF">2020-05-25T16:00:00Z</dcterms:created>
  <dcterms:modified xsi:type="dcterms:W3CDTF">2020-05-25T16:00:00Z</dcterms:modified>
</cp:coreProperties>
</file>