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7" w:rsidRDefault="007741D7" w:rsidP="007741D7">
      <w:pPr>
        <w:spacing w:before="100" w:beforeAutospacing="1" w:after="100" w:afterAutospacing="1"/>
        <w:jc w:val="center"/>
        <w:rPr>
          <w:rFonts w:ascii="宋体" w:eastAsia="宋体" w:hAnsi="宋体" w:cs="Times New Roman"/>
          <w:b/>
          <w:color w:val="333333"/>
          <w:sz w:val="20"/>
          <w:szCs w:val="20"/>
        </w:rPr>
      </w:pPr>
      <w:r>
        <w:rPr>
          <w:rFonts w:ascii="宋体" w:eastAsia="宋体" w:hAnsi="宋体" w:cs="Times New Roman" w:hint="eastAsia"/>
          <w:b/>
          <w:color w:val="333333"/>
          <w:sz w:val="20"/>
          <w:szCs w:val="20"/>
        </w:rPr>
        <w:t>银河基金管理有限公司关于旗下部分基金新增</w:t>
      </w:r>
      <w:r w:rsidRPr="007741D7">
        <w:rPr>
          <w:rFonts w:ascii="宋体" w:eastAsia="宋体" w:hAnsi="宋体" w:cs="Times New Roman" w:hint="eastAsia"/>
          <w:b/>
          <w:color w:val="333333"/>
          <w:sz w:val="20"/>
          <w:szCs w:val="20"/>
        </w:rPr>
        <w:t>北京新浪仓石基金销售有限公司</w:t>
      </w:r>
      <w:r>
        <w:rPr>
          <w:rFonts w:ascii="宋体" w:eastAsia="宋体" w:hAnsi="宋体" w:cs="Times New Roman" w:hint="eastAsia"/>
          <w:b/>
          <w:color w:val="333333"/>
          <w:sz w:val="20"/>
          <w:szCs w:val="20"/>
        </w:rPr>
        <w:t>为代销机构及费率优惠的公告</w:t>
      </w:r>
    </w:p>
    <w:p w:rsidR="007741D7" w:rsidRDefault="007741D7" w:rsidP="007741D7">
      <w:pPr>
        <w:ind w:firstLineChars="200" w:firstLine="400"/>
        <w:rPr>
          <w:rFonts w:ascii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根据银河基金管理有限公司（以下简称“银河基金”）与</w:t>
      </w:r>
      <w:r w:rsidRPr="003D1185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北京新浪仓石基金销售有限公司</w:t>
      </w: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（以下简称“</w:t>
      </w:r>
      <w:r w:rsidR="003D1185" w:rsidRPr="00FD4D5E">
        <w:rPr>
          <w:rFonts w:asciiTheme="minorEastAsia" w:hAnsiTheme="minorEastAsia"/>
          <w:color w:val="333333"/>
          <w:sz w:val="20"/>
          <w:szCs w:val="20"/>
          <w:shd w:val="clear" w:color="auto" w:fill="FFFFFF"/>
        </w:rPr>
        <w:t>新浪仓石基金</w:t>
      </w: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”）签署的代理销售协议，自2020年5月</w:t>
      </w:r>
      <w:r w:rsidR="001D0BB8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21</w:t>
      </w: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日起新增</w:t>
      </w:r>
      <w:r w:rsidR="003D1185" w:rsidRPr="00FD4D5E">
        <w:rPr>
          <w:rFonts w:asciiTheme="minorEastAsia" w:hAnsiTheme="minorEastAsia"/>
          <w:color w:val="333333"/>
          <w:sz w:val="20"/>
          <w:szCs w:val="20"/>
          <w:shd w:val="clear" w:color="auto" w:fill="FFFFFF"/>
        </w:rPr>
        <w:t>新浪仓石基金</w:t>
      </w: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为代销机构，同时开通银河基金旗下部分基金申购、赎回和定投业务并参加申购及定投业务费率优惠活动。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一、适用投资者范围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1D0BB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通过</w:t>
      </w:r>
      <w:r w:rsidR="001D0BB8" w:rsidRPr="001D0BB8">
        <w:rPr>
          <w:rFonts w:asciiTheme="minorEastAsia" w:hAnsiTheme="minorEastAsia"/>
          <w:color w:val="333333"/>
          <w:sz w:val="20"/>
          <w:szCs w:val="20"/>
          <w:shd w:val="clear" w:color="auto" w:fill="FFFFFF"/>
        </w:rPr>
        <w:t>新浪仓石基金</w:t>
      </w:r>
      <w:r w:rsidRPr="001D0BB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销售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系统申购、定投、赎回开放式基金的投资者。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二、上线并开通定投的基金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2571"/>
        <w:gridCol w:w="1526"/>
      </w:tblGrid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基金名称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基金简称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基金代码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银河稳健证券投资基金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银河稳健混合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151001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银河收益证券投资基金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银河收益债券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151002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银河银泰理财分红证券投资基金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银河银泰混合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150103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银河旺利灵活配置混合型证券投资基金A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银河旺利混合A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银河旺利灵活配置混合型证券投资基金C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银河旺利混合C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0" w:name="_Toc123112222"/>
            <w:bookmarkStart w:id="1" w:name="_Toc123112261"/>
            <w:bookmarkStart w:id="2" w:name="_Toc123701381"/>
            <w:bookmarkStart w:id="3" w:name="_Toc139991724"/>
            <w:bookmarkStart w:id="4" w:name="_Toc139992299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银河君尚灵活配置混合型</w:t>
            </w: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证券投资基金</w:t>
            </w:r>
            <w:bookmarkEnd w:id="0"/>
            <w:bookmarkEnd w:id="1"/>
            <w:bookmarkEnd w:id="2"/>
            <w:bookmarkEnd w:id="3"/>
            <w:bookmarkEnd w:id="4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银河君尚混合A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银河君尚灵活配置混合型</w:t>
            </w: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证券投资基金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银河君尚混合C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银河君信灵活配置混合型证券投资基金A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银河君信混合A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银河君信灵活配置混合型证券投资基金C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银河君信混合C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519617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银河君荣灵活配置混合型证券投资基金A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银河君荣混合A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519619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银河君荣灵活配置混合型证券投资基金C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银河君荣混合C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519620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银河鸿利灵活配置混合型证券投资基金A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5" w:name="t_1_1_fj_0011A_a1_fm1"/>
            <w:bookmarkEnd w:id="5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银河鸿利混合A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6" w:name="t_1_1_fj_0012A_a1_fm1"/>
            <w:bookmarkEnd w:id="6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519640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银河鸿利灵活配置混合型证券投资基金C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7" w:name="t_1_1_fj_0011C_a1_fm1"/>
            <w:bookmarkStart w:id="8" w:name="t_1_1_fj_0011B_a1_fm1"/>
            <w:bookmarkEnd w:id="7"/>
            <w:bookmarkEnd w:id="8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银河鸿利混合C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9" w:name="t_1_1_fj_0012C_a1_fm1"/>
            <w:bookmarkStart w:id="10" w:name="t_1_1_fj_0012B_a1_fm1"/>
            <w:bookmarkEnd w:id="9"/>
            <w:bookmarkEnd w:id="10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519641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银河大国智造主题灵活配置混合型证券投资基金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银河智造混合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519642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银河智联主题灵活配置混合型证券投资基金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银河智联混合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519644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银河转型增长主题灵活配置混合型证券投资基金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银河转型混合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519651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银河鑫利灵活配置混合型证券投资基金A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银河鑫利混合A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lastRenderedPageBreak/>
              <w:t>银河鑫利灵活配置混合型证券投资基金C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银河鑫利混合C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银河丰利纯债债券型证券投资基金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银河丰利债券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银河现代服务主题灵活配置混合型证券投资基金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银河服务混合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银河灵活配置混合A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519656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银河灵活配置混合型证券投资基金C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bookmarkStart w:id="11" w:name="t_2_1_2645_a1_fm1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银河灵活配置混合</w:t>
            </w:r>
            <w:bookmarkEnd w:id="11"/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519657</w:t>
            </w:r>
          </w:p>
        </w:tc>
      </w:tr>
      <w:tr w:rsidR="003963C4" w:rsidTr="003963C4">
        <w:trPr>
          <w:trHeight w:val="619"/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银河增利债券型发起式证券投资基金A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银河增利债券A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519660</w:t>
            </w:r>
          </w:p>
        </w:tc>
      </w:tr>
      <w:tr w:rsidR="003963C4" w:rsidTr="003963C4">
        <w:trPr>
          <w:trHeight w:val="619"/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银河增利债券型发起式证券投资基金C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银河增利债券C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519661</w:t>
            </w:r>
          </w:p>
        </w:tc>
      </w:tr>
      <w:tr w:rsidR="003963C4" w:rsidTr="003963C4">
        <w:trPr>
          <w:trHeight w:val="619"/>
          <w:jc w:val="center"/>
        </w:trPr>
        <w:tc>
          <w:tcPr>
            <w:tcW w:w="4989" w:type="dxa"/>
          </w:tcPr>
          <w:p w:rsidR="003963C4" w:rsidRPr="001D0BB8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银河久益回报6个月定期开放债券型证券投资基金</w:t>
            </w:r>
          </w:p>
        </w:tc>
        <w:tc>
          <w:tcPr>
            <w:tcW w:w="2571" w:type="dxa"/>
          </w:tcPr>
          <w:p w:rsidR="003963C4" w:rsidRPr="001D0BB8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银河久益回报债券A</w:t>
            </w:r>
          </w:p>
        </w:tc>
        <w:tc>
          <w:tcPr>
            <w:tcW w:w="1526" w:type="dxa"/>
          </w:tcPr>
          <w:p w:rsidR="003963C4" w:rsidRPr="001D0BB8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1D0BB8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银河久益回报6个月定期开放债券型证券投资基金</w:t>
            </w:r>
          </w:p>
        </w:tc>
        <w:tc>
          <w:tcPr>
            <w:tcW w:w="2571" w:type="dxa"/>
          </w:tcPr>
          <w:p w:rsidR="003963C4" w:rsidRPr="001D0BB8" w:rsidRDefault="003963C4" w:rsidP="001D0BB8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银河久益回报债券</w:t>
            </w:r>
            <w:r w:rsidRPr="001D0BB8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C</w:t>
            </w:r>
          </w:p>
        </w:tc>
        <w:tc>
          <w:tcPr>
            <w:tcW w:w="1526" w:type="dxa"/>
          </w:tcPr>
          <w:p w:rsidR="003963C4" w:rsidRPr="001D0BB8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银河美丽优萃混合型证券投资基金A类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 xml:space="preserve">银河美丽混合A 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银河美丽优萃混合型证券投资基金C类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银河美丽混合C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银河银信添利债券型证券投资基金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银河银信添利债券A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519667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银河银信添利债券型证券投资基金</w:t>
            </w: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B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银河银信添利债券B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519666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银河竞争优势成长混合型证券投资基金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银河成长混合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519668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银河领先债券型证券投资基金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银河领先债券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519669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银河行业优选混合型证券投资基金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银河行业混合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银河沪深300价值指数证券投资基金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银河沪深300价值指数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银河蓝筹精选混合型证券投资基金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银河蓝筹混合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银河康乐股票型证券投资基金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银河康乐股票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银河创新成长混合型证券投资基金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银河创新混合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银河泰利纯债债券型证券投资基金A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银河泰利债券A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银河强化收益债券型证券投资基金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银河强化债券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银河定投宝中证腾讯济安价值100A股指数型发起式证券投资基金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银河定投宝腾讯济安指数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519677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银河消费驱动混合型证券投资基金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银河消费混合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519678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银河主题策略混合型证券投资基金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银河主题混合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519679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lastRenderedPageBreak/>
              <w:t>银河通利债券型证券投资基金A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银河通利债券A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161505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银河通利债券型证券投资基金C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银河通利债券C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FD4D5E">
              <w:rPr>
                <w:rFonts w:asciiTheme="minorEastAsia" w:eastAsiaTheme="minorEastAsia" w:hAnsiTheme="minorEastAsia" w:cstheme="minorBidi" w:hint="eastAsia"/>
                <w:color w:val="333333"/>
                <w:spacing w:val="0"/>
                <w:sz w:val="20"/>
                <w:shd w:val="clear" w:color="auto" w:fill="FFFFFF"/>
              </w:rPr>
              <w:t>161506</w:t>
            </w:r>
          </w:p>
        </w:tc>
      </w:tr>
    </w:tbl>
    <w:p w:rsidR="007741D7" w:rsidRDefault="007741D7" w:rsidP="007741D7"/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三、适用业务范围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基金申购、定期定额、基金赎回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四、基金申购和定投费率优惠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1、本次优惠活动自</w:t>
      </w:r>
      <w:r w:rsidR="003D1185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</w:t>
      </w:r>
      <w:r w:rsidR="003D1185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月</w:t>
      </w:r>
      <w:r w:rsidR="001D0BB8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21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日起，具体活动截止时间以最新公告信息为准。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2、适用本次优惠活动的基金包括以下基金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2571"/>
        <w:gridCol w:w="1526"/>
      </w:tblGrid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基金名称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基金简称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基金代码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银河稳健证券投资基金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银河稳健混合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151001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银河收益证券投资基金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银河收益债券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151002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银河旺利灵活配置混合型证券投资基金A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银河旺利混合A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519610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银河君尚灵活配置混合型</w:t>
            </w: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证券投资基金</w:t>
            </w: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银河君尚混合A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519613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银河君信灵活配置混合型证券投资基金A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银河君信混合A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519616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银河君荣灵活配置混合型证券投资基金A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银河君荣混合A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519619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银河鸿利灵活配置混合型证券投资基金A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银河鸿利混合A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519640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银河大国智造主题灵活配置混合型证券投资基金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银河智造混合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519642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银河智联主题灵活配置混合型证券投资基金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银河智联混合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519644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银河转型增长主题灵活配置混合型证券投资基金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银河转型混合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519651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银河鑫利灵活配置混合型证券投资基金A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银河鑫利混合A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5196</w:t>
            </w: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银河丰利纯债债券型证券投资基金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银河丰利债券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5196</w:t>
            </w: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银河现代服务主题灵活配置混合型证券投资基金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银河服务混合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5196</w:t>
            </w: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银河灵活配置混合型证券投资基金A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银河灵活配置混合A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519656</w:t>
            </w:r>
          </w:p>
        </w:tc>
      </w:tr>
      <w:tr w:rsidR="003963C4" w:rsidTr="003963C4">
        <w:trPr>
          <w:trHeight w:val="619"/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银河增利债券型发起式证券投资基金A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银河增利债券A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519660</w:t>
            </w:r>
          </w:p>
        </w:tc>
      </w:tr>
      <w:tr w:rsidR="003963C4" w:rsidTr="003963C4">
        <w:trPr>
          <w:trHeight w:val="619"/>
          <w:jc w:val="center"/>
        </w:trPr>
        <w:tc>
          <w:tcPr>
            <w:tcW w:w="4989" w:type="dxa"/>
          </w:tcPr>
          <w:p w:rsidR="003963C4" w:rsidRPr="001D0BB8" w:rsidRDefault="003963C4" w:rsidP="008D596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银河久益回报6个月定期开放债券型证券投资基金</w:t>
            </w:r>
          </w:p>
        </w:tc>
        <w:tc>
          <w:tcPr>
            <w:tcW w:w="2571" w:type="dxa"/>
          </w:tcPr>
          <w:p w:rsidR="003963C4" w:rsidRPr="001D0BB8" w:rsidRDefault="003963C4" w:rsidP="008D596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</w:pPr>
            <w:r w:rsidRPr="001D0BB8">
              <w:rPr>
                <w:rFonts w:asciiTheme="minorEastAsia" w:eastAsiaTheme="minorEastAsia" w:hAnsiTheme="minorEastAsia" w:cstheme="minorBidi"/>
                <w:color w:val="333333"/>
                <w:spacing w:val="0"/>
                <w:sz w:val="20"/>
                <w:shd w:val="clear" w:color="auto" w:fill="FFFFFF"/>
              </w:rPr>
              <w:t>银河久益回报债券A</w:t>
            </w:r>
          </w:p>
        </w:tc>
        <w:tc>
          <w:tcPr>
            <w:tcW w:w="1526" w:type="dxa"/>
          </w:tcPr>
          <w:p w:rsidR="003963C4" w:rsidRPr="004A237F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  <w:highlight w:val="yellow"/>
              </w:rPr>
            </w:pPr>
            <w:r w:rsidRPr="001D0BB8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银河美丽优萃混合型证券投资基金A类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 xml:space="preserve">银河美丽混合A 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  <w:t>银河银信添利债券型证券投资基金</w:t>
            </w: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银河银信添利债券A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519667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银河竞争优势成长混合型证券投资基金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银河成长混合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519668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银河领先债券型证券投资基金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银河领先债券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519669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银河行业优选混合型证券投资基金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银河行业混合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519670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银河沪深300价值指数证券投资基金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银河沪深300价值指数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519671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银河蓝筹精选混合型证券投资基金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银河蓝筹混合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519672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银河康乐股票型证券投资基金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银河康乐股票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519673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银河创新成长混合型证券投资基金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银河创新混合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519674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银河泰利纯债债券型证券投资基金A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银河泰利债券A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519675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银河强化收益债券型证券投资基金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银河强化债券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519676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银河消费驱动混合型证券投资基金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银河消费混合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519678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银河主题策略混合型证券投资基金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银河主题混合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519679</w:t>
            </w:r>
          </w:p>
        </w:tc>
      </w:tr>
      <w:tr w:rsidR="003963C4" w:rsidTr="003963C4">
        <w:trPr>
          <w:jc w:val="center"/>
        </w:trPr>
        <w:tc>
          <w:tcPr>
            <w:tcW w:w="4989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银河通利债券型证券投资基金A</w:t>
            </w:r>
          </w:p>
        </w:tc>
        <w:tc>
          <w:tcPr>
            <w:tcW w:w="2571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银河通利债券A</w:t>
            </w:r>
          </w:p>
        </w:tc>
        <w:tc>
          <w:tcPr>
            <w:tcW w:w="1526" w:type="dxa"/>
          </w:tcPr>
          <w:p w:rsidR="003963C4" w:rsidRPr="00FD4D5E" w:rsidRDefault="003963C4" w:rsidP="001C29FF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color w:val="333333"/>
                <w:spacing w:val="0"/>
                <w:kern w:val="0"/>
                <w:sz w:val="20"/>
              </w:rPr>
            </w:pPr>
            <w:r w:rsidRPr="00FD4D5E">
              <w:rPr>
                <w:rFonts w:ascii="宋体" w:hAnsi="宋体" w:cs="宋体" w:hint="eastAsia"/>
                <w:color w:val="333333"/>
                <w:spacing w:val="0"/>
                <w:kern w:val="0"/>
                <w:sz w:val="20"/>
              </w:rPr>
              <w:t>161505</w:t>
            </w:r>
          </w:p>
        </w:tc>
      </w:tr>
    </w:tbl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3、定期定额每期申购金额不低于人民币100元（含100元）。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4、投资者通过</w:t>
      </w:r>
      <w:r w:rsidR="003D1185" w:rsidRPr="00FD4D5E">
        <w:rPr>
          <w:rFonts w:ascii="宋体" w:eastAsia="宋体" w:hAnsi="宋体" w:cs="宋体"/>
          <w:color w:val="333333"/>
          <w:kern w:val="0"/>
          <w:sz w:val="20"/>
          <w:szCs w:val="20"/>
        </w:rPr>
        <w:t>新浪仓石基金</w:t>
      </w:r>
      <w:r w:rsidR="001D0BB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的基金销售系统申购或定投上述基金，可享前端申购费最低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1折优惠，具体折扣费率以</w:t>
      </w:r>
      <w:r w:rsidR="003D1185" w:rsidRPr="00FD4D5E">
        <w:rPr>
          <w:rFonts w:ascii="宋体" w:eastAsia="宋体" w:hAnsi="宋体" w:cs="宋体"/>
          <w:color w:val="333333"/>
          <w:kern w:val="0"/>
          <w:sz w:val="20"/>
          <w:szCs w:val="20"/>
        </w:rPr>
        <w:t>新浪仓石基金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公告为准，本公司不再另行公告。若申购费率是固定费用的，则按其规定固定费用执行，不再享有费率折扣。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五、投资者可通过以下途径了解或咨询相关情况</w:t>
      </w:r>
    </w:p>
    <w:p w:rsidR="003D1185" w:rsidRPr="003D1185" w:rsidRDefault="003D1185" w:rsidP="003D1185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D1185">
        <w:rPr>
          <w:rFonts w:ascii="宋体" w:eastAsia="宋体" w:hAnsi="宋体" w:cs="宋体"/>
          <w:color w:val="333333"/>
          <w:kern w:val="0"/>
          <w:sz w:val="20"/>
          <w:szCs w:val="20"/>
        </w:rPr>
        <w:t>1、北京新浪仓石基金销售有限公司</w:t>
      </w:r>
    </w:p>
    <w:p w:rsidR="003D1185" w:rsidRPr="003D1185" w:rsidRDefault="003D1185" w:rsidP="003D1185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D1185">
        <w:rPr>
          <w:rFonts w:ascii="宋体" w:eastAsia="宋体" w:hAnsi="宋体" w:cs="宋体"/>
          <w:color w:val="333333"/>
          <w:kern w:val="0"/>
          <w:sz w:val="20"/>
          <w:szCs w:val="20"/>
        </w:rPr>
        <w:t>客服电话：010-62675369</w:t>
      </w:r>
    </w:p>
    <w:p w:rsidR="003D1185" w:rsidRPr="003D1185" w:rsidRDefault="003D1185" w:rsidP="003D1185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D1185">
        <w:rPr>
          <w:rFonts w:ascii="宋体" w:eastAsia="宋体" w:hAnsi="宋体" w:cs="宋体"/>
          <w:color w:val="333333"/>
          <w:kern w:val="0"/>
          <w:sz w:val="20"/>
          <w:szCs w:val="20"/>
        </w:rPr>
        <w:t>网站：fund.sina.com.cn</w:t>
      </w:r>
    </w:p>
    <w:p w:rsidR="007741D7" w:rsidRDefault="003D1185" w:rsidP="00FD4D5E">
      <w:pPr>
        <w:spacing w:before="100" w:beforeAutospacing="1" w:after="100" w:afterAutospacing="1"/>
        <w:ind w:firstLineChars="150" w:firstLine="3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</w:t>
      </w:r>
      <w:r w:rsidR="007741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2、银河基金管理有限公司</w:t>
      </w:r>
    </w:p>
    <w:p w:rsidR="007741D7" w:rsidRDefault="007741D7" w:rsidP="00FD4D5E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全国统一客服电话：400-820-0860</w:t>
      </w:r>
    </w:p>
    <w:p w:rsidR="007741D7" w:rsidRDefault="007741D7" w:rsidP="007741D7">
      <w:pPr>
        <w:spacing w:before="100" w:beforeAutospacing="1" w:after="100" w:afterAutospacing="1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公司网站：www.galaxyasset.com</w:t>
      </w:r>
    </w:p>
    <w:p w:rsidR="007741D7" w:rsidRDefault="007741D7" w:rsidP="007741D7"/>
    <w:p w:rsidR="007741D7" w:rsidRDefault="007741D7" w:rsidP="007741D7">
      <w:pPr>
        <w:spacing w:before="100" w:beforeAutospacing="1" w:after="100" w:afterAutospacing="1"/>
        <w:ind w:firstLineChars="200" w:firstLine="420"/>
        <w:jc w:val="righ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t xml:space="preserve">                                                         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银河基金管理有公司</w:t>
      </w:r>
    </w:p>
    <w:p w:rsidR="007741D7" w:rsidRDefault="00FD4D5E" w:rsidP="007741D7">
      <w:pPr>
        <w:spacing w:before="100" w:beforeAutospacing="1" w:after="100" w:afterAutospacing="1"/>
        <w:ind w:firstLineChars="200" w:firstLine="400"/>
        <w:jc w:val="righ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2020</w:t>
      </w:r>
      <w:r w:rsidR="007741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</w:t>
      </w:r>
      <w:r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5</w:t>
      </w:r>
      <w:r w:rsidR="007741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月</w:t>
      </w:r>
      <w:r w:rsidR="001D0BB8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21</w:t>
      </w:r>
      <w:r w:rsidR="007741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</w:t>
      </w:r>
    </w:p>
    <w:p w:rsidR="0077796B" w:rsidRPr="007741D7" w:rsidRDefault="0077796B"/>
    <w:sectPr w:rsidR="0077796B" w:rsidRPr="007741D7" w:rsidSect="00777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A9" w:rsidRDefault="005503A9" w:rsidP="007741D7">
      <w:r>
        <w:separator/>
      </w:r>
    </w:p>
  </w:endnote>
  <w:endnote w:type="continuationSeparator" w:id="1">
    <w:p w:rsidR="005503A9" w:rsidRDefault="005503A9" w:rsidP="0077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A9" w:rsidRDefault="005503A9" w:rsidP="007741D7">
      <w:r>
        <w:separator/>
      </w:r>
    </w:p>
  </w:footnote>
  <w:footnote w:type="continuationSeparator" w:id="1">
    <w:p w:rsidR="005503A9" w:rsidRDefault="005503A9" w:rsidP="00774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1D7"/>
    <w:rsid w:val="000E4B66"/>
    <w:rsid w:val="001D0BB8"/>
    <w:rsid w:val="0034792E"/>
    <w:rsid w:val="003963C4"/>
    <w:rsid w:val="003D1185"/>
    <w:rsid w:val="003F1639"/>
    <w:rsid w:val="004A237F"/>
    <w:rsid w:val="005503A9"/>
    <w:rsid w:val="00566A99"/>
    <w:rsid w:val="0064515F"/>
    <w:rsid w:val="007741D7"/>
    <w:rsid w:val="0077796B"/>
    <w:rsid w:val="007A6DBA"/>
    <w:rsid w:val="007F7C7A"/>
    <w:rsid w:val="00CD6D61"/>
    <w:rsid w:val="00DA1E2A"/>
    <w:rsid w:val="00E801B9"/>
    <w:rsid w:val="00F33BDB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1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1D7"/>
    <w:rPr>
      <w:sz w:val="18"/>
      <w:szCs w:val="18"/>
    </w:rPr>
  </w:style>
  <w:style w:type="table" w:styleId="a5">
    <w:name w:val="Table Grid"/>
    <w:basedOn w:val="a1"/>
    <w:uiPriority w:val="59"/>
    <w:rsid w:val="007741D7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741D7"/>
    <w:rPr>
      <w:color w:val="0000FF"/>
      <w:u w:val="single"/>
    </w:rPr>
  </w:style>
  <w:style w:type="paragraph" w:styleId="2">
    <w:name w:val="Body Text Indent 2"/>
    <w:basedOn w:val="a"/>
    <w:link w:val="2Char"/>
    <w:rsid w:val="007741D7"/>
    <w:pPr>
      <w:spacing w:before="120" w:line="400" w:lineRule="exact"/>
      <w:ind w:leftChars="429" w:left="1618" w:hangingChars="280" w:hanging="717"/>
    </w:pPr>
    <w:rPr>
      <w:rFonts w:ascii="Times New Roman" w:eastAsia="宋体" w:hAnsi="Times New Roman" w:cs="Times New Roman"/>
      <w:spacing w:val="8"/>
      <w:sz w:val="24"/>
      <w:szCs w:val="20"/>
    </w:rPr>
  </w:style>
  <w:style w:type="character" w:customStyle="1" w:styleId="2Char">
    <w:name w:val="正文文本缩进 2 Char"/>
    <w:basedOn w:val="a0"/>
    <w:link w:val="2"/>
    <w:rsid w:val="007741D7"/>
    <w:rPr>
      <w:rFonts w:ascii="Times New Roman" w:eastAsia="宋体" w:hAnsi="Times New Roman" w:cs="Times New Roman"/>
      <w:spacing w:val="8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3D1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4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zhaoran</dc:creator>
  <cp:lastModifiedBy>JonMMx 2000</cp:lastModifiedBy>
  <cp:revision>2</cp:revision>
  <cp:lastPrinted>2020-05-19T08:41:00Z</cp:lastPrinted>
  <dcterms:created xsi:type="dcterms:W3CDTF">2020-05-20T16:01:00Z</dcterms:created>
  <dcterms:modified xsi:type="dcterms:W3CDTF">2020-05-20T16:01:00Z</dcterms:modified>
</cp:coreProperties>
</file>