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7D" w:rsidRPr="00DA36A6" w:rsidRDefault="00261839" w:rsidP="00A148B1">
      <w:pPr>
        <w:spacing w:line="360" w:lineRule="auto"/>
        <w:jc w:val="center"/>
        <w:rPr>
          <w:rFonts w:ascii="Arial" w:eastAsiaTheme="majorEastAsia" w:hAnsi="Arial" w:cs="Arial"/>
          <w:b/>
          <w:sz w:val="28"/>
          <w:szCs w:val="28"/>
        </w:rPr>
      </w:pPr>
      <w:r w:rsidRPr="00DA36A6">
        <w:rPr>
          <w:rFonts w:ascii="Arial" w:eastAsiaTheme="majorEastAsia" w:hAnsi="Arial" w:cs="Arial"/>
          <w:b/>
          <w:sz w:val="28"/>
          <w:szCs w:val="28"/>
        </w:rPr>
        <w:t>景顺长城</w:t>
      </w:r>
      <w:r w:rsidR="00CF70BC" w:rsidRPr="00DA36A6">
        <w:rPr>
          <w:rFonts w:ascii="Arial" w:eastAsiaTheme="majorEastAsia" w:hAnsi="Arial" w:cs="Arial"/>
          <w:b/>
          <w:sz w:val="28"/>
          <w:szCs w:val="28"/>
        </w:rPr>
        <w:t>基金管理有限公司关于调整旗下部分基金在招商银行股份有限公司</w:t>
      </w:r>
      <w:r w:rsidR="0007627D" w:rsidRPr="00DA36A6">
        <w:rPr>
          <w:rFonts w:ascii="Arial" w:eastAsiaTheme="majorEastAsia" w:hAnsi="Arial" w:cs="Arial"/>
          <w:b/>
          <w:sz w:val="28"/>
          <w:szCs w:val="28"/>
        </w:rPr>
        <w:t>定期定额投资</w:t>
      </w:r>
      <w:r w:rsidR="00CF70BC" w:rsidRPr="00DA36A6">
        <w:rPr>
          <w:rFonts w:ascii="Arial" w:eastAsiaTheme="majorEastAsia" w:hAnsi="Arial" w:cs="Arial"/>
          <w:b/>
          <w:sz w:val="28"/>
          <w:szCs w:val="28"/>
        </w:rPr>
        <w:t>最低金额限制的公告</w:t>
      </w:r>
    </w:p>
    <w:p w:rsidR="00CF70BC" w:rsidRPr="00DA36A6" w:rsidRDefault="00CF70BC" w:rsidP="00CF70BC">
      <w:pPr>
        <w:spacing w:line="360" w:lineRule="auto"/>
        <w:rPr>
          <w:rFonts w:ascii="Arial" w:eastAsiaTheme="majorEastAsia" w:hAnsi="Arial" w:cs="Arial"/>
          <w:szCs w:val="21"/>
        </w:rPr>
      </w:pPr>
    </w:p>
    <w:p w:rsidR="00CF70BC" w:rsidRPr="00DA36A6" w:rsidRDefault="00CF70BC" w:rsidP="00CF70BC">
      <w:pPr>
        <w:spacing w:line="360" w:lineRule="auto"/>
        <w:ind w:firstLine="420"/>
        <w:rPr>
          <w:rFonts w:ascii="Arial" w:eastAsiaTheme="majorEastAsia" w:hAnsi="Arial" w:cs="Arial"/>
          <w:color w:val="000000"/>
          <w:kern w:val="0"/>
          <w:szCs w:val="21"/>
        </w:rPr>
      </w:pPr>
      <w:r w:rsidRPr="00DA36A6">
        <w:rPr>
          <w:rFonts w:ascii="Arial" w:eastAsiaTheme="majorEastAsia" w:hAnsi="Arial" w:cs="Arial"/>
          <w:color w:val="000000"/>
          <w:kern w:val="0"/>
          <w:szCs w:val="21"/>
        </w:rPr>
        <w:t>为满足广大投资者的理财需求，经与招商银行股份有限公司（以下简称</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招商银行</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）协商一致，</w:t>
      </w:r>
      <w:r w:rsidR="00261839" w:rsidRPr="00DA36A6">
        <w:rPr>
          <w:rFonts w:ascii="Arial" w:eastAsiaTheme="majorEastAsia" w:hAnsi="Arial" w:cs="Arial"/>
          <w:color w:val="000000"/>
          <w:kern w:val="0"/>
          <w:szCs w:val="21"/>
        </w:rPr>
        <w:t>景顺长城</w:t>
      </w:r>
      <w:r w:rsidRPr="00DA36A6">
        <w:rPr>
          <w:rFonts w:ascii="Arial" w:eastAsiaTheme="majorEastAsia" w:hAnsi="Arial" w:cs="Arial"/>
          <w:color w:val="000000"/>
          <w:kern w:val="0"/>
          <w:szCs w:val="21"/>
        </w:rPr>
        <w:t>基金管理有限公司（以下简称</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本公司</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）决定自</w:t>
      </w:r>
      <w:r w:rsidRPr="00DA36A6">
        <w:rPr>
          <w:rFonts w:ascii="Arial" w:eastAsiaTheme="majorEastAsia" w:hAnsi="Arial" w:cs="Arial"/>
          <w:color w:val="000000"/>
          <w:kern w:val="0"/>
          <w:szCs w:val="21"/>
        </w:rPr>
        <w:t>20</w:t>
      </w:r>
      <w:r w:rsidR="00751F54" w:rsidRPr="00DA36A6">
        <w:rPr>
          <w:rFonts w:ascii="Arial" w:eastAsiaTheme="majorEastAsia" w:hAnsi="Arial" w:cs="Arial"/>
          <w:color w:val="000000"/>
          <w:kern w:val="0"/>
          <w:szCs w:val="21"/>
        </w:rPr>
        <w:t>20</w:t>
      </w:r>
      <w:r w:rsidRPr="00DA36A6">
        <w:rPr>
          <w:rFonts w:ascii="Arial" w:eastAsiaTheme="majorEastAsia" w:hAnsi="Arial" w:cs="Arial"/>
          <w:color w:val="000000"/>
          <w:kern w:val="0"/>
          <w:szCs w:val="21"/>
        </w:rPr>
        <w:t>年</w:t>
      </w:r>
      <w:r w:rsidR="00751F54" w:rsidRPr="00DA36A6">
        <w:rPr>
          <w:rFonts w:ascii="Arial" w:eastAsiaTheme="majorEastAsia" w:hAnsi="Arial" w:cs="Arial"/>
          <w:color w:val="000000"/>
          <w:kern w:val="0"/>
          <w:szCs w:val="21"/>
        </w:rPr>
        <w:t>5</w:t>
      </w:r>
      <w:r w:rsidRPr="00DA36A6">
        <w:rPr>
          <w:rFonts w:ascii="Arial" w:eastAsiaTheme="majorEastAsia" w:hAnsi="Arial" w:cs="Arial"/>
          <w:color w:val="000000"/>
          <w:kern w:val="0"/>
          <w:szCs w:val="21"/>
        </w:rPr>
        <w:t>月</w:t>
      </w:r>
      <w:r w:rsidR="00751F54" w:rsidRPr="00DA36A6">
        <w:rPr>
          <w:rFonts w:ascii="Arial" w:eastAsiaTheme="majorEastAsia" w:hAnsi="Arial" w:cs="Arial"/>
          <w:color w:val="000000"/>
          <w:kern w:val="0"/>
          <w:szCs w:val="21"/>
        </w:rPr>
        <w:t>20</w:t>
      </w:r>
      <w:r w:rsidRPr="00DA36A6">
        <w:rPr>
          <w:rFonts w:ascii="Arial" w:eastAsiaTheme="majorEastAsia" w:hAnsi="Arial" w:cs="Arial"/>
          <w:color w:val="000000"/>
          <w:kern w:val="0"/>
          <w:szCs w:val="21"/>
        </w:rPr>
        <w:t>日起，对旗下</w:t>
      </w:r>
      <w:r w:rsidR="00751F54" w:rsidRPr="00DA36A6">
        <w:rPr>
          <w:rFonts w:ascii="Arial" w:eastAsiaTheme="majorEastAsia" w:hAnsi="Arial" w:cs="Arial"/>
          <w:color w:val="000000"/>
          <w:kern w:val="0"/>
          <w:szCs w:val="21"/>
        </w:rPr>
        <w:t>部分基金</w:t>
      </w:r>
      <w:r w:rsidRPr="00DA36A6">
        <w:rPr>
          <w:rFonts w:ascii="Arial" w:eastAsiaTheme="majorEastAsia" w:hAnsi="Arial" w:cs="Arial"/>
          <w:color w:val="000000"/>
          <w:kern w:val="0"/>
          <w:szCs w:val="21"/>
        </w:rPr>
        <w:t>在招商银行的定期定额投资（以下简称</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定投</w:t>
      </w:r>
      <w:r w:rsidRPr="00DA36A6">
        <w:rPr>
          <w:rFonts w:ascii="Arial" w:eastAsiaTheme="majorEastAsia" w:hAnsi="Arial" w:cs="Arial"/>
          <w:color w:val="000000"/>
          <w:kern w:val="0"/>
          <w:szCs w:val="21"/>
        </w:rPr>
        <w:t>”</w:t>
      </w:r>
      <w:r w:rsidRPr="00DA36A6">
        <w:rPr>
          <w:rFonts w:ascii="Arial" w:eastAsiaTheme="majorEastAsia" w:hAnsi="Arial" w:cs="Arial"/>
          <w:color w:val="000000"/>
          <w:kern w:val="0"/>
          <w:szCs w:val="21"/>
        </w:rPr>
        <w:t>）金额限制做如下调整，现公告如下：</w:t>
      </w:r>
    </w:p>
    <w:p w:rsidR="00CF70BC" w:rsidRPr="00DA36A6" w:rsidRDefault="00CF70BC" w:rsidP="00CF70BC">
      <w:pPr>
        <w:spacing w:line="360" w:lineRule="auto"/>
        <w:rPr>
          <w:rFonts w:ascii="Arial" w:eastAsiaTheme="majorEastAsia" w:hAnsi="Arial" w:cs="Arial"/>
          <w:color w:val="000000"/>
          <w:kern w:val="0"/>
          <w:szCs w:val="21"/>
        </w:rPr>
      </w:pPr>
    </w:p>
    <w:p w:rsidR="00CF70BC" w:rsidRPr="00DA36A6" w:rsidRDefault="00CF70BC" w:rsidP="00CF70BC">
      <w:pPr>
        <w:spacing w:line="360" w:lineRule="auto"/>
        <w:rPr>
          <w:rFonts w:ascii="Arial" w:eastAsiaTheme="majorEastAsia" w:hAnsi="Arial" w:cs="Arial"/>
          <w:color w:val="000000"/>
          <w:kern w:val="0"/>
          <w:szCs w:val="21"/>
        </w:rPr>
      </w:pPr>
      <w:r w:rsidRPr="00DA36A6">
        <w:rPr>
          <w:rFonts w:ascii="Arial" w:eastAsiaTheme="majorEastAsia" w:hAnsi="Arial" w:cs="Arial"/>
          <w:color w:val="000000"/>
          <w:kern w:val="0"/>
          <w:szCs w:val="21"/>
        </w:rPr>
        <w:t xml:space="preserve">　　一、调整内容</w:t>
      </w:r>
    </w:p>
    <w:p w:rsidR="00CF70BC" w:rsidRPr="00DA36A6" w:rsidRDefault="00DA36A6" w:rsidP="00DA36A6">
      <w:pPr>
        <w:pStyle w:val="a9"/>
        <w:spacing w:line="360" w:lineRule="auto"/>
        <w:ind w:firstLineChars="300" w:firstLine="630"/>
        <w:rPr>
          <w:rFonts w:ascii="Arial" w:eastAsiaTheme="majorEastAsia" w:hAnsi="Arial" w:cs="Arial"/>
          <w:color w:val="000000"/>
          <w:sz w:val="21"/>
          <w:szCs w:val="21"/>
        </w:rPr>
      </w:pPr>
      <w:r w:rsidRPr="00DA36A6">
        <w:rPr>
          <w:rFonts w:ascii="Arial" w:eastAsiaTheme="majorEastAsia" w:hAnsi="Arial" w:cs="Arial"/>
          <w:color w:val="000000"/>
          <w:sz w:val="21"/>
          <w:szCs w:val="21"/>
        </w:rPr>
        <w:t>自</w:t>
      </w:r>
      <w:r w:rsidRPr="00DA36A6">
        <w:rPr>
          <w:rFonts w:ascii="Arial" w:eastAsiaTheme="majorEastAsia" w:hAnsi="Arial" w:cs="Arial"/>
          <w:color w:val="000000"/>
          <w:sz w:val="21"/>
          <w:szCs w:val="21"/>
        </w:rPr>
        <w:t>2020</w:t>
      </w:r>
      <w:r w:rsidRPr="00DA36A6">
        <w:rPr>
          <w:rFonts w:ascii="Arial" w:eastAsiaTheme="majorEastAsia" w:hAnsi="Arial" w:cs="Arial"/>
          <w:color w:val="000000"/>
          <w:sz w:val="21"/>
          <w:szCs w:val="21"/>
        </w:rPr>
        <w:t>年</w:t>
      </w:r>
      <w:r w:rsidRPr="00DA36A6">
        <w:rPr>
          <w:rFonts w:ascii="Arial" w:eastAsiaTheme="majorEastAsia" w:hAnsi="Arial" w:cs="Arial"/>
          <w:color w:val="000000"/>
          <w:sz w:val="21"/>
          <w:szCs w:val="21"/>
        </w:rPr>
        <w:t>5</w:t>
      </w:r>
      <w:r w:rsidRPr="00DA36A6">
        <w:rPr>
          <w:rFonts w:ascii="Arial" w:eastAsiaTheme="majorEastAsia" w:hAnsi="Arial" w:cs="Arial"/>
          <w:color w:val="000000"/>
          <w:sz w:val="21"/>
          <w:szCs w:val="21"/>
        </w:rPr>
        <w:t>月</w:t>
      </w:r>
      <w:r w:rsidRPr="00DA36A6">
        <w:rPr>
          <w:rFonts w:ascii="Arial" w:eastAsiaTheme="majorEastAsia" w:hAnsi="Arial" w:cs="Arial"/>
          <w:color w:val="000000"/>
          <w:sz w:val="21"/>
          <w:szCs w:val="21"/>
        </w:rPr>
        <w:t>20</w:t>
      </w:r>
      <w:r w:rsidRPr="00DA36A6">
        <w:rPr>
          <w:rFonts w:ascii="Arial" w:eastAsiaTheme="majorEastAsia" w:hAnsi="Arial" w:cs="Arial"/>
          <w:color w:val="000000"/>
          <w:sz w:val="21"/>
          <w:szCs w:val="21"/>
        </w:rPr>
        <w:t>日起，招商银行将</w:t>
      </w:r>
      <w:r w:rsidR="0016619B" w:rsidRPr="0016619B">
        <w:rPr>
          <w:rFonts w:ascii="Arial" w:eastAsiaTheme="majorEastAsia" w:hAnsi="Arial" w:cs="Arial" w:hint="eastAsia"/>
          <w:color w:val="000000"/>
          <w:sz w:val="21"/>
          <w:szCs w:val="21"/>
        </w:rPr>
        <w:t>本公司</w:t>
      </w:r>
      <w:r w:rsidRPr="00DA36A6">
        <w:rPr>
          <w:rFonts w:ascii="Arial" w:eastAsiaTheme="majorEastAsia" w:hAnsi="Arial" w:cs="Arial"/>
          <w:color w:val="000000"/>
          <w:sz w:val="21"/>
          <w:szCs w:val="21"/>
        </w:rPr>
        <w:t>旗下部分基金每笔最低定期定额投资金额调整为</w:t>
      </w:r>
      <w:r w:rsidRPr="00DA36A6">
        <w:rPr>
          <w:rFonts w:ascii="Arial" w:eastAsiaTheme="majorEastAsia" w:hAnsi="Arial" w:cs="Arial"/>
          <w:color w:val="000000"/>
          <w:sz w:val="21"/>
          <w:szCs w:val="21"/>
        </w:rPr>
        <w:t>10</w:t>
      </w:r>
      <w:r w:rsidRPr="00DA36A6">
        <w:rPr>
          <w:rFonts w:ascii="Arial" w:eastAsiaTheme="majorEastAsia" w:hAnsi="Arial" w:cs="Arial"/>
          <w:color w:val="000000"/>
          <w:sz w:val="21"/>
          <w:szCs w:val="21"/>
        </w:rPr>
        <w:t>元。</w:t>
      </w:r>
      <w:r w:rsidR="00CF70BC" w:rsidRPr="00DA36A6">
        <w:rPr>
          <w:rFonts w:ascii="Arial" w:eastAsiaTheme="majorEastAsia" w:hAnsi="Arial" w:cs="Arial"/>
          <w:color w:val="000000"/>
          <w:sz w:val="21"/>
          <w:szCs w:val="21"/>
        </w:rPr>
        <w:t>具体业务规则请参考招商银行的相关规定。</w:t>
      </w:r>
    </w:p>
    <w:p w:rsidR="00CF70BC" w:rsidRPr="00DA36A6" w:rsidRDefault="00CF70BC" w:rsidP="00CF70BC">
      <w:pPr>
        <w:spacing w:line="360" w:lineRule="auto"/>
        <w:rPr>
          <w:rFonts w:ascii="Arial" w:eastAsiaTheme="majorEastAsia" w:hAnsi="Arial" w:cs="Arial"/>
          <w:szCs w:val="21"/>
        </w:rPr>
      </w:pPr>
    </w:p>
    <w:p w:rsidR="00751F54" w:rsidRPr="00DA36A6" w:rsidRDefault="00751F54" w:rsidP="00DA36A6">
      <w:pPr>
        <w:spacing w:line="360" w:lineRule="auto"/>
        <w:ind w:firstLineChars="200" w:firstLine="420"/>
        <w:rPr>
          <w:rFonts w:ascii="Arial" w:eastAsiaTheme="majorEastAsia" w:hAnsi="Arial" w:cs="Arial"/>
          <w:szCs w:val="21"/>
        </w:rPr>
      </w:pPr>
      <w:r w:rsidRPr="00DA36A6">
        <w:rPr>
          <w:rFonts w:ascii="Arial" w:eastAsiaTheme="majorEastAsia" w:hAnsi="Arial" w:cs="Arial"/>
          <w:szCs w:val="21"/>
        </w:rPr>
        <w:t>二、适用基金</w:t>
      </w:r>
    </w:p>
    <w:tbl>
      <w:tblPr>
        <w:tblW w:w="9180" w:type="dxa"/>
        <w:tblLook w:val="04A0"/>
      </w:tblPr>
      <w:tblGrid>
        <w:gridCol w:w="598"/>
        <w:gridCol w:w="1471"/>
        <w:gridCol w:w="7111"/>
      </w:tblGrid>
      <w:tr w:rsidR="00751F54" w:rsidRPr="00DA36A6" w:rsidTr="00F17A98">
        <w:trPr>
          <w:trHeight w:val="285"/>
        </w:trPr>
        <w:tc>
          <w:tcPr>
            <w:tcW w:w="0" w:type="auto"/>
            <w:tcBorders>
              <w:top w:val="single" w:sz="8" w:space="0" w:color="auto"/>
              <w:left w:val="single" w:sz="8" w:space="0" w:color="auto"/>
              <w:bottom w:val="single" w:sz="8" w:space="0" w:color="auto"/>
              <w:right w:val="single" w:sz="8" w:space="0" w:color="auto"/>
            </w:tcBorders>
            <w:shd w:val="clear" w:color="000000" w:fill="D8D8D8"/>
            <w:vAlign w:val="center"/>
            <w:hideMark/>
          </w:tcPr>
          <w:p w:rsidR="00751F54" w:rsidRPr="00DA36A6" w:rsidRDefault="00751F54" w:rsidP="0007139D">
            <w:pPr>
              <w:widowControl/>
              <w:jc w:val="center"/>
              <w:rPr>
                <w:rFonts w:ascii="Arial" w:eastAsiaTheme="majorEastAsia" w:hAnsi="Arial" w:cs="Arial"/>
                <w:color w:val="000000"/>
                <w:kern w:val="0"/>
                <w:szCs w:val="21"/>
              </w:rPr>
            </w:pPr>
            <w:r w:rsidRPr="00DA36A6">
              <w:rPr>
                <w:rFonts w:ascii="Arial" w:eastAsiaTheme="majorEastAsia" w:hAnsi="Arial" w:cs="Arial"/>
                <w:color w:val="000000"/>
                <w:kern w:val="0"/>
                <w:szCs w:val="21"/>
              </w:rPr>
              <w:t>序号</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751F54" w:rsidRPr="00DA36A6" w:rsidRDefault="00751F54" w:rsidP="0007139D">
            <w:pPr>
              <w:widowControl/>
              <w:jc w:val="center"/>
              <w:rPr>
                <w:rFonts w:ascii="Arial" w:eastAsiaTheme="majorEastAsia" w:hAnsi="Arial" w:cs="Arial"/>
                <w:color w:val="000000"/>
                <w:kern w:val="0"/>
                <w:szCs w:val="21"/>
              </w:rPr>
            </w:pPr>
            <w:r w:rsidRPr="00DA36A6">
              <w:rPr>
                <w:rFonts w:ascii="Arial" w:eastAsiaTheme="majorEastAsia" w:hAnsi="Arial" w:cs="Arial"/>
                <w:color w:val="000000"/>
                <w:kern w:val="0"/>
                <w:szCs w:val="21"/>
              </w:rPr>
              <w:t>基金代码</w:t>
            </w:r>
          </w:p>
        </w:tc>
        <w:tc>
          <w:tcPr>
            <w:tcW w:w="7111" w:type="dxa"/>
            <w:tcBorders>
              <w:top w:val="single" w:sz="8" w:space="0" w:color="auto"/>
              <w:left w:val="nil"/>
              <w:bottom w:val="single" w:sz="8" w:space="0" w:color="auto"/>
              <w:right w:val="single" w:sz="8" w:space="0" w:color="auto"/>
            </w:tcBorders>
            <w:shd w:val="clear" w:color="000000" w:fill="D8D8D8"/>
            <w:vAlign w:val="center"/>
            <w:hideMark/>
          </w:tcPr>
          <w:p w:rsidR="00751F54" w:rsidRPr="00DA36A6" w:rsidRDefault="00751F54" w:rsidP="0007139D">
            <w:pPr>
              <w:widowControl/>
              <w:jc w:val="center"/>
              <w:rPr>
                <w:rFonts w:ascii="Arial" w:eastAsiaTheme="majorEastAsia" w:hAnsi="Arial" w:cs="Arial"/>
                <w:color w:val="000000"/>
                <w:kern w:val="0"/>
                <w:szCs w:val="21"/>
              </w:rPr>
            </w:pPr>
            <w:r w:rsidRPr="00DA36A6">
              <w:rPr>
                <w:rFonts w:ascii="Arial" w:eastAsiaTheme="majorEastAsia" w:hAnsi="Arial" w:cs="Arial"/>
                <w:color w:val="000000"/>
                <w:kern w:val="0"/>
                <w:szCs w:val="21"/>
              </w:rPr>
              <w:t>基金全称</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260101</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景顺长城优选混合型证券投资基金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260102(A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景顺长城货币市场证券投资基金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260103</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景顺长城动力平衡证券投资基金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4</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260104</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景顺长城内需增长混合型证券投资基金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5</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162605</w:t>
            </w:r>
          </w:p>
        </w:tc>
        <w:tc>
          <w:tcPr>
            <w:tcW w:w="7111" w:type="dxa"/>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景顺长城鼎益混合型证券投</w:t>
            </w:r>
            <w:bookmarkStart w:id="0" w:name="_GoBack"/>
            <w:bookmarkEnd w:id="0"/>
            <w:r w:rsidRPr="00DA36A6">
              <w:rPr>
                <w:rFonts w:ascii="Arial" w:eastAsiaTheme="majorEastAsia" w:hAnsi="Arial" w:cs="Arial"/>
                <w:color w:val="000000"/>
                <w:kern w:val="0"/>
                <w:szCs w:val="21"/>
              </w:rPr>
              <w:t>资基金（</w:t>
            </w:r>
            <w:r w:rsidRPr="00DA36A6">
              <w:rPr>
                <w:rFonts w:ascii="Arial" w:eastAsiaTheme="majorEastAsia" w:hAnsi="Arial" w:cs="Arial"/>
                <w:color w:val="000000"/>
                <w:kern w:val="0"/>
                <w:szCs w:val="21"/>
              </w:rPr>
              <w:t>LOF</w:t>
            </w:r>
            <w:r w:rsidRPr="00DA36A6">
              <w:rPr>
                <w:rFonts w:ascii="Arial" w:eastAsiaTheme="majorEastAsia" w:hAnsi="Arial" w:cs="Arial"/>
                <w:color w:val="000000"/>
                <w:kern w:val="0"/>
                <w:szCs w:val="21"/>
              </w:rPr>
              <w:t>）</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6</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162607</w:t>
            </w:r>
          </w:p>
        </w:tc>
        <w:tc>
          <w:tcPr>
            <w:tcW w:w="7111" w:type="dxa"/>
            <w:tcBorders>
              <w:top w:val="nil"/>
              <w:left w:val="nil"/>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景顺长城资源垄断混合型证券投资基金（</w:t>
            </w:r>
            <w:r w:rsidRPr="00DA36A6">
              <w:rPr>
                <w:rFonts w:ascii="Arial" w:eastAsiaTheme="majorEastAsia" w:hAnsi="Arial" w:cs="Arial"/>
                <w:color w:val="000000"/>
                <w:kern w:val="0"/>
                <w:szCs w:val="21"/>
              </w:rPr>
              <w:t>LOF</w:t>
            </w:r>
            <w:r w:rsidRPr="00DA36A6">
              <w:rPr>
                <w:rFonts w:ascii="Arial" w:eastAsiaTheme="majorEastAsia" w:hAnsi="Arial" w:cs="Arial"/>
                <w:color w:val="000000"/>
                <w:kern w:val="0"/>
                <w:szCs w:val="21"/>
              </w:rPr>
              <w:t>）</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7</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260108</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景顺长城新兴成长混合型证券投资基金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8</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260109</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景顺长城内需增长贰号混合型证券投资基金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9</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260110</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景顺长城精选蓝筹混合型证券投资基金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10</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260111</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景顺长城公司治理混合型证券投资基金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11</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260112</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景顺长城能源基建混合型证券投资基金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12</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260115</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景顺长城中小盘混合型证券投资基金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13</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262001</w:t>
            </w:r>
          </w:p>
        </w:tc>
        <w:tc>
          <w:tcPr>
            <w:tcW w:w="7111" w:type="dxa"/>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景顺长城大中华混合型证券投资基金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14</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260116(A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景顺长城核心竞争力混合型证券投资基金</w:t>
            </w:r>
          </w:p>
        </w:tc>
      </w:tr>
      <w:tr w:rsidR="00751F54" w:rsidRPr="00DA36A6" w:rsidTr="00F17A98">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15</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261002(A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景顺长城优信增利债券型证券投资基金</w:t>
            </w:r>
          </w:p>
        </w:tc>
      </w:tr>
      <w:tr w:rsidR="00751F54" w:rsidRPr="00DA36A6" w:rsidTr="00F17A98">
        <w:trPr>
          <w:trHeight w:val="285"/>
        </w:trPr>
        <w:tc>
          <w:tcPr>
            <w:tcW w:w="0" w:type="auto"/>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261102(C</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16</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260117</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景顺长城支柱产业混合型证券投资基金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17</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000020</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景顺长城品质投资混合型证券投资基金</w:t>
            </w:r>
          </w:p>
        </w:tc>
      </w:tr>
      <w:tr w:rsidR="00751F54" w:rsidRPr="00DA36A6" w:rsidTr="00F17A98">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18</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000181(A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景顺长城四季金利债券型证券投资基金</w:t>
            </w:r>
          </w:p>
        </w:tc>
      </w:tr>
      <w:tr w:rsidR="00751F54" w:rsidRPr="00DA36A6" w:rsidTr="00F17A98">
        <w:trPr>
          <w:trHeight w:val="285"/>
        </w:trPr>
        <w:tc>
          <w:tcPr>
            <w:tcW w:w="0" w:type="auto"/>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000182(C</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lastRenderedPageBreak/>
              <w:t>19</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000242</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景顺长城策略精选灵活配置混合型证券投资基金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20</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000311</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景顺长城沪深</w:t>
            </w:r>
            <w:r w:rsidRPr="00DA36A6">
              <w:rPr>
                <w:rFonts w:ascii="Arial" w:eastAsiaTheme="majorEastAsia" w:hAnsi="Arial" w:cs="Arial"/>
                <w:color w:val="000000"/>
                <w:kern w:val="0"/>
                <w:szCs w:val="21"/>
              </w:rPr>
              <w:t>300</w:t>
            </w:r>
            <w:r w:rsidRPr="00DA36A6">
              <w:rPr>
                <w:rFonts w:ascii="Arial" w:eastAsiaTheme="majorEastAsia" w:hAnsi="Arial" w:cs="Arial"/>
                <w:color w:val="000000"/>
                <w:kern w:val="0"/>
                <w:szCs w:val="21"/>
              </w:rPr>
              <w:t>指数增强型证券投资基金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21</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000380(A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景顺长城景益货币市场基金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22</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000418</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景顺长城成长之星股票型证券投资基金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23</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000411</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景顺长城优质成长股票型证券投资基金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24</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000532</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景顺长城优势企业混合型证券投资基金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25</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000586</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景顺长城中小板创业板精选股票型证券投资基金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26</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000688</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景顺长城研究精选股票型证券投资基金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27</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000772</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景顺长城中国回报灵活配置混合型证券投资基金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28</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000978</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景顺长城量化精选股票型证券投资基金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29</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000979</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景顺长城沪港深精选股票型证券投资基金</w:t>
            </w:r>
          </w:p>
        </w:tc>
      </w:tr>
      <w:tr w:rsidR="00751F54" w:rsidRPr="00DA36A6" w:rsidTr="00F17A98">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30</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001535(A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景顺长城改革机遇灵活配置混合型证券投资基金</w:t>
            </w:r>
          </w:p>
        </w:tc>
      </w:tr>
      <w:tr w:rsidR="00751F54" w:rsidRPr="00DA36A6" w:rsidTr="00F17A98">
        <w:trPr>
          <w:trHeight w:val="285"/>
        </w:trPr>
        <w:tc>
          <w:tcPr>
            <w:tcW w:w="0" w:type="auto"/>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007945(C</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31</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002244</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景顺长城低碳科技主题灵活配置混合型证券投资基金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32</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001975</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景顺长城环保优势股票型证券投资基金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33</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001974</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景顺长城量化新动力股票型证券投资基金</w:t>
            </w:r>
          </w:p>
        </w:tc>
      </w:tr>
      <w:tr w:rsidR="00751F54" w:rsidRPr="00DA36A6" w:rsidTr="00F17A98">
        <w:trPr>
          <w:trHeight w:val="285"/>
        </w:trPr>
        <w:tc>
          <w:tcPr>
            <w:tcW w:w="0" w:type="auto"/>
            <w:vMerge w:val="restart"/>
            <w:tcBorders>
              <w:top w:val="nil"/>
              <w:left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34</w:t>
            </w: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002792(A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val="restart"/>
            <w:tcBorders>
              <w:top w:val="nil"/>
              <w:left w:val="nil"/>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景顺长城顺益回报混合型证券投资基金</w:t>
            </w:r>
          </w:p>
        </w:tc>
      </w:tr>
      <w:tr w:rsidR="00751F54" w:rsidRPr="00DA36A6" w:rsidTr="00F17A98">
        <w:trPr>
          <w:trHeight w:val="285"/>
        </w:trPr>
        <w:tc>
          <w:tcPr>
            <w:tcW w:w="0" w:type="auto"/>
            <w:vMerge/>
            <w:tcBorders>
              <w:left w:val="single" w:sz="8" w:space="0" w:color="auto"/>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002793(C</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tcBorders>
              <w:left w:val="nil"/>
              <w:bottom w:val="single" w:sz="8" w:space="0" w:color="auto"/>
              <w:right w:val="single" w:sz="8" w:space="0" w:color="auto"/>
            </w:tcBorders>
            <w:shd w:val="clear" w:color="auto" w:fill="auto"/>
            <w:vAlign w:val="center"/>
          </w:tcPr>
          <w:p w:rsidR="00751F54" w:rsidRPr="00DA36A6" w:rsidRDefault="00751F54" w:rsidP="00F17A98">
            <w:pPr>
              <w:jc w:val="left"/>
              <w:rPr>
                <w:rFonts w:ascii="Arial" w:eastAsiaTheme="majorEastAsia" w:hAnsi="Arial" w:cs="Arial"/>
                <w:color w:val="000000"/>
                <w:szCs w:val="21"/>
              </w:rPr>
            </w:pP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35</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004476</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景顺长城沪港深领先科技股票型证券投资基金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36</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005258</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景顺长城量化平衡灵活配置混合型证券投资基金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37</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005457</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景顺长城量化小盘股票型证券投资基金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38</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005832</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w:t>
            </w:r>
            <w:r w:rsidRPr="00DA36A6">
              <w:rPr>
                <w:rFonts w:ascii="Arial" w:eastAsiaTheme="majorEastAsia" w:hAnsi="Arial" w:cs="Arial"/>
                <w:color w:val="000000"/>
                <w:kern w:val="0"/>
                <w:szCs w:val="21"/>
              </w:rPr>
              <w:t>MSCI</w:t>
            </w:r>
            <w:r w:rsidRPr="00DA36A6">
              <w:rPr>
                <w:rFonts w:ascii="Arial" w:eastAsiaTheme="majorEastAsia" w:hAnsi="Arial" w:cs="Arial"/>
                <w:color w:val="000000"/>
                <w:kern w:val="0"/>
                <w:szCs w:val="21"/>
              </w:rPr>
              <w:t>中国</w:t>
            </w:r>
            <w:r w:rsidRPr="00DA36A6">
              <w:rPr>
                <w:rFonts w:ascii="Arial" w:eastAsiaTheme="majorEastAsia" w:hAnsi="Arial" w:cs="Arial"/>
                <w:color w:val="000000"/>
                <w:kern w:val="0"/>
                <w:szCs w:val="21"/>
              </w:rPr>
              <w:t>A</w:t>
            </w:r>
            <w:r w:rsidRPr="00DA36A6">
              <w:rPr>
                <w:rFonts w:ascii="Arial" w:eastAsiaTheme="majorEastAsia" w:hAnsi="Arial" w:cs="Arial"/>
                <w:color w:val="000000"/>
                <w:kern w:val="0"/>
                <w:szCs w:val="21"/>
              </w:rPr>
              <w:t>股国际通交易型开放式指数证券投资基金联接基金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39</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006063</w:t>
            </w:r>
          </w:p>
        </w:tc>
        <w:tc>
          <w:tcPr>
            <w:tcW w:w="7111" w:type="dxa"/>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w:t>
            </w:r>
            <w:r w:rsidRPr="00DA36A6">
              <w:rPr>
                <w:rFonts w:ascii="Arial" w:eastAsiaTheme="majorEastAsia" w:hAnsi="Arial" w:cs="Arial"/>
                <w:color w:val="000000"/>
                <w:kern w:val="0"/>
                <w:szCs w:val="21"/>
              </w:rPr>
              <w:t>MSCI</w:t>
            </w:r>
            <w:r w:rsidRPr="00DA36A6">
              <w:rPr>
                <w:rFonts w:ascii="Arial" w:eastAsiaTheme="majorEastAsia" w:hAnsi="Arial" w:cs="Arial"/>
                <w:color w:val="000000"/>
                <w:kern w:val="0"/>
                <w:szCs w:val="21"/>
              </w:rPr>
              <w:t>中国</w:t>
            </w:r>
            <w:r w:rsidRPr="00DA36A6">
              <w:rPr>
                <w:rFonts w:ascii="Arial" w:eastAsiaTheme="majorEastAsia" w:hAnsi="Arial" w:cs="Arial"/>
                <w:color w:val="000000"/>
                <w:kern w:val="0"/>
                <w:szCs w:val="21"/>
              </w:rPr>
              <w:t>A</w:t>
            </w:r>
            <w:r w:rsidRPr="00DA36A6">
              <w:rPr>
                <w:rFonts w:ascii="Arial" w:eastAsiaTheme="majorEastAsia" w:hAnsi="Arial" w:cs="Arial"/>
                <w:color w:val="000000"/>
                <w:kern w:val="0"/>
                <w:szCs w:val="21"/>
              </w:rPr>
              <w:t>股国际通指数增强型证券投资基金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40</w:t>
            </w:r>
          </w:p>
        </w:tc>
        <w:tc>
          <w:tcPr>
            <w:tcW w:w="0" w:type="auto"/>
            <w:tcBorders>
              <w:top w:val="nil"/>
              <w:left w:val="nil"/>
              <w:bottom w:val="single" w:sz="8" w:space="0" w:color="auto"/>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006201</w:t>
            </w:r>
          </w:p>
        </w:tc>
        <w:tc>
          <w:tcPr>
            <w:tcW w:w="7111" w:type="dxa"/>
            <w:tcBorders>
              <w:top w:val="nil"/>
              <w:left w:val="nil"/>
              <w:bottom w:val="single" w:sz="8" w:space="0" w:color="auto"/>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景顺长城量化先锋混合型证券投资基金</w:t>
            </w:r>
          </w:p>
        </w:tc>
      </w:tr>
      <w:tr w:rsidR="00751F54" w:rsidRPr="00DA36A6" w:rsidTr="00F17A9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51F54" w:rsidRPr="00DA36A6" w:rsidRDefault="00751F54" w:rsidP="00F17A98">
            <w:pPr>
              <w:jc w:val="left"/>
              <w:rPr>
                <w:rFonts w:ascii="Arial" w:eastAsiaTheme="majorEastAsia" w:hAnsi="Arial" w:cs="Arial"/>
                <w:color w:val="000000"/>
                <w:szCs w:val="21"/>
              </w:rPr>
            </w:pPr>
            <w:r w:rsidRPr="00DA36A6">
              <w:rPr>
                <w:rFonts w:ascii="Arial" w:eastAsiaTheme="majorEastAsia" w:hAnsi="Arial" w:cs="Arial"/>
                <w:color w:val="000000"/>
                <w:szCs w:val="21"/>
              </w:rPr>
              <w:t>41</w:t>
            </w:r>
          </w:p>
        </w:tc>
        <w:tc>
          <w:tcPr>
            <w:tcW w:w="0" w:type="auto"/>
            <w:tcBorders>
              <w:top w:val="nil"/>
              <w:left w:val="nil"/>
              <w:bottom w:val="single" w:sz="8" w:space="0" w:color="auto"/>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006106</w:t>
            </w:r>
          </w:p>
        </w:tc>
        <w:tc>
          <w:tcPr>
            <w:tcW w:w="7111" w:type="dxa"/>
            <w:tcBorders>
              <w:top w:val="nil"/>
              <w:left w:val="nil"/>
              <w:bottom w:val="single" w:sz="8" w:space="0" w:color="auto"/>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景顺长城量化港股通股票型证券投资基金</w:t>
            </w:r>
          </w:p>
        </w:tc>
      </w:tr>
      <w:tr w:rsidR="00751F54" w:rsidRPr="00DA36A6" w:rsidTr="00F17A98">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42</w:t>
            </w:r>
          </w:p>
        </w:tc>
        <w:tc>
          <w:tcPr>
            <w:tcW w:w="0" w:type="auto"/>
            <w:tcBorders>
              <w:top w:val="nil"/>
              <w:left w:val="nil"/>
              <w:bottom w:val="single" w:sz="8" w:space="0" w:color="auto"/>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007603(A</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景顺长城中短债债券型证券投资基金</w:t>
            </w:r>
          </w:p>
        </w:tc>
      </w:tr>
      <w:tr w:rsidR="00751F54" w:rsidRPr="00DA36A6" w:rsidTr="00F17A98">
        <w:trPr>
          <w:trHeight w:val="285"/>
        </w:trPr>
        <w:tc>
          <w:tcPr>
            <w:tcW w:w="0" w:type="auto"/>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noWrap/>
            <w:vAlign w:val="center"/>
            <w:hideMark/>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007604(C</w:t>
            </w:r>
            <w:r w:rsidRPr="00DA36A6">
              <w:rPr>
                <w:rFonts w:ascii="Arial" w:eastAsiaTheme="majorEastAsia" w:hAnsi="Arial" w:cs="Arial"/>
                <w:color w:val="000000"/>
                <w:kern w:val="0"/>
                <w:szCs w:val="21"/>
              </w:rPr>
              <w:t>类</w:t>
            </w:r>
            <w:r w:rsidRPr="00DA36A6">
              <w:rPr>
                <w:rFonts w:ascii="Arial" w:eastAsiaTheme="majorEastAsia" w:hAnsi="Arial" w:cs="Arial"/>
                <w:color w:val="000000"/>
                <w:kern w:val="0"/>
                <w:szCs w:val="21"/>
              </w:rPr>
              <w:t>)</w:t>
            </w:r>
          </w:p>
        </w:tc>
        <w:tc>
          <w:tcPr>
            <w:tcW w:w="7111" w:type="dxa"/>
            <w:vMerge/>
            <w:tcBorders>
              <w:top w:val="nil"/>
              <w:left w:val="single" w:sz="8" w:space="0" w:color="auto"/>
              <w:bottom w:val="single" w:sz="8" w:space="0" w:color="000000"/>
              <w:right w:val="single" w:sz="8" w:space="0" w:color="auto"/>
            </w:tcBorders>
            <w:vAlign w:val="center"/>
            <w:hideMark/>
          </w:tcPr>
          <w:p w:rsidR="00751F54" w:rsidRPr="00DA36A6" w:rsidRDefault="00751F54" w:rsidP="00F17A98">
            <w:pPr>
              <w:widowControl/>
              <w:jc w:val="left"/>
              <w:rPr>
                <w:rFonts w:ascii="Arial" w:eastAsiaTheme="majorEastAsia" w:hAnsi="Arial" w:cs="Arial"/>
                <w:color w:val="000000"/>
                <w:kern w:val="0"/>
                <w:szCs w:val="21"/>
              </w:rPr>
            </w:pPr>
          </w:p>
        </w:tc>
      </w:tr>
      <w:tr w:rsidR="00751F54" w:rsidRPr="00DA36A6" w:rsidTr="00F17A98">
        <w:trPr>
          <w:trHeight w:val="285"/>
        </w:trPr>
        <w:tc>
          <w:tcPr>
            <w:tcW w:w="0" w:type="auto"/>
            <w:tcBorders>
              <w:top w:val="nil"/>
              <w:left w:val="single" w:sz="8" w:space="0" w:color="auto"/>
              <w:bottom w:val="single" w:sz="8" w:space="0" w:color="000000"/>
              <w:right w:val="single" w:sz="8" w:space="0" w:color="auto"/>
            </w:tcBorders>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43</w:t>
            </w:r>
          </w:p>
        </w:tc>
        <w:tc>
          <w:tcPr>
            <w:tcW w:w="0" w:type="auto"/>
            <w:tcBorders>
              <w:top w:val="nil"/>
              <w:left w:val="nil"/>
              <w:bottom w:val="single" w:sz="8" w:space="0" w:color="auto"/>
              <w:right w:val="single" w:sz="8" w:space="0" w:color="auto"/>
            </w:tcBorders>
            <w:shd w:val="clear" w:color="auto" w:fill="auto"/>
            <w:noWrap/>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006435</w:t>
            </w:r>
          </w:p>
        </w:tc>
        <w:tc>
          <w:tcPr>
            <w:tcW w:w="7111" w:type="dxa"/>
            <w:tcBorders>
              <w:top w:val="nil"/>
              <w:left w:val="single" w:sz="8" w:space="0" w:color="auto"/>
              <w:bottom w:val="single" w:sz="8" w:space="0" w:color="000000"/>
              <w:right w:val="single" w:sz="8" w:space="0" w:color="auto"/>
            </w:tcBorders>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景顺长城创新成长混合型证券投资基金</w:t>
            </w:r>
          </w:p>
        </w:tc>
      </w:tr>
      <w:tr w:rsidR="00751F54" w:rsidRPr="00DA36A6" w:rsidTr="00F17A98">
        <w:trPr>
          <w:trHeight w:val="285"/>
        </w:trPr>
        <w:tc>
          <w:tcPr>
            <w:tcW w:w="0" w:type="auto"/>
            <w:tcBorders>
              <w:top w:val="nil"/>
              <w:left w:val="single" w:sz="8" w:space="0" w:color="auto"/>
              <w:bottom w:val="single" w:sz="8" w:space="0" w:color="000000"/>
              <w:right w:val="single" w:sz="8" w:space="0" w:color="auto"/>
            </w:tcBorders>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44</w:t>
            </w:r>
          </w:p>
        </w:tc>
        <w:tc>
          <w:tcPr>
            <w:tcW w:w="0" w:type="auto"/>
            <w:tcBorders>
              <w:top w:val="nil"/>
              <w:left w:val="nil"/>
              <w:bottom w:val="single" w:sz="8" w:space="0" w:color="auto"/>
              <w:right w:val="single" w:sz="8" w:space="0" w:color="auto"/>
            </w:tcBorders>
            <w:shd w:val="clear" w:color="auto" w:fill="auto"/>
            <w:noWrap/>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007274</w:t>
            </w:r>
          </w:p>
        </w:tc>
        <w:tc>
          <w:tcPr>
            <w:tcW w:w="7111" w:type="dxa"/>
            <w:tcBorders>
              <w:top w:val="nil"/>
              <w:left w:val="single" w:sz="8" w:space="0" w:color="auto"/>
              <w:bottom w:val="single" w:sz="8" w:space="0" w:color="000000"/>
              <w:right w:val="single" w:sz="8" w:space="0" w:color="auto"/>
            </w:tcBorders>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景顺长城养老目标日期</w:t>
            </w:r>
            <w:r w:rsidRPr="00DA36A6">
              <w:rPr>
                <w:rFonts w:ascii="Arial" w:eastAsiaTheme="majorEastAsia" w:hAnsi="Arial" w:cs="Arial"/>
                <w:color w:val="000000"/>
                <w:kern w:val="0"/>
                <w:szCs w:val="21"/>
              </w:rPr>
              <w:t>2045</w:t>
            </w:r>
            <w:r w:rsidRPr="00DA36A6">
              <w:rPr>
                <w:rFonts w:ascii="Arial" w:eastAsiaTheme="majorEastAsia" w:hAnsi="Arial" w:cs="Arial"/>
                <w:color w:val="000000"/>
                <w:kern w:val="0"/>
                <w:szCs w:val="21"/>
              </w:rPr>
              <w:t>五年持有期混合型发起式基金中基金（</w:t>
            </w:r>
            <w:r w:rsidRPr="00DA36A6">
              <w:rPr>
                <w:rFonts w:ascii="Arial" w:eastAsiaTheme="majorEastAsia" w:hAnsi="Arial" w:cs="Arial"/>
                <w:color w:val="000000"/>
                <w:kern w:val="0"/>
                <w:szCs w:val="21"/>
              </w:rPr>
              <w:t>FOF</w:t>
            </w:r>
            <w:r w:rsidRPr="00DA36A6">
              <w:rPr>
                <w:rFonts w:ascii="Arial" w:eastAsiaTheme="majorEastAsia" w:hAnsi="Arial" w:cs="Arial"/>
                <w:color w:val="000000"/>
                <w:kern w:val="0"/>
                <w:szCs w:val="21"/>
              </w:rPr>
              <w:t>）</w:t>
            </w:r>
          </w:p>
        </w:tc>
      </w:tr>
      <w:tr w:rsidR="00751F54" w:rsidRPr="00DA36A6" w:rsidTr="00F17A98">
        <w:trPr>
          <w:trHeight w:val="285"/>
        </w:trPr>
        <w:tc>
          <w:tcPr>
            <w:tcW w:w="0" w:type="auto"/>
            <w:tcBorders>
              <w:top w:val="nil"/>
              <w:left w:val="single" w:sz="8" w:space="0" w:color="auto"/>
              <w:bottom w:val="single" w:sz="8" w:space="0" w:color="000000"/>
              <w:right w:val="single" w:sz="8" w:space="0" w:color="auto"/>
            </w:tcBorders>
            <w:vAlign w:val="center"/>
          </w:tcPr>
          <w:p w:rsidR="00751F54" w:rsidRPr="00DA36A6" w:rsidRDefault="00751F54" w:rsidP="00F17A98">
            <w:pPr>
              <w:widowControl/>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45</w:t>
            </w:r>
          </w:p>
        </w:tc>
        <w:tc>
          <w:tcPr>
            <w:tcW w:w="0" w:type="auto"/>
            <w:tcBorders>
              <w:top w:val="nil"/>
              <w:left w:val="nil"/>
              <w:bottom w:val="single" w:sz="8" w:space="0" w:color="auto"/>
              <w:right w:val="single" w:sz="8" w:space="0" w:color="auto"/>
            </w:tcBorders>
            <w:shd w:val="clear" w:color="auto" w:fill="auto"/>
            <w:noWrap/>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008712</w:t>
            </w:r>
          </w:p>
        </w:tc>
        <w:tc>
          <w:tcPr>
            <w:tcW w:w="7111" w:type="dxa"/>
            <w:tcBorders>
              <w:top w:val="nil"/>
              <w:left w:val="single" w:sz="8" w:space="0" w:color="auto"/>
              <w:bottom w:val="single" w:sz="8" w:space="0" w:color="000000"/>
              <w:right w:val="single" w:sz="8" w:space="0" w:color="auto"/>
            </w:tcBorders>
            <w:vAlign w:val="center"/>
          </w:tcPr>
          <w:p w:rsidR="00751F54" w:rsidRPr="00DA36A6" w:rsidRDefault="00751F54" w:rsidP="00F17A98">
            <w:pPr>
              <w:jc w:val="left"/>
              <w:rPr>
                <w:rFonts w:ascii="Arial" w:eastAsiaTheme="majorEastAsia" w:hAnsi="Arial" w:cs="Arial"/>
                <w:color w:val="000000"/>
                <w:kern w:val="0"/>
                <w:szCs w:val="21"/>
              </w:rPr>
            </w:pPr>
            <w:r w:rsidRPr="00DA36A6">
              <w:rPr>
                <w:rFonts w:ascii="Arial" w:eastAsiaTheme="majorEastAsia" w:hAnsi="Arial" w:cs="Arial"/>
                <w:color w:val="000000"/>
                <w:kern w:val="0"/>
                <w:szCs w:val="21"/>
              </w:rPr>
              <w:t>景顺长城品质成长混合型证券投资基金</w:t>
            </w:r>
          </w:p>
        </w:tc>
      </w:tr>
    </w:tbl>
    <w:p w:rsidR="00751F54" w:rsidRPr="00DA36A6" w:rsidRDefault="00751F54" w:rsidP="00CF70BC">
      <w:pPr>
        <w:spacing w:line="360" w:lineRule="auto"/>
        <w:rPr>
          <w:rFonts w:ascii="Arial" w:eastAsiaTheme="majorEastAsia" w:hAnsi="Arial" w:cs="Arial"/>
          <w:szCs w:val="21"/>
        </w:rPr>
      </w:pPr>
    </w:p>
    <w:p w:rsidR="00CF70BC" w:rsidRPr="00DA36A6" w:rsidRDefault="00CF70BC" w:rsidP="00CF70BC">
      <w:pPr>
        <w:spacing w:line="360" w:lineRule="auto"/>
        <w:rPr>
          <w:rFonts w:ascii="Arial" w:eastAsiaTheme="majorEastAsia" w:hAnsi="Arial" w:cs="Arial"/>
          <w:szCs w:val="21"/>
        </w:rPr>
      </w:pPr>
      <w:r w:rsidRPr="00DA36A6">
        <w:rPr>
          <w:rFonts w:ascii="Arial" w:eastAsiaTheme="majorEastAsia" w:hAnsi="Arial" w:cs="Arial"/>
          <w:szCs w:val="21"/>
        </w:rPr>
        <w:t xml:space="preserve">　　</w:t>
      </w:r>
      <w:r w:rsidR="00751F54" w:rsidRPr="00DA36A6">
        <w:rPr>
          <w:rFonts w:ascii="Arial" w:eastAsiaTheme="majorEastAsia" w:hAnsi="Arial" w:cs="Arial"/>
          <w:szCs w:val="21"/>
        </w:rPr>
        <w:t>三</w:t>
      </w:r>
      <w:r w:rsidRPr="00DA36A6">
        <w:rPr>
          <w:rFonts w:ascii="Arial" w:eastAsiaTheme="majorEastAsia" w:hAnsi="Arial" w:cs="Arial"/>
          <w:szCs w:val="21"/>
        </w:rPr>
        <w:t>、投资者可通过以下途径了解或咨询相关情况</w:t>
      </w:r>
    </w:p>
    <w:p w:rsidR="00261839" w:rsidRPr="00DA36A6" w:rsidRDefault="00CF70BC" w:rsidP="00DA36A6">
      <w:pPr>
        <w:snapToGrid w:val="0"/>
        <w:spacing w:line="400" w:lineRule="exact"/>
        <w:ind w:firstLineChars="200" w:firstLine="420"/>
        <w:rPr>
          <w:rFonts w:ascii="Arial" w:eastAsiaTheme="majorEastAsia" w:hAnsi="Arial" w:cs="Arial"/>
          <w:color w:val="000000"/>
          <w:szCs w:val="21"/>
        </w:rPr>
      </w:pPr>
      <w:r w:rsidRPr="00DA36A6">
        <w:rPr>
          <w:rFonts w:ascii="Arial" w:eastAsiaTheme="majorEastAsia" w:hAnsi="Arial" w:cs="Arial"/>
          <w:szCs w:val="21"/>
        </w:rPr>
        <w:t>1</w:t>
      </w:r>
      <w:r w:rsidR="00261839" w:rsidRPr="00DA36A6">
        <w:rPr>
          <w:rFonts w:ascii="Arial" w:eastAsiaTheme="majorEastAsia" w:hAnsi="Arial" w:cs="Arial"/>
          <w:szCs w:val="21"/>
        </w:rPr>
        <w:t>、</w:t>
      </w:r>
      <w:r w:rsidR="00261839" w:rsidRPr="00DA36A6">
        <w:rPr>
          <w:rFonts w:ascii="Arial" w:eastAsiaTheme="majorEastAsia" w:hAnsi="Arial" w:cs="Arial"/>
          <w:color w:val="000000"/>
          <w:szCs w:val="21"/>
        </w:rPr>
        <w:t>景顺长城基金管理有限公司</w:t>
      </w:r>
    </w:p>
    <w:p w:rsidR="00261839" w:rsidRPr="00DA36A6" w:rsidRDefault="00261839" w:rsidP="00DA36A6">
      <w:pPr>
        <w:spacing w:line="360" w:lineRule="auto"/>
        <w:ind w:firstLineChars="200" w:firstLine="420"/>
        <w:rPr>
          <w:rFonts w:ascii="Arial" w:eastAsiaTheme="majorEastAsia" w:hAnsi="Arial" w:cs="Arial"/>
          <w:color w:val="000000"/>
          <w:szCs w:val="21"/>
        </w:rPr>
      </w:pPr>
      <w:r w:rsidRPr="00DA36A6">
        <w:rPr>
          <w:rFonts w:ascii="Arial" w:eastAsiaTheme="majorEastAsia" w:hAnsi="Arial" w:cs="Arial"/>
          <w:color w:val="000000"/>
          <w:szCs w:val="21"/>
        </w:rPr>
        <w:t>客户服务电话：</w:t>
      </w:r>
      <w:r w:rsidRPr="00DA36A6">
        <w:rPr>
          <w:rFonts w:ascii="Arial" w:eastAsiaTheme="majorEastAsia" w:hAnsi="Arial" w:cs="Arial"/>
          <w:color w:val="000000"/>
          <w:szCs w:val="21"/>
        </w:rPr>
        <w:t>400 8888 606</w:t>
      </w:r>
    </w:p>
    <w:p w:rsidR="00261839" w:rsidRPr="00DA36A6" w:rsidRDefault="00261839" w:rsidP="00DA36A6">
      <w:pPr>
        <w:spacing w:line="360" w:lineRule="auto"/>
        <w:ind w:firstLineChars="200" w:firstLine="420"/>
        <w:rPr>
          <w:rFonts w:ascii="Arial" w:eastAsiaTheme="majorEastAsia" w:hAnsi="Arial" w:cs="Arial"/>
          <w:color w:val="000000"/>
          <w:szCs w:val="21"/>
        </w:rPr>
      </w:pPr>
      <w:r w:rsidRPr="00DA36A6">
        <w:rPr>
          <w:rFonts w:ascii="Arial" w:eastAsiaTheme="majorEastAsia" w:hAnsi="Arial" w:cs="Arial"/>
          <w:color w:val="000000"/>
          <w:szCs w:val="21"/>
        </w:rPr>
        <w:t>公司网址：</w:t>
      </w:r>
      <w:r w:rsidRPr="00DA36A6">
        <w:rPr>
          <w:rFonts w:ascii="Arial" w:eastAsiaTheme="majorEastAsia" w:hAnsi="Arial" w:cs="Arial"/>
          <w:color w:val="000000"/>
          <w:szCs w:val="21"/>
        </w:rPr>
        <w:t>www.igwfmc.com</w:t>
      </w:r>
    </w:p>
    <w:p w:rsidR="00CF70BC" w:rsidRPr="00DA36A6" w:rsidRDefault="00CF70BC" w:rsidP="00261839">
      <w:pPr>
        <w:spacing w:line="360" w:lineRule="auto"/>
        <w:rPr>
          <w:rFonts w:ascii="Arial" w:eastAsiaTheme="majorEastAsia" w:hAnsi="Arial" w:cs="Arial"/>
          <w:szCs w:val="21"/>
        </w:rPr>
      </w:pPr>
      <w:r w:rsidRPr="00DA36A6">
        <w:rPr>
          <w:rFonts w:ascii="Arial" w:eastAsiaTheme="majorEastAsia" w:hAnsi="Arial" w:cs="Arial"/>
          <w:szCs w:val="21"/>
        </w:rPr>
        <w:t xml:space="preserve">　　</w:t>
      </w:r>
      <w:r w:rsidRPr="00DA36A6">
        <w:rPr>
          <w:rFonts w:ascii="Arial" w:eastAsiaTheme="majorEastAsia" w:hAnsi="Arial" w:cs="Arial"/>
          <w:szCs w:val="21"/>
        </w:rPr>
        <w:t>2</w:t>
      </w:r>
      <w:r w:rsidR="00261839" w:rsidRPr="00DA36A6">
        <w:rPr>
          <w:rFonts w:ascii="Arial" w:eastAsiaTheme="majorEastAsia" w:hAnsi="Arial" w:cs="Arial"/>
          <w:szCs w:val="21"/>
        </w:rPr>
        <w:t>、</w:t>
      </w:r>
      <w:r w:rsidRPr="00DA36A6">
        <w:rPr>
          <w:rFonts w:ascii="Arial" w:eastAsiaTheme="majorEastAsia" w:hAnsi="Arial" w:cs="Arial"/>
          <w:szCs w:val="21"/>
        </w:rPr>
        <w:t>招商银行股份有限公司</w:t>
      </w:r>
    </w:p>
    <w:p w:rsidR="00CF70BC" w:rsidRPr="00DA36A6" w:rsidRDefault="00CF70BC" w:rsidP="00DA36A6">
      <w:pPr>
        <w:spacing w:line="360" w:lineRule="auto"/>
        <w:ind w:firstLineChars="100" w:firstLine="210"/>
        <w:rPr>
          <w:rFonts w:ascii="Arial" w:eastAsiaTheme="majorEastAsia" w:hAnsi="Arial" w:cs="Arial"/>
          <w:szCs w:val="21"/>
        </w:rPr>
      </w:pPr>
      <w:r w:rsidRPr="00DA36A6">
        <w:rPr>
          <w:rFonts w:ascii="Arial" w:eastAsiaTheme="majorEastAsia" w:hAnsi="Arial" w:cs="Arial"/>
          <w:szCs w:val="21"/>
        </w:rPr>
        <w:t xml:space="preserve">　</w:t>
      </w:r>
      <w:r w:rsidRPr="00DA36A6">
        <w:rPr>
          <w:rFonts w:ascii="Arial" w:eastAsiaTheme="majorEastAsia" w:hAnsi="Arial" w:cs="Arial"/>
          <w:color w:val="000000"/>
          <w:szCs w:val="21"/>
        </w:rPr>
        <w:t>客服电话</w:t>
      </w:r>
      <w:r w:rsidRPr="00DA36A6">
        <w:rPr>
          <w:rFonts w:ascii="Arial" w:eastAsiaTheme="majorEastAsia" w:hAnsi="Arial" w:cs="Arial"/>
          <w:szCs w:val="21"/>
        </w:rPr>
        <w:t>：</w:t>
      </w:r>
      <w:r w:rsidRPr="00DA36A6">
        <w:rPr>
          <w:rFonts w:ascii="Arial" w:eastAsiaTheme="majorEastAsia" w:hAnsi="Arial" w:cs="Arial"/>
          <w:szCs w:val="21"/>
        </w:rPr>
        <w:t>95555</w:t>
      </w:r>
    </w:p>
    <w:p w:rsidR="00CF70BC" w:rsidRPr="00DA36A6" w:rsidRDefault="00CF70BC" w:rsidP="00DA36A6">
      <w:pPr>
        <w:spacing w:line="360" w:lineRule="auto"/>
        <w:ind w:firstLineChars="200" w:firstLine="420"/>
        <w:rPr>
          <w:rFonts w:ascii="Arial" w:eastAsiaTheme="majorEastAsia" w:hAnsi="Arial" w:cs="Arial"/>
          <w:szCs w:val="21"/>
        </w:rPr>
      </w:pPr>
      <w:r w:rsidRPr="00DA36A6">
        <w:rPr>
          <w:rFonts w:ascii="Arial" w:eastAsiaTheme="majorEastAsia" w:hAnsi="Arial" w:cs="Arial"/>
          <w:color w:val="000000"/>
          <w:szCs w:val="21"/>
        </w:rPr>
        <w:t>公司网址</w:t>
      </w:r>
      <w:r w:rsidRPr="00DA36A6">
        <w:rPr>
          <w:rFonts w:ascii="Arial" w:eastAsiaTheme="majorEastAsia" w:hAnsi="Arial" w:cs="Arial"/>
          <w:szCs w:val="21"/>
        </w:rPr>
        <w:t>：</w:t>
      </w:r>
      <w:r w:rsidRPr="00DA36A6">
        <w:rPr>
          <w:rFonts w:ascii="Arial" w:eastAsiaTheme="majorEastAsia" w:hAnsi="Arial" w:cs="Arial"/>
          <w:szCs w:val="21"/>
        </w:rPr>
        <w:t>www.cmbchina.com</w:t>
      </w:r>
    </w:p>
    <w:p w:rsidR="00CF70BC" w:rsidRPr="00DA36A6" w:rsidRDefault="00CF70BC" w:rsidP="00CF70BC">
      <w:pPr>
        <w:spacing w:line="360" w:lineRule="auto"/>
        <w:rPr>
          <w:rFonts w:ascii="Arial" w:eastAsiaTheme="majorEastAsia" w:hAnsi="Arial" w:cs="Arial"/>
          <w:szCs w:val="21"/>
        </w:rPr>
      </w:pPr>
      <w:r w:rsidRPr="00DA36A6">
        <w:rPr>
          <w:rFonts w:ascii="Arial" w:eastAsiaTheme="majorEastAsia" w:hAnsi="Arial" w:cs="Arial"/>
          <w:szCs w:val="21"/>
        </w:rPr>
        <w:lastRenderedPageBreak/>
        <w:t xml:space="preserve">　　</w:t>
      </w:r>
    </w:p>
    <w:p w:rsidR="00261839" w:rsidRPr="00DA36A6" w:rsidRDefault="00261839" w:rsidP="00DA36A6">
      <w:pPr>
        <w:spacing w:line="360" w:lineRule="auto"/>
        <w:ind w:firstLineChars="200" w:firstLine="420"/>
        <w:rPr>
          <w:rFonts w:ascii="Arial" w:eastAsiaTheme="majorEastAsia" w:hAnsi="Arial" w:cs="Arial"/>
          <w:szCs w:val="21"/>
        </w:rPr>
      </w:pPr>
      <w:r w:rsidRPr="00DA36A6">
        <w:rPr>
          <w:rFonts w:ascii="Arial" w:eastAsiaTheme="majorEastAsia" w:hAnsi="Arial" w:cs="Arial"/>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F70BC" w:rsidRPr="00DA36A6" w:rsidRDefault="00CF70BC" w:rsidP="00CF70BC">
      <w:pPr>
        <w:spacing w:line="360" w:lineRule="auto"/>
        <w:rPr>
          <w:rFonts w:ascii="Arial" w:eastAsiaTheme="majorEastAsia" w:hAnsi="Arial" w:cs="Arial"/>
          <w:szCs w:val="21"/>
        </w:rPr>
      </w:pPr>
      <w:r w:rsidRPr="00DA36A6">
        <w:rPr>
          <w:rFonts w:ascii="Arial" w:eastAsiaTheme="majorEastAsia" w:hAnsi="Arial" w:cs="Arial"/>
          <w:szCs w:val="21"/>
        </w:rPr>
        <w:t xml:space="preserve">　　特此公告。</w:t>
      </w:r>
    </w:p>
    <w:p w:rsidR="00261839" w:rsidRPr="00DA36A6" w:rsidRDefault="00CF70BC" w:rsidP="00CF70BC">
      <w:pPr>
        <w:spacing w:line="360" w:lineRule="auto"/>
        <w:jc w:val="right"/>
        <w:rPr>
          <w:rFonts w:ascii="Arial" w:eastAsiaTheme="majorEastAsia" w:hAnsi="Arial" w:cs="Arial"/>
          <w:szCs w:val="21"/>
        </w:rPr>
      </w:pPr>
      <w:r w:rsidRPr="00DA36A6">
        <w:rPr>
          <w:rFonts w:ascii="Arial" w:eastAsiaTheme="majorEastAsia" w:hAnsi="Arial" w:cs="Arial"/>
          <w:szCs w:val="21"/>
        </w:rPr>
        <w:t xml:space="preserve">　　</w:t>
      </w:r>
    </w:p>
    <w:p w:rsidR="00261839" w:rsidRPr="00DA36A6" w:rsidRDefault="00A148B1" w:rsidP="00CF70BC">
      <w:pPr>
        <w:spacing w:line="360" w:lineRule="auto"/>
        <w:jc w:val="right"/>
        <w:rPr>
          <w:rFonts w:ascii="Arial" w:eastAsiaTheme="majorEastAsia" w:hAnsi="Arial" w:cs="Arial"/>
          <w:szCs w:val="21"/>
        </w:rPr>
      </w:pPr>
      <w:r w:rsidRPr="00DA36A6">
        <w:rPr>
          <w:rFonts w:ascii="Arial" w:eastAsiaTheme="majorEastAsia" w:hAnsi="Arial" w:cs="Arial"/>
          <w:szCs w:val="21"/>
        </w:rPr>
        <w:t>景顺长城基金管理有限公司</w:t>
      </w:r>
    </w:p>
    <w:p w:rsidR="00CF70BC" w:rsidRPr="00DA36A6" w:rsidRDefault="00CF70BC" w:rsidP="00CF70BC">
      <w:pPr>
        <w:spacing w:line="360" w:lineRule="auto"/>
        <w:jc w:val="right"/>
        <w:rPr>
          <w:rFonts w:ascii="Arial" w:eastAsiaTheme="majorEastAsia" w:hAnsi="Arial" w:cs="Arial"/>
          <w:szCs w:val="21"/>
        </w:rPr>
      </w:pPr>
      <w:r w:rsidRPr="00DA36A6">
        <w:rPr>
          <w:rFonts w:ascii="Arial" w:eastAsiaTheme="majorEastAsia" w:hAnsi="Arial" w:cs="Arial"/>
          <w:szCs w:val="21"/>
        </w:rPr>
        <w:t>20</w:t>
      </w:r>
      <w:r w:rsidR="00751F54" w:rsidRPr="00DA36A6">
        <w:rPr>
          <w:rFonts w:ascii="Arial" w:eastAsiaTheme="majorEastAsia" w:hAnsi="Arial" w:cs="Arial"/>
          <w:szCs w:val="21"/>
        </w:rPr>
        <w:t>20</w:t>
      </w:r>
      <w:r w:rsidRPr="00DA36A6">
        <w:rPr>
          <w:rFonts w:ascii="Arial" w:eastAsiaTheme="majorEastAsia" w:hAnsi="Arial" w:cs="Arial"/>
          <w:szCs w:val="21"/>
        </w:rPr>
        <w:t>年</w:t>
      </w:r>
      <w:r w:rsidR="00751F54" w:rsidRPr="00DA36A6">
        <w:rPr>
          <w:rFonts w:ascii="Arial" w:eastAsiaTheme="majorEastAsia" w:hAnsi="Arial" w:cs="Arial"/>
          <w:szCs w:val="21"/>
        </w:rPr>
        <w:t>5</w:t>
      </w:r>
      <w:r w:rsidRPr="00DA36A6">
        <w:rPr>
          <w:rFonts w:ascii="Arial" w:eastAsiaTheme="majorEastAsia" w:hAnsi="Arial" w:cs="Arial"/>
          <w:szCs w:val="21"/>
        </w:rPr>
        <w:t>月</w:t>
      </w:r>
      <w:r w:rsidR="00751F54" w:rsidRPr="00DA36A6">
        <w:rPr>
          <w:rFonts w:ascii="Arial" w:eastAsiaTheme="majorEastAsia" w:hAnsi="Arial" w:cs="Arial"/>
          <w:szCs w:val="21"/>
        </w:rPr>
        <w:t>20</w:t>
      </w:r>
      <w:r w:rsidRPr="00DA36A6">
        <w:rPr>
          <w:rFonts w:ascii="Arial" w:eastAsiaTheme="majorEastAsia" w:hAnsi="Arial" w:cs="Arial"/>
          <w:szCs w:val="21"/>
        </w:rPr>
        <w:t>日</w:t>
      </w:r>
    </w:p>
    <w:sectPr w:rsidR="00CF70BC" w:rsidRPr="00DA36A6" w:rsidSect="003B6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76" w:rsidRDefault="00446A76" w:rsidP="00D10B33">
      <w:r>
        <w:separator/>
      </w:r>
    </w:p>
  </w:endnote>
  <w:endnote w:type="continuationSeparator" w:id="1">
    <w:p w:rsidR="00446A76" w:rsidRDefault="00446A76" w:rsidP="00D10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76" w:rsidRDefault="00446A76" w:rsidP="00D10B33">
      <w:r>
        <w:separator/>
      </w:r>
    </w:p>
  </w:footnote>
  <w:footnote w:type="continuationSeparator" w:id="1">
    <w:p w:rsidR="00446A76" w:rsidRDefault="00446A76" w:rsidP="00D10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0BC"/>
    <w:rsid w:val="0007627D"/>
    <w:rsid w:val="0016619B"/>
    <w:rsid w:val="00261839"/>
    <w:rsid w:val="002A6D5F"/>
    <w:rsid w:val="003B6892"/>
    <w:rsid w:val="00446A76"/>
    <w:rsid w:val="004B60E2"/>
    <w:rsid w:val="00751F54"/>
    <w:rsid w:val="00A148B1"/>
    <w:rsid w:val="00B537EA"/>
    <w:rsid w:val="00C1282B"/>
    <w:rsid w:val="00CF70BC"/>
    <w:rsid w:val="00D10B33"/>
    <w:rsid w:val="00D37A7D"/>
    <w:rsid w:val="00DA36A6"/>
    <w:rsid w:val="00F17A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48B1"/>
    <w:rPr>
      <w:sz w:val="18"/>
      <w:szCs w:val="18"/>
    </w:rPr>
  </w:style>
  <w:style w:type="character" w:customStyle="1" w:styleId="Char">
    <w:name w:val="批注框文本 Char"/>
    <w:basedOn w:val="a0"/>
    <w:link w:val="a3"/>
    <w:uiPriority w:val="99"/>
    <w:semiHidden/>
    <w:rsid w:val="00A148B1"/>
    <w:rPr>
      <w:sz w:val="18"/>
      <w:szCs w:val="18"/>
    </w:rPr>
  </w:style>
  <w:style w:type="paragraph" w:styleId="a4">
    <w:name w:val="header"/>
    <w:basedOn w:val="a"/>
    <w:link w:val="Char0"/>
    <w:uiPriority w:val="99"/>
    <w:unhideWhenUsed/>
    <w:rsid w:val="00D10B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0B33"/>
    <w:rPr>
      <w:sz w:val="18"/>
      <w:szCs w:val="18"/>
    </w:rPr>
  </w:style>
  <w:style w:type="paragraph" w:styleId="a5">
    <w:name w:val="footer"/>
    <w:basedOn w:val="a"/>
    <w:link w:val="Char1"/>
    <w:uiPriority w:val="99"/>
    <w:unhideWhenUsed/>
    <w:rsid w:val="00D10B33"/>
    <w:pPr>
      <w:tabs>
        <w:tab w:val="center" w:pos="4153"/>
        <w:tab w:val="right" w:pos="8306"/>
      </w:tabs>
      <w:snapToGrid w:val="0"/>
      <w:jc w:val="left"/>
    </w:pPr>
    <w:rPr>
      <w:sz w:val="18"/>
      <w:szCs w:val="18"/>
    </w:rPr>
  </w:style>
  <w:style w:type="character" w:customStyle="1" w:styleId="Char1">
    <w:name w:val="页脚 Char"/>
    <w:basedOn w:val="a0"/>
    <w:link w:val="a5"/>
    <w:uiPriority w:val="99"/>
    <w:rsid w:val="00D10B33"/>
    <w:rPr>
      <w:sz w:val="18"/>
      <w:szCs w:val="18"/>
    </w:rPr>
  </w:style>
  <w:style w:type="character" w:styleId="a6">
    <w:name w:val="annotation reference"/>
    <w:basedOn w:val="a0"/>
    <w:uiPriority w:val="99"/>
    <w:semiHidden/>
    <w:unhideWhenUsed/>
    <w:rsid w:val="00751F54"/>
    <w:rPr>
      <w:sz w:val="21"/>
      <w:szCs w:val="21"/>
    </w:rPr>
  </w:style>
  <w:style w:type="paragraph" w:styleId="a7">
    <w:name w:val="annotation text"/>
    <w:basedOn w:val="a"/>
    <w:link w:val="Char2"/>
    <w:uiPriority w:val="99"/>
    <w:semiHidden/>
    <w:unhideWhenUsed/>
    <w:rsid w:val="00751F54"/>
    <w:pPr>
      <w:jc w:val="left"/>
    </w:pPr>
  </w:style>
  <w:style w:type="character" w:customStyle="1" w:styleId="Char2">
    <w:name w:val="批注文字 Char"/>
    <w:basedOn w:val="a0"/>
    <w:link w:val="a7"/>
    <w:uiPriority w:val="99"/>
    <w:semiHidden/>
    <w:rsid w:val="00751F54"/>
  </w:style>
  <w:style w:type="paragraph" w:styleId="a8">
    <w:name w:val="annotation subject"/>
    <w:basedOn w:val="a7"/>
    <w:next w:val="a7"/>
    <w:link w:val="Char3"/>
    <w:uiPriority w:val="99"/>
    <w:semiHidden/>
    <w:unhideWhenUsed/>
    <w:rsid w:val="00751F54"/>
    <w:rPr>
      <w:b/>
      <w:bCs/>
    </w:rPr>
  </w:style>
  <w:style w:type="character" w:customStyle="1" w:styleId="Char3">
    <w:name w:val="批注主题 Char"/>
    <w:basedOn w:val="Char2"/>
    <w:link w:val="a8"/>
    <w:uiPriority w:val="99"/>
    <w:semiHidden/>
    <w:rsid w:val="00751F54"/>
    <w:rPr>
      <w:b/>
      <w:bCs/>
    </w:rPr>
  </w:style>
  <w:style w:type="paragraph" w:styleId="a9">
    <w:name w:val="Normal (Web)"/>
    <w:basedOn w:val="a"/>
    <w:uiPriority w:val="99"/>
    <w:unhideWhenUsed/>
    <w:rsid w:val="00DA36A6"/>
    <w:pPr>
      <w:widowControl/>
      <w:spacing w:before="75" w:after="7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9001277">
      <w:bodyDiv w:val="1"/>
      <w:marLeft w:val="0"/>
      <w:marRight w:val="0"/>
      <w:marTop w:val="0"/>
      <w:marBottom w:val="0"/>
      <w:divBdr>
        <w:top w:val="none" w:sz="0" w:space="0" w:color="auto"/>
        <w:left w:val="none" w:sz="0" w:space="0" w:color="auto"/>
        <w:bottom w:val="none" w:sz="0" w:space="0" w:color="auto"/>
        <w:right w:val="none" w:sz="0" w:space="0" w:color="auto"/>
      </w:divBdr>
    </w:div>
    <w:div w:id="10153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4</DocSecurity>
  <Lines>15</Lines>
  <Paragraphs>4</Paragraphs>
  <ScaleCrop>false</ScaleCrop>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JonMMx 2000</cp:lastModifiedBy>
  <cp:revision>2</cp:revision>
  <dcterms:created xsi:type="dcterms:W3CDTF">2020-05-19T16:00:00Z</dcterms:created>
  <dcterms:modified xsi:type="dcterms:W3CDTF">2020-05-19T16:00:00Z</dcterms:modified>
</cp:coreProperties>
</file>