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28" w:rsidRDefault="006362E7">
      <w:pPr>
        <w:pStyle w:val="Default"/>
        <w:spacing w:line="360" w:lineRule="auto"/>
        <w:jc w:val="center"/>
        <w:rPr>
          <w:rFonts w:asciiTheme="minorEastAsia" w:eastAsiaTheme="minorEastAsia" w:hAnsiTheme="minorEastAsia"/>
          <w:b/>
          <w:color w:val="auto"/>
        </w:rPr>
      </w:pPr>
      <w:r w:rsidRPr="00B402C0">
        <w:rPr>
          <w:rFonts w:asciiTheme="minorEastAsia" w:eastAsiaTheme="minorEastAsia" w:hAnsiTheme="minorEastAsia" w:hint="eastAsia"/>
          <w:b/>
          <w:color w:val="auto"/>
        </w:rPr>
        <w:t>中银基金管理有限公司关于新增</w:t>
      </w:r>
      <w:r w:rsidR="001649DB">
        <w:rPr>
          <w:rFonts w:asciiTheme="minorEastAsia" w:eastAsiaTheme="minorEastAsia" w:hAnsiTheme="minorEastAsia" w:hint="eastAsia"/>
          <w:b/>
          <w:color w:val="auto"/>
        </w:rPr>
        <w:t>中信证券华南股份有限公司</w:t>
      </w:r>
    </w:p>
    <w:p w:rsidR="000E6B0A" w:rsidRPr="00B402C0" w:rsidRDefault="006362E7">
      <w:pPr>
        <w:pStyle w:val="Default"/>
        <w:spacing w:line="360" w:lineRule="auto"/>
        <w:jc w:val="center"/>
        <w:rPr>
          <w:rFonts w:asciiTheme="minorEastAsia" w:eastAsiaTheme="minorEastAsia" w:hAnsiTheme="minorEastAsia"/>
          <w:b/>
          <w:color w:val="auto"/>
        </w:rPr>
      </w:pPr>
      <w:r w:rsidRPr="00B402C0">
        <w:rPr>
          <w:rFonts w:asciiTheme="minorEastAsia" w:eastAsiaTheme="minorEastAsia" w:hAnsiTheme="minorEastAsia" w:hint="eastAsia"/>
          <w:b/>
          <w:color w:val="auto"/>
        </w:rPr>
        <w:t>为旗下部分基金销售机构及参与其费率优惠活动的公告</w:t>
      </w:r>
    </w:p>
    <w:p w:rsidR="000E6B0A" w:rsidRPr="00B402C0" w:rsidRDefault="000E6B0A">
      <w:pPr>
        <w:pStyle w:val="Default"/>
        <w:rPr>
          <w:color w:val="auto"/>
          <w:sz w:val="21"/>
          <w:szCs w:val="21"/>
        </w:rPr>
      </w:pPr>
    </w:p>
    <w:p w:rsidR="00212A96" w:rsidRPr="00514B3F" w:rsidRDefault="006362E7" w:rsidP="00514B3F">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根据中银基金管理有限公司（以下简称</w:t>
      </w:r>
      <w:r w:rsidRPr="00514B3F">
        <w:rPr>
          <w:rFonts w:asciiTheme="minorEastAsia" w:hAnsiTheme="minorEastAsia"/>
          <w:szCs w:val="21"/>
        </w:rPr>
        <w:t>“</w:t>
      </w:r>
      <w:r w:rsidRPr="00514B3F">
        <w:rPr>
          <w:rFonts w:asciiTheme="minorEastAsia" w:hAnsiTheme="minorEastAsia" w:hint="eastAsia"/>
          <w:szCs w:val="21"/>
        </w:rPr>
        <w:t>本公司</w:t>
      </w:r>
      <w:r w:rsidRPr="00514B3F">
        <w:rPr>
          <w:rFonts w:asciiTheme="minorEastAsia" w:hAnsiTheme="minorEastAsia"/>
          <w:szCs w:val="21"/>
        </w:rPr>
        <w:t>”</w:t>
      </w:r>
      <w:r w:rsidRPr="00514B3F">
        <w:rPr>
          <w:rFonts w:asciiTheme="minorEastAsia" w:hAnsiTheme="minorEastAsia" w:hint="eastAsia"/>
          <w:szCs w:val="21"/>
        </w:rPr>
        <w:t>）与</w:t>
      </w:r>
      <w:r w:rsidR="001649DB">
        <w:rPr>
          <w:rFonts w:asciiTheme="minorEastAsia" w:hAnsiTheme="minorEastAsia" w:hint="eastAsia"/>
          <w:szCs w:val="21"/>
        </w:rPr>
        <w:t>中信证券华南股份有限公司</w:t>
      </w:r>
      <w:r w:rsidRPr="00514B3F">
        <w:rPr>
          <w:rFonts w:asciiTheme="minorEastAsia" w:hAnsiTheme="minorEastAsia"/>
          <w:szCs w:val="21"/>
        </w:rPr>
        <w:t>(</w:t>
      </w:r>
      <w:r w:rsidRPr="00514B3F">
        <w:rPr>
          <w:rFonts w:asciiTheme="minorEastAsia" w:hAnsiTheme="minorEastAsia" w:hint="eastAsia"/>
          <w:szCs w:val="21"/>
        </w:rPr>
        <w:t>以下简称</w:t>
      </w:r>
      <w:r w:rsidRPr="00514B3F">
        <w:rPr>
          <w:rFonts w:asciiTheme="minorEastAsia" w:hAnsiTheme="minorEastAsia"/>
          <w:szCs w:val="21"/>
        </w:rPr>
        <w:t>“</w:t>
      </w:r>
      <w:r w:rsidR="001649DB">
        <w:rPr>
          <w:rFonts w:asciiTheme="minorEastAsia" w:hAnsiTheme="minorEastAsia" w:hint="eastAsia"/>
          <w:szCs w:val="21"/>
        </w:rPr>
        <w:t>中信证券华南</w:t>
      </w:r>
      <w:r w:rsidRPr="00514B3F">
        <w:rPr>
          <w:rFonts w:asciiTheme="minorEastAsia" w:hAnsiTheme="minorEastAsia"/>
          <w:szCs w:val="21"/>
        </w:rPr>
        <w:t>”)</w:t>
      </w:r>
      <w:r w:rsidRPr="00514B3F">
        <w:rPr>
          <w:rFonts w:asciiTheme="minorEastAsia" w:hAnsiTheme="minorEastAsia" w:hint="eastAsia"/>
          <w:szCs w:val="21"/>
        </w:rPr>
        <w:t>签署的基金销售协议及相关补充协议，</w:t>
      </w:r>
      <w:r w:rsidR="001649DB">
        <w:rPr>
          <w:rFonts w:asciiTheme="minorEastAsia" w:hAnsiTheme="minorEastAsia" w:hint="eastAsia"/>
          <w:szCs w:val="21"/>
        </w:rPr>
        <w:t>中信证券华南</w:t>
      </w:r>
      <w:r w:rsidRPr="00514B3F">
        <w:rPr>
          <w:rFonts w:asciiTheme="minorEastAsia" w:hAnsiTheme="minorEastAsia" w:hint="eastAsia"/>
          <w:szCs w:val="21"/>
        </w:rPr>
        <w:t>自</w:t>
      </w:r>
      <w:r w:rsidR="007A161D" w:rsidRPr="00514B3F">
        <w:rPr>
          <w:rFonts w:asciiTheme="minorEastAsia" w:hAnsiTheme="minorEastAsia"/>
          <w:szCs w:val="21"/>
        </w:rPr>
        <w:t>20</w:t>
      </w:r>
      <w:r w:rsidR="001649DB">
        <w:rPr>
          <w:rFonts w:asciiTheme="minorEastAsia" w:hAnsiTheme="minorEastAsia" w:hint="eastAsia"/>
          <w:szCs w:val="21"/>
        </w:rPr>
        <w:t>20</w:t>
      </w:r>
      <w:r w:rsidR="007A161D" w:rsidRPr="00514B3F">
        <w:rPr>
          <w:rFonts w:asciiTheme="minorEastAsia" w:hAnsiTheme="minorEastAsia" w:hint="eastAsia"/>
          <w:szCs w:val="21"/>
        </w:rPr>
        <w:t>年</w:t>
      </w:r>
      <w:r w:rsidR="001649DB">
        <w:rPr>
          <w:rFonts w:asciiTheme="minorEastAsia" w:hAnsiTheme="minorEastAsia" w:hint="eastAsia"/>
          <w:szCs w:val="21"/>
        </w:rPr>
        <w:t>5</w:t>
      </w:r>
      <w:r w:rsidRPr="00514B3F">
        <w:rPr>
          <w:rFonts w:asciiTheme="minorEastAsia" w:hAnsiTheme="minorEastAsia" w:hint="eastAsia"/>
          <w:szCs w:val="21"/>
        </w:rPr>
        <w:t>月</w:t>
      </w:r>
      <w:r w:rsidR="006E0B82">
        <w:rPr>
          <w:rFonts w:asciiTheme="minorEastAsia" w:hAnsiTheme="minorEastAsia"/>
          <w:szCs w:val="21"/>
        </w:rPr>
        <w:t>20</w:t>
      </w:r>
      <w:r w:rsidRPr="00514B3F">
        <w:rPr>
          <w:rFonts w:asciiTheme="minorEastAsia" w:hAnsiTheme="minorEastAsia" w:hint="eastAsia"/>
          <w:szCs w:val="21"/>
        </w:rPr>
        <w:t>日起正式办理本公司旗下部分基金（详细基金信息可参见附表）的</w:t>
      </w:r>
      <w:r w:rsidR="00B84958" w:rsidRPr="00514B3F">
        <w:rPr>
          <w:rFonts w:asciiTheme="minorEastAsia" w:hAnsiTheme="minorEastAsia" w:hint="eastAsia"/>
          <w:szCs w:val="21"/>
        </w:rPr>
        <w:t>销售及</w:t>
      </w:r>
      <w:r w:rsidRPr="00514B3F">
        <w:rPr>
          <w:rFonts w:asciiTheme="minorEastAsia" w:hAnsiTheme="minorEastAsia" w:hint="eastAsia"/>
          <w:szCs w:val="21"/>
        </w:rPr>
        <w:t>相关业务，同时参加</w:t>
      </w:r>
      <w:r w:rsidR="001649DB">
        <w:rPr>
          <w:rFonts w:asciiTheme="minorEastAsia" w:hAnsiTheme="minorEastAsia" w:hint="eastAsia"/>
          <w:szCs w:val="21"/>
        </w:rPr>
        <w:t>中信证券华南</w:t>
      </w:r>
      <w:r w:rsidRPr="00514B3F">
        <w:rPr>
          <w:rFonts w:asciiTheme="minorEastAsia" w:hAnsiTheme="minorEastAsia" w:hint="eastAsia"/>
          <w:szCs w:val="21"/>
        </w:rPr>
        <w:t>开展的</w:t>
      </w:r>
      <w:r w:rsidR="00CD5371" w:rsidRPr="00514B3F">
        <w:rPr>
          <w:rFonts w:asciiTheme="minorEastAsia" w:hAnsiTheme="minorEastAsia" w:hint="eastAsia"/>
          <w:szCs w:val="21"/>
        </w:rPr>
        <w:t>所有</w:t>
      </w:r>
      <w:r w:rsidRPr="00514B3F">
        <w:rPr>
          <w:rFonts w:asciiTheme="minorEastAsia" w:hAnsiTheme="minorEastAsia" w:hint="eastAsia"/>
          <w:szCs w:val="21"/>
        </w:rPr>
        <w:t>费率优惠活动，</w:t>
      </w:r>
      <w:r w:rsidR="00377E5A" w:rsidRPr="00514B3F">
        <w:rPr>
          <w:rFonts w:asciiTheme="minorEastAsia" w:hAnsiTheme="minorEastAsia" w:hint="eastAsia"/>
          <w:szCs w:val="21"/>
        </w:rPr>
        <w:t>具体业务规则、费率优惠活动内容及办理程序等相关规则以</w:t>
      </w:r>
      <w:r w:rsidR="001649DB">
        <w:rPr>
          <w:rFonts w:asciiTheme="minorEastAsia" w:hAnsiTheme="minorEastAsia" w:hint="eastAsia"/>
          <w:szCs w:val="21"/>
        </w:rPr>
        <w:t>中信证券华南</w:t>
      </w:r>
      <w:r w:rsidR="00377E5A" w:rsidRPr="00514B3F">
        <w:rPr>
          <w:rFonts w:asciiTheme="minorEastAsia" w:hAnsiTheme="minorEastAsia" w:hint="eastAsia"/>
          <w:szCs w:val="21"/>
        </w:rPr>
        <w:t>的规定为准</w:t>
      </w:r>
      <w:r w:rsidR="00C9021D" w:rsidRPr="00514B3F">
        <w:rPr>
          <w:rFonts w:asciiTheme="minorEastAsia" w:hAnsiTheme="minorEastAsia" w:hint="eastAsia"/>
          <w:szCs w:val="21"/>
        </w:rPr>
        <w:t>。</w:t>
      </w:r>
    </w:p>
    <w:p w:rsidR="00212A96" w:rsidRPr="00514B3F" w:rsidRDefault="00212A96" w:rsidP="00514B3F">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投资者可以通过以下途径咨询相关详情：</w:t>
      </w:r>
    </w:p>
    <w:p w:rsidR="004A0022" w:rsidRPr="00514B3F" w:rsidRDefault="004A0022" w:rsidP="00514B3F">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1、</w:t>
      </w:r>
      <w:r w:rsidR="001649DB">
        <w:rPr>
          <w:rFonts w:asciiTheme="minorEastAsia" w:hAnsiTheme="minorEastAsia" w:hint="eastAsia"/>
          <w:szCs w:val="21"/>
        </w:rPr>
        <w:t>中信证券华南股份有</w:t>
      </w:r>
      <w:bookmarkStart w:id="0" w:name="_GoBack"/>
      <w:bookmarkEnd w:id="0"/>
      <w:r w:rsidR="001649DB">
        <w:rPr>
          <w:rFonts w:asciiTheme="minorEastAsia" w:hAnsiTheme="minorEastAsia" w:hint="eastAsia"/>
          <w:szCs w:val="21"/>
        </w:rPr>
        <w:t>限公司</w:t>
      </w:r>
    </w:p>
    <w:p w:rsidR="004A0022" w:rsidRPr="00514B3F" w:rsidRDefault="004A0022" w:rsidP="00514B3F">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注册地址：</w:t>
      </w:r>
      <w:r w:rsidR="001649DB" w:rsidRPr="001C29C5">
        <w:rPr>
          <w:rFonts w:asciiTheme="minorEastAsia" w:hAnsiTheme="minorEastAsia" w:hint="eastAsia"/>
          <w:szCs w:val="21"/>
        </w:rPr>
        <w:t>广州市天河区珠江西路5号广州国际金融中心主塔19层、20层</w:t>
      </w:r>
    </w:p>
    <w:p w:rsidR="004A0022" w:rsidRPr="00682583" w:rsidRDefault="004A0022" w:rsidP="00682583">
      <w:r w:rsidRPr="00572323">
        <w:rPr>
          <w:rFonts w:hint="eastAsia"/>
        </w:rPr>
        <w:t>客户服务热线：</w:t>
      </w:r>
      <w:r w:rsidR="004A6C28" w:rsidRPr="00682583">
        <w:t>95396</w:t>
      </w:r>
    </w:p>
    <w:p w:rsidR="004A0022" w:rsidRPr="00682583" w:rsidRDefault="004A0022" w:rsidP="00514B3F">
      <w:pPr>
        <w:autoSpaceDE w:val="0"/>
        <w:autoSpaceDN w:val="0"/>
        <w:adjustRightInd w:val="0"/>
        <w:spacing w:line="360" w:lineRule="auto"/>
        <w:ind w:firstLineChars="200" w:firstLine="420"/>
        <w:jc w:val="left"/>
      </w:pPr>
      <w:r w:rsidRPr="00682583">
        <w:rPr>
          <w:rFonts w:hint="eastAsia"/>
        </w:rPr>
        <w:t>公司网站：</w:t>
      </w:r>
      <w:hyperlink r:id="rId9" w:tgtFrame="_blank" w:history="1">
        <w:r w:rsidR="001649DB" w:rsidRPr="00682583">
          <w:t>www.gzs.com.cn</w:t>
        </w:r>
      </w:hyperlink>
    </w:p>
    <w:p w:rsidR="004A0022" w:rsidRPr="00514B3F" w:rsidRDefault="004A0022" w:rsidP="00514B3F">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2、中银基金管理有限公司</w:t>
      </w:r>
    </w:p>
    <w:p w:rsidR="004A0022" w:rsidRPr="00514B3F" w:rsidRDefault="004A0022" w:rsidP="00514B3F">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注册地址：上海市浦东新区银城中路200号中银大厦45层</w:t>
      </w:r>
    </w:p>
    <w:p w:rsidR="004A0022" w:rsidRPr="00514B3F" w:rsidRDefault="004A0022" w:rsidP="00514B3F">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 xml:space="preserve">客户服务电话：400-888-5566；021-38834788 </w:t>
      </w:r>
    </w:p>
    <w:p w:rsidR="004A0022" w:rsidRPr="00514B3F" w:rsidRDefault="004A0022" w:rsidP="00514B3F">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公司网站：www.bocim.com</w:t>
      </w:r>
    </w:p>
    <w:p w:rsidR="00F71F28" w:rsidRPr="00514B3F" w:rsidRDefault="006C0F7B" w:rsidP="00514B3F">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附：</w:t>
      </w:r>
      <w:r w:rsidR="006362E7" w:rsidRPr="00514B3F">
        <w:rPr>
          <w:rFonts w:asciiTheme="minorEastAsia" w:hAnsiTheme="minorEastAsia" w:hint="eastAsia"/>
          <w:szCs w:val="21"/>
        </w:rPr>
        <w:t>基金列表</w:t>
      </w:r>
    </w:p>
    <w:tbl>
      <w:tblPr>
        <w:tblW w:w="7881" w:type="dxa"/>
        <w:jc w:val="center"/>
        <w:tblLook w:val="04A0"/>
      </w:tblPr>
      <w:tblGrid>
        <w:gridCol w:w="1681"/>
        <w:gridCol w:w="6200"/>
      </w:tblGrid>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Style w:val="af"/>
                <w:rFonts w:hint="eastAsia"/>
              </w:rPr>
              <w:t>基金代码</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Style w:val="af"/>
                <w:rFonts w:hint="eastAsia"/>
              </w:rPr>
              <w:t>基金名称</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000057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072E82" w:rsidP="002F7334">
            <w:r w:rsidRPr="002F7334">
              <w:rPr>
                <w:rFonts w:hint="eastAsia"/>
              </w:rPr>
              <w:t>中银消费主题混合型证券投资基金</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000305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072E82" w:rsidP="002F7334">
            <w:r w:rsidRPr="002F7334">
              <w:rPr>
                <w:rFonts w:hint="eastAsia"/>
              </w:rPr>
              <w:t>中银中高等级债券型证券投资基金</w:t>
            </w:r>
            <w:r w:rsidR="009067E0" w:rsidRPr="002F7334">
              <w:t>A</w:t>
            </w:r>
            <w:r w:rsidR="009067E0" w:rsidRPr="002F7334">
              <w:rPr>
                <w:rFonts w:hint="eastAsia"/>
              </w:rPr>
              <w:t>类</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000372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072E82" w:rsidP="002F7334">
            <w:r w:rsidRPr="002F7334">
              <w:rPr>
                <w:rFonts w:hint="eastAsia"/>
              </w:rPr>
              <w:t>中银惠利纯债半年定期开放债券型证券投资基金</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000432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072E82" w:rsidP="002F7334">
            <w:r w:rsidRPr="002F7334">
              <w:rPr>
                <w:rFonts w:hint="eastAsia"/>
              </w:rPr>
              <w:t>中银优秀企业混合型证券投资基金</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163801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072E82" w:rsidP="002F7334">
            <w:r w:rsidRPr="002F7334">
              <w:rPr>
                <w:rFonts w:hint="eastAsia"/>
              </w:rPr>
              <w:t>中银中国精选混合型开放式证券投资基金</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163802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072E82" w:rsidP="002F7334">
            <w:r w:rsidRPr="002F7334">
              <w:rPr>
                <w:rFonts w:hint="eastAsia"/>
              </w:rPr>
              <w:t>中银货币市场证券投资基金</w:t>
            </w:r>
            <w:r w:rsidR="00ED43B2" w:rsidRPr="002F7334">
              <w:rPr>
                <w:rFonts w:hint="eastAsia"/>
              </w:rPr>
              <w:t>A</w:t>
            </w:r>
            <w:r w:rsidR="009067E0" w:rsidRPr="002F7334">
              <w:rPr>
                <w:rFonts w:hint="eastAsia"/>
              </w:rPr>
              <w:t>类</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163803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072E82" w:rsidP="002F7334">
            <w:r w:rsidRPr="002F7334">
              <w:rPr>
                <w:rFonts w:hint="eastAsia"/>
              </w:rPr>
              <w:t>中银持续增长混合型证券投资基金</w:t>
            </w:r>
            <w:r w:rsidR="00ED43B2" w:rsidRPr="002F7334">
              <w:rPr>
                <w:rFonts w:hint="eastAsia"/>
              </w:rPr>
              <w:t>A</w:t>
            </w:r>
            <w:r w:rsidR="00ED43B2" w:rsidRPr="002F7334">
              <w:rPr>
                <w:rFonts w:hint="eastAsia"/>
              </w:rPr>
              <w:t>类</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163804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072E82" w:rsidP="002F7334">
            <w:r w:rsidRPr="002F7334">
              <w:t>中银收益混合型证券投资基金</w:t>
            </w:r>
            <w:r w:rsidR="00ED43B2" w:rsidRPr="002F7334">
              <w:rPr>
                <w:rFonts w:hint="eastAsia"/>
              </w:rPr>
              <w:t>A</w:t>
            </w:r>
            <w:r w:rsidR="00ED43B2" w:rsidRPr="002F7334">
              <w:rPr>
                <w:rFonts w:hint="eastAsia"/>
              </w:rPr>
              <w:t>类</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163805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9A3E44" w:rsidP="002F7334">
            <w:r w:rsidRPr="002F7334">
              <w:t>中银动态策略混合型证券投资基金</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163806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9A3E44" w:rsidP="002F7334">
            <w:r w:rsidRPr="002F7334">
              <w:t>中银稳健增利债券型证券投资基金</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163807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9A3E44" w:rsidP="002F7334">
            <w:r w:rsidRPr="002F7334">
              <w:t>中银行业优选灵活配置混合型证券投资基金</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163808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9A3E44" w:rsidP="002F7334">
            <w:r w:rsidRPr="002F7334">
              <w:t>中银中证</w:t>
            </w:r>
            <w:r w:rsidRPr="002F7334">
              <w:t>100</w:t>
            </w:r>
            <w:r w:rsidRPr="002F7334">
              <w:t>指数增强型证券投资基金</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163809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9A3E44" w:rsidP="002F7334">
            <w:r w:rsidRPr="002F7334">
              <w:t>中银蓝筹精选灵活配置混合型证券投资基金</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163810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9A3E44" w:rsidP="002F7334">
            <w:r w:rsidRPr="002F7334">
              <w:t>中银价值精选灵活配置混合型证券投资基金</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163811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9A3E44" w:rsidP="002F7334">
            <w:r w:rsidRPr="002F7334">
              <w:t>中银稳健双利债券型证券投资基金</w:t>
            </w:r>
            <w:r w:rsidRPr="002F7334">
              <w:rPr>
                <w:rFonts w:hint="eastAsia"/>
              </w:rPr>
              <w:t>A</w:t>
            </w:r>
            <w:r w:rsidRPr="002F7334">
              <w:rPr>
                <w:rFonts w:hint="eastAsia"/>
              </w:rPr>
              <w:t>类</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163812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9A3E44" w:rsidP="002F7334">
            <w:r w:rsidRPr="002F7334">
              <w:t>中银稳健双利债券型证券投资基金</w:t>
            </w:r>
            <w:r w:rsidRPr="002F7334">
              <w:rPr>
                <w:rFonts w:hint="eastAsia"/>
              </w:rPr>
              <w:t>C</w:t>
            </w:r>
            <w:r w:rsidRPr="002F7334">
              <w:rPr>
                <w:rFonts w:hint="eastAsia"/>
              </w:rPr>
              <w:t>类</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lastRenderedPageBreak/>
              <w:t xml:space="preserve">163813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9A3E44" w:rsidP="002F7334">
            <w:r w:rsidRPr="002F7334">
              <w:t>中银全球策略证券投资基金</w:t>
            </w:r>
            <w:r w:rsidRPr="002F7334">
              <w:t>(FOF)</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163816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9A3E44" w:rsidP="002F7334">
            <w:r w:rsidRPr="002F7334">
              <w:t>中银转债增强债券型证券投资基金</w:t>
            </w:r>
            <w:r w:rsidR="00ED43B2" w:rsidRPr="002F7334">
              <w:rPr>
                <w:rFonts w:hint="eastAsia"/>
              </w:rPr>
              <w:t>A</w:t>
            </w:r>
            <w:r w:rsidR="00ED43B2" w:rsidRPr="002F7334">
              <w:rPr>
                <w:rFonts w:hint="eastAsia"/>
              </w:rPr>
              <w:t>类</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163817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ED43B2" w:rsidP="002F7334">
            <w:r w:rsidRPr="002F7334">
              <w:t>中银转债增强债券型证券投资基</w:t>
            </w:r>
            <w:r w:rsidR="006E0B82" w:rsidRPr="002F7334">
              <w:rPr>
                <w:rFonts w:hint="eastAsia"/>
              </w:rPr>
              <w:t>金</w:t>
            </w:r>
            <w:r w:rsidR="006E0B82" w:rsidRPr="002F7334">
              <w:rPr>
                <w:rFonts w:hint="eastAsia"/>
              </w:rPr>
              <w:t>B</w:t>
            </w:r>
            <w:r w:rsidR="006E0B82" w:rsidRPr="002F7334">
              <w:rPr>
                <w:rFonts w:hint="eastAsia"/>
              </w:rPr>
              <w:t>类</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163818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ED43B2" w:rsidP="002F7334">
            <w:r w:rsidRPr="002F7334">
              <w:t>中银中小盘成长混合型证券投资基金</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Pr="00514B3F" w:rsidRDefault="001649DB" w:rsidP="001649DB">
            <w:pPr>
              <w:widowControl/>
              <w:jc w:val="center"/>
              <w:rPr>
                <w:rFonts w:ascii="宋体" w:eastAsia="宋体" w:hAnsi="宋体" w:cs="宋体"/>
                <w:b/>
                <w:bCs/>
                <w:color w:val="000000"/>
                <w:kern w:val="0"/>
                <w:szCs w:val="21"/>
              </w:rPr>
            </w:pPr>
            <w:r>
              <w:rPr>
                <w:rFonts w:hint="eastAsia"/>
              </w:rPr>
              <w:t xml:space="preserve">163819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ED43B2" w:rsidP="002F7334">
            <w:r w:rsidRPr="002F7334">
              <w:t>中银信用增利债券型证券投资基金</w:t>
            </w:r>
            <w:r w:rsidR="00427EB1" w:rsidRPr="002F7334">
              <w:rPr>
                <w:rFonts w:hint="eastAsia"/>
              </w:rPr>
              <w:t>（</w:t>
            </w:r>
            <w:r w:rsidR="00427EB1" w:rsidRPr="002F7334">
              <w:rPr>
                <w:rFonts w:hint="eastAsia"/>
              </w:rPr>
              <w:t>LOF</w:t>
            </w:r>
            <w:r w:rsidR="00427EB1" w:rsidRPr="002F7334">
              <w:rPr>
                <w:rFonts w:hint="eastAsia"/>
              </w:rPr>
              <w:t>）</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Default="001649DB" w:rsidP="001649DB">
            <w:pPr>
              <w:jc w:val="center"/>
              <w:rPr>
                <w:rFonts w:ascii="宋体" w:eastAsia="宋体" w:hAnsi="宋体" w:cs="宋体"/>
                <w:color w:val="000000"/>
                <w:sz w:val="22"/>
              </w:rPr>
            </w:pPr>
            <w:r>
              <w:rPr>
                <w:rFonts w:hint="eastAsia"/>
              </w:rPr>
              <w:t xml:space="preserve">163820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ED43B2" w:rsidP="002F7334">
            <w:r w:rsidRPr="002F7334">
              <w:t>中银货币市场证券投资基金</w:t>
            </w:r>
            <w:r w:rsidR="006E0B82" w:rsidRPr="002F7334">
              <w:rPr>
                <w:rFonts w:hint="eastAsia"/>
              </w:rPr>
              <w:t>B</w:t>
            </w:r>
            <w:r w:rsidR="009067E0" w:rsidRPr="002F7334">
              <w:rPr>
                <w:rFonts w:hint="eastAsia"/>
              </w:rPr>
              <w:t>类</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Default="001649DB" w:rsidP="001649DB">
            <w:pPr>
              <w:jc w:val="center"/>
              <w:rPr>
                <w:rFonts w:ascii="宋体" w:eastAsia="宋体" w:hAnsi="宋体" w:cs="宋体"/>
                <w:color w:val="000000"/>
                <w:sz w:val="22"/>
              </w:rPr>
            </w:pPr>
            <w:r>
              <w:rPr>
                <w:rFonts w:hint="eastAsia"/>
              </w:rPr>
              <w:t xml:space="preserve">163821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ED43B2" w:rsidP="002F7334">
            <w:r w:rsidRPr="002F7334">
              <w:t>中银沪深</w:t>
            </w:r>
            <w:r w:rsidRPr="002F7334">
              <w:t>300</w:t>
            </w:r>
            <w:r w:rsidRPr="002F7334">
              <w:t>等权重指数证券投资基金</w:t>
            </w:r>
            <w:r w:rsidRPr="002F7334">
              <w:t>(LOF)</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Default="001649DB" w:rsidP="001649DB">
            <w:pPr>
              <w:jc w:val="center"/>
              <w:rPr>
                <w:rFonts w:ascii="宋体" w:eastAsia="宋体" w:hAnsi="宋体" w:cs="宋体"/>
                <w:color w:val="000000"/>
                <w:sz w:val="22"/>
              </w:rPr>
            </w:pPr>
            <w:r>
              <w:rPr>
                <w:rFonts w:hint="eastAsia"/>
              </w:rPr>
              <w:t xml:space="preserve">163822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ED43B2" w:rsidP="002F7334">
            <w:r w:rsidRPr="002F7334">
              <w:t>中银主题策略混合型证券投资基金</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Default="001649DB" w:rsidP="001649DB">
            <w:pPr>
              <w:jc w:val="center"/>
              <w:rPr>
                <w:rFonts w:ascii="宋体" w:eastAsia="宋体" w:hAnsi="宋体" w:cs="宋体"/>
                <w:color w:val="000000"/>
                <w:sz w:val="22"/>
              </w:rPr>
            </w:pPr>
            <w:r>
              <w:rPr>
                <w:rFonts w:hint="eastAsia"/>
              </w:rPr>
              <w:t xml:space="preserve">163823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ED43B2" w:rsidP="002F7334">
            <w:r w:rsidRPr="002F7334">
              <w:t>中银稳健策略灵活配置混合型证券投资基金</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Default="001649DB" w:rsidP="001649DB">
            <w:pPr>
              <w:jc w:val="center"/>
              <w:rPr>
                <w:rFonts w:ascii="宋体" w:eastAsia="宋体" w:hAnsi="宋体" w:cs="宋体"/>
                <w:color w:val="000000"/>
                <w:sz w:val="22"/>
              </w:rPr>
            </w:pPr>
            <w:r>
              <w:rPr>
                <w:rFonts w:hint="eastAsia"/>
              </w:rPr>
              <w:t xml:space="preserve">163824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ED43B2" w:rsidP="002F7334">
            <w:r w:rsidRPr="002F7334">
              <w:t>中银盛利纯债一年定期开放债券型证券投资基金</w:t>
            </w:r>
            <w:r w:rsidRPr="002F7334">
              <w:t>(LOF</w:t>
            </w:r>
            <w:r w:rsidR="00427EB1" w:rsidRPr="002F7334">
              <w:rPr>
                <w:rFonts w:hint="eastAsia"/>
              </w:rPr>
              <w:t>)</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Default="001649DB" w:rsidP="001649DB">
            <w:pPr>
              <w:jc w:val="center"/>
              <w:rPr>
                <w:rFonts w:ascii="宋体" w:eastAsia="宋体" w:hAnsi="宋体" w:cs="宋体"/>
                <w:color w:val="000000"/>
                <w:sz w:val="22"/>
              </w:rPr>
            </w:pPr>
            <w:r>
              <w:rPr>
                <w:rFonts w:hint="eastAsia"/>
              </w:rPr>
              <w:t xml:space="preserve">380005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ED43B2" w:rsidP="002F7334">
            <w:r w:rsidRPr="002F7334">
              <w:t>中银纯债债券型证券投资基金</w:t>
            </w:r>
            <w:r w:rsidRPr="002F7334">
              <w:rPr>
                <w:rFonts w:hint="eastAsia"/>
              </w:rPr>
              <w:t xml:space="preserve"> A</w:t>
            </w:r>
            <w:r w:rsidRPr="002F7334">
              <w:rPr>
                <w:rFonts w:hint="eastAsia"/>
              </w:rPr>
              <w:t>类</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Default="001649DB" w:rsidP="001649DB">
            <w:pPr>
              <w:jc w:val="center"/>
              <w:rPr>
                <w:rFonts w:ascii="宋体" w:eastAsia="宋体" w:hAnsi="宋体" w:cs="宋体"/>
                <w:color w:val="000000"/>
                <w:sz w:val="22"/>
              </w:rPr>
            </w:pPr>
            <w:r>
              <w:rPr>
                <w:rFonts w:hint="eastAsia"/>
              </w:rPr>
              <w:t xml:space="preserve">380006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ED43B2" w:rsidP="002F7334">
            <w:r w:rsidRPr="002F7334">
              <w:t>中银纯债债券型证券投资基金</w:t>
            </w:r>
            <w:r w:rsidR="006E0B82" w:rsidRPr="002F7334">
              <w:rPr>
                <w:rFonts w:hint="eastAsia"/>
              </w:rPr>
              <w:t xml:space="preserve"> C</w:t>
            </w:r>
            <w:r w:rsidR="006E0B82" w:rsidRPr="002F7334">
              <w:rPr>
                <w:rFonts w:hint="eastAsia"/>
              </w:rPr>
              <w:t>类</w:t>
            </w:r>
          </w:p>
        </w:tc>
      </w:tr>
      <w:tr w:rsidR="001649DB" w:rsidRPr="00514B3F" w:rsidTr="00041059">
        <w:trPr>
          <w:trHeight w:val="330"/>
          <w:jc w:val="center"/>
        </w:trPr>
        <w:tc>
          <w:tcPr>
            <w:tcW w:w="1681" w:type="dxa"/>
            <w:tcBorders>
              <w:top w:val="single" w:sz="4" w:space="0" w:color="auto"/>
              <w:left w:val="single" w:sz="4" w:space="0" w:color="auto"/>
              <w:bottom w:val="single" w:sz="4" w:space="0" w:color="auto"/>
              <w:right w:val="single" w:sz="4" w:space="0" w:color="auto"/>
            </w:tcBorders>
            <w:shd w:val="clear" w:color="000000" w:fill="FFFFFF"/>
            <w:vAlign w:val="center"/>
          </w:tcPr>
          <w:p w:rsidR="001649DB" w:rsidRDefault="001649DB" w:rsidP="001649DB">
            <w:pPr>
              <w:jc w:val="center"/>
              <w:rPr>
                <w:rFonts w:ascii="宋体" w:eastAsia="宋体" w:hAnsi="宋体" w:cs="宋体"/>
                <w:color w:val="000000"/>
                <w:sz w:val="22"/>
              </w:rPr>
            </w:pPr>
            <w:r>
              <w:rPr>
                <w:rFonts w:hint="eastAsia"/>
              </w:rPr>
              <w:t xml:space="preserve">380009 </w:t>
            </w:r>
          </w:p>
        </w:tc>
        <w:tc>
          <w:tcPr>
            <w:tcW w:w="6200" w:type="dxa"/>
            <w:tcBorders>
              <w:top w:val="single" w:sz="4" w:space="0" w:color="auto"/>
              <w:left w:val="nil"/>
              <w:bottom w:val="single" w:sz="4" w:space="0" w:color="auto"/>
              <w:right w:val="single" w:sz="4" w:space="0" w:color="auto"/>
            </w:tcBorders>
            <w:shd w:val="clear" w:color="000000" w:fill="FFFFFF"/>
            <w:vAlign w:val="center"/>
          </w:tcPr>
          <w:p w:rsidR="001649DB" w:rsidRPr="002F7334" w:rsidRDefault="00ED43B2" w:rsidP="002F7334">
            <w:r w:rsidRPr="002F7334">
              <w:t>中银稳健添利债券型发起式证券投资基金</w:t>
            </w:r>
            <w:r w:rsidR="009067E0" w:rsidRPr="002F7334">
              <w:rPr>
                <w:rFonts w:hint="eastAsia"/>
              </w:rPr>
              <w:t>A</w:t>
            </w:r>
            <w:r w:rsidR="009067E0" w:rsidRPr="002F7334">
              <w:rPr>
                <w:rFonts w:hint="eastAsia"/>
              </w:rPr>
              <w:t>类</w:t>
            </w:r>
          </w:p>
        </w:tc>
      </w:tr>
    </w:tbl>
    <w:p w:rsidR="00F71F28" w:rsidRPr="00514B3F" w:rsidRDefault="00F71F28" w:rsidP="00D0673F">
      <w:pPr>
        <w:pStyle w:val="Default"/>
        <w:spacing w:line="360" w:lineRule="auto"/>
        <w:rPr>
          <w:rFonts w:ascii="Times New Roman" w:hAnsi="Times New Roman" w:cs="Times New Roman"/>
          <w:color w:val="auto"/>
          <w:sz w:val="21"/>
          <w:szCs w:val="21"/>
        </w:rPr>
      </w:pPr>
    </w:p>
    <w:p w:rsidR="004A0022" w:rsidRPr="00514B3F" w:rsidRDefault="004A0022" w:rsidP="00514B3F">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风险提示：</w:t>
      </w:r>
    </w:p>
    <w:p w:rsidR="004A0022" w:rsidRPr="00514B3F" w:rsidRDefault="004A0022" w:rsidP="00514B3F">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基金管理人承诺依照诚实信用、勤勉尽职的原则管理和运用基金资产，但不保证基金一定盈利，也不保证最低收益</w:t>
      </w:r>
      <w:r w:rsidR="00634955">
        <w:rPr>
          <w:rFonts w:asciiTheme="minorEastAsia" w:hAnsiTheme="minorEastAsia" w:hint="eastAsia"/>
          <w:szCs w:val="21"/>
        </w:rPr>
        <w:t>，</w:t>
      </w:r>
      <w:r w:rsidR="00634955" w:rsidRPr="00634955">
        <w:rPr>
          <w:rFonts w:asciiTheme="minorEastAsia" w:hAnsiTheme="minorEastAsia" w:hint="eastAsia"/>
          <w:szCs w:val="21"/>
        </w:rPr>
        <w:t>在市场波动等因素的影响下，基金投资存在本金损失的风险。</w:t>
      </w:r>
      <w:r w:rsidRPr="00514B3F">
        <w:rPr>
          <w:rFonts w:asciiTheme="minorEastAsia" w:hAnsiTheme="minorEastAsia" w:hint="eastAsia"/>
          <w:szCs w:val="21"/>
        </w:rPr>
        <w:t>基金的过往业绩及其净值高低并不预示其未来业绩表现。基金管理人提醒投资者基金投资的“买者自负”原则，在做出投资决策后，基金运营状况与基金净值变化引致的投资风险，由投资者自行负担。</w:t>
      </w:r>
    </w:p>
    <w:p w:rsidR="00117107" w:rsidRPr="00514B3F" w:rsidRDefault="004A0022" w:rsidP="00514B3F">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投资于货币市场基金并不等同于将资金作为存款存放在银行或存款类金融机构。投资者投资基金前应认真阅读基金合同、招募说明书等法律文件，了解拟投资基金的风险收益特征，根据自身投资目的、投资期限、投资经验、资产状况等判断基金是否和投资者的风险承受能力相匹配</w:t>
      </w:r>
      <w:r w:rsidR="00634955">
        <w:rPr>
          <w:rFonts w:asciiTheme="minorEastAsia" w:hAnsiTheme="minorEastAsia" w:hint="eastAsia"/>
          <w:szCs w:val="21"/>
        </w:rPr>
        <w:t>，</w:t>
      </w:r>
      <w:r w:rsidR="00634955" w:rsidRPr="00634955">
        <w:rPr>
          <w:rFonts w:asciiTheme="minorEastAsia" w:hAnsiTheme="minorEastAsia" w:hint="eastAsia"/>
          <w:szCs w:val="21"/>
        </w:rPr>
        <w:t>并按照销售机构的要求完成风险承受能力与产品风险之间的匹配检验。</w:t>
      </w:r>
    </w:p>
    <w:p w:rsidR="000E6B0A" w:rsidRPr="00514B3F" w:rsidRDefault="00EF6E69" w:rsidP="00514B3F">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特此公告。</w:t>
      </w:r>
    </w:p>
    <w:p w:rsidR="000E6B0A" w:rsidRPr="00514B3F" w:rsidRDefault="006362E7" w:rsidP="00A94DBD">
      <w:pPr>
        <w:pStyle w:val="Default"/>
        <w:spacing w:line="360" w:lineRule="auto"/>
        <w:jc w:val="right"/>
        <w:rPr>
          <w:rFonts w:asciiTheme="minorEastAsia" w:eastAsiaTheme="minorEastAsia" w:hAnsiTheme="minorEastAsia"/>
          <w:color w:val="auto"/>
          <w:sz w:val="21"/>
          <w:szCs w:val="21"/>
        </w:rPr>
      </w:pPr>
      <w:r w:rsidRPr="00514B3F">
        <w:rPr>
          <w:rFonts w:asciiTheme="minorEastAsia" w:eastAsiaTheme="minorEastAsia" w:hAnsiTheme="minorEastAsia" w:hint="eastAsia"/>
          <w:color w:val="auto"/>
          <w:sz w:val="21"/>
          <w:szCs w:val="21"/>
        </w:rPr>
        <w:t>中银基金管理有限公司</w:t>
      </w:r>
    </w:p>
    <w:p w:rsidR="000E6B0A" w:rsidRPr="00514B3F" w:rsidRDefault="006362E7" w:rsidP="00A94DBD">
      <w:pPr>
        <w:pStyle w:val="Default"/>
        <w:spacing w:line="360" w:lineRule="auto"/>
        <w:ind w:firstLine="420"/>
        <w:jc w:val="right"/>
        <w:rPr>
          <w:rFonts w:asciiTheme="minorEastAsia" w:eastAsiaTheme="minorEastAsia" w:hAnsiTheme="minorEastAsia"/>
          <w:color w:val="auto"/>
          <w:sz w:val="21"/>
          <w:szCs w:val="21"/>
        </w:rPr>
      </w:pPr>
      <w:r w:rsidRPr="00514B3F">
        <w:rPr>
          <w:rFonts w:asciiTheme="minorEastAsia" w:eastAsiaTheme="minorEastAsia" w:hAnsiTheme="minorEastAsia"/>
          <w:color w:val="auto"/>
          <w:sz w:val="21"/>
          <w:szCs w:val="21"/>
        </w:rPr>
        <w:t>20</w:t>
      </w:r>
      <w:r w:rsidR="001C29C5">
        <w:rPr>
          <w:rFonts w:asciiTheme="minorEastAsia" w:eastAsiaTheme="minorEastAsia" w:hAnsiTheme="minorEastAsia" w:hint="eastAsia"/>
          <w:color w:val="auto"/>
          <w:sz w:val="21"/>
          <w:szCs w:val="21"/>
        </w:rPr>
        <w:t>20</w:t>
      </w:r>
      <w:r w:rsidRPr="00514B3F">
        <w:rPr>
          <w:rFonts w:asciiTheme="minorEastAsia" w:eastAsiaTheme="minorEastAsia" w:hAnsiTheme="minorEastAsia" w:hint="eastAsia"/>
          <w:color w:val="auto"/>
          <w:sz w:val="21"/>
          <w:szCs w:val="21"/>
        </w:rPr>
        <w:t>年</w:t>
      </w:r>
      <w:r w:rsidR="001C29C5">
        <w:rPr>
          <w:rFonts w:asciiTheme="minorEastAsia" w:eastAsiaTheme="minorEastAsia" w:hAnsiTheme="minorEastAsia" w:hint="eastAsia"/>
          <w:color w:val="auto"/>
          <w:sz w:val="21"/>
          <w:szCs w:val="21"/>
        </w:rPr>
        <w:t>5</w:t>
      </w:r>
      <w:r w:rsidRPr="00514B3F">
        <w:rPr>
          <w:rFonts w:asciiTheme="minorEastAsia" w:eastAsiaTheme="minorEastAsia" w:hAnsiTheme="minorEastAsia" w:hint="eastAsia"/>
          <w:color w:val="auto"/>
          <w:sz w:val="21"/>
          <w:szCs w:val="21"/>
        </w:rPr>
        <w:t>月</w:t>
      </w:r>
      <w:r w:rsidR="0013720E">
        <w:rPr>
          <w:rFonts w:asciiTheme="minorEastAsia" w:eastAsiaTheme="minorEastAsia" w:hAnsiTheme="minorEastAsia"/>
          <w:color w:val="auto"/>
          <w:sz w:val="21"/>
          <w:szCs w:val="21"/>
        </w:rPr>
        <w:t>20</w:t>
      </w:r>
      <w:r w:rsidRPr="00514B3F">
        <w:rPr>
          <w:rFonts w:asciiTheme="minorEastAsia" w:eastAsiaTheme="minorEastAsia" w:hAnsiTheme="minorEastAsia" w:hint="eastAsia"/>
          <w:color w:val="auto"/>
          <w:sz w:val="21"/>
          <w:szCs w:val="21"/>
        </w:rPr>
        <w:t>日</w:t>
      </w:r>
    </w:p>
    <w:p w:rsidR="000E6B0A" w:rsidRPr="00B402C0" w:rsidRDefault="000E6B0A">
      <w:pPr>
        <w:autoSpaceDE w:val="0"/>
        <w:autoSpaceDN w:val="0"/>
        <w:adjustRightInd w:val="0"/>
        <w:spacing w:line="360" w:lineRule="auto"/>
        <w:ind w:firstLineChars="200" w:firstLine="480"/>
        <w:jc w:val="left"/>
        <w:rPr>
          <w:rFonts w:asciiTheme="minorEastAsia" w:hAnsiTheme="minorEastAsia"/>
          <w:sz w:val="24"/>
          <w:szCs w:val="24"/>
        </w:rPr>
      </w:pPr>
    </w:p>
    <w:p w:rsidR="000E6B0A" w:rsidRPr="00B402C0" w:rsidRDefault="000E6B0A" w:rsidP="00D0673F">
      <w:pPr>
        <w:widowControl/>
        <w:jc w:val="left"/>
        <w:rPr>
          <w:rFonts w:asciiTheme="minorEastAsia" w:hAnsiTheme="minorEastAsia"/>
          <w:sz w:val="24"/>
          <w:szCs w:val="24"/>
        </w:rPr>
      </w:pPr>
    </w:p>
    <w:sectPr w:rsidR="000E6B0A" w:rsidRPr="00B402C0" w:rsidSect="00FB3E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2E0" w:rsidRDefault="006612E0" w:rsidP="004370B0">
      <w:r>
        <w:separator/>
      </w:r>
    </w:p>
  </w:endnote>
  <w:endnote w:type="continuationSeparator" w:id="1">
    <w:p w:rsidR="006612E0" w:rsidRDefault="006612E0" w:rsidP="00437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2E0" w:rsidRDefault="006612E0" w:rsidP="004370B0">
      <w:r>
        <w:separator/>
      </w:r>
    </w:p>
  </w:footnote>
  <w:footnote w:type="continuationSeparator" w:id="1">
    <w:p w:rsidR="006612E0" w:rsidRDefault="006612E0" w:rsidP="00437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554A"/>
    <w:multiLevelType w:val="hybridMultilevel"/>
    <w:tmpl w:val="82C4FBB6"/>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2ED5C22"/>
    <w:multiLevelType w:val="hybridMultilevel"/>
    <w:tmpl w:val="CFDE2420"/>
    <w:lvl w:ilvl="0" w:tplc="DBCA711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8F31AD"/>
    <w:multiLevelType w:val="multilevel"/>
    <w:tmpl w:val="588F31AD"/>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5E04"/>
    <w:rsid w:val="00013B75"/>
    <w:rsid w:val="0002644E"/>
    <w:rsid w:val="0004070E"/>
    <w:rsid w:val="00041059"/>
    <w:rsid w:val="0004424F"/>
    <w:rsid w:val="0004741F"/>
    <w:rsid w:val="0006432E"/>
    <w:rsid w:val="00072E82"/>
    <w:rsid w:val="00074828"/>
    <w:rsid w:val="00075E20"/>
    <w:rsid w:val="00076955"/>
    <w:rsid w:val="000772BB"/>
    <w:rsid w:val="00093FBB"/>
    <w:rsid w:val="00094270"/>
    <w:rsid w:val="000A50AE"/>
    <w:rsid w:val="000C0622"/>
    <w:rsid w:val="000C5B94"/>
    <w:rsid w:val="000E6B0A"/>
    <w:rsid w:val="00117107"/>
    <w:rsid w:val="00130516"/>
    <w:rsid w:val="00135A5C"/>
    <w:rsid w:val="0013720E"/>
    <w:rsid w:val="00137579"/>
    <w:rsid w:val="00156C0F"/>
    <w:rsid w:val="00160AA5"/>
    <w:rsid w:val="001649DB"/>
    <w:rsid w:val="00186DDD"/>
    <w:rsid w:val="0019478B"/>
    <w:rsid w:val="001A5089"/>
    <w:rsid w:val="001C1D95"/>
    <w:rsid w:val="001C29C5"/>
    <w:rsid w:val="001C7272"/>
    <w:rsid w:val="001D14C4"/>
    <w:rsid w:val="001D733E"/>
    <w:rsid w:val="001E65F8"/>
    <w:rsid w:val="001F4086"/>
    <w:rsid w:val="001F6F37"/>
    <w:rsid w:val="002036FF"/>
    <w:rsid w:val="00206449"/>
    <w:rsid w:val="00212A96"/>
    <w:rsid w:val="0022210C"/>
    <w:rsid w:val="0022566E"/>
    <w:rsid w:val="00231385"/>
    <w:rsid w:val="00260770"/>
    <w:rsid w:val="0028282B"/>
    <w:rsid w:val="00282C39"/>
    <w:rsid w:val="002C5C7A"/>
    <w:rsid w:val="002E0652"/>
    <w:rsid w:val="002E1B53"/>
    <w:rsid w:val="002F7334"/>
    <w:rsid w:val="0032205B"/>
    <w:rsid w:val="00331866"/>
    <w:rsid w:val="0034228F"/>
    <w:rsid w:val="003477A8"/>
    <w:rsid w:val="003528BD"/>
    <w:rsid w:val="0036273D"/>
    <w:rsid w:val="003646EC"/>
    <w:rsid w:val="00377E5A"/>
    <w:rsid w:val="00383FBA"/>
    <w:rsid w:val="003A029C"/>
    <w:rsid w:val="003B1378"/>
    <w:rsid w:val="003B13AF"/>
    <w:rsid w:val="003B1922"/>
    <w:rsid w:val="003C1623"/>
    <w:rsid w:val="003D305E"/>
    <w:rsid w:val="003D7868"/>
    <w:rsid w:val="003E50FC"/>
    <w:rsid w:val="004251AE"/>
    <w:rsid w:val="00427EB1"/>
    <w:rsid w:val="004370B0"/>
    <w:rsid w:val="00443BF9"/>
    <w:rsid w:val="00447017"/>
    <w:rsid w:val="00457443"/>
    <w:rsid w:val="00457F5F"/>
    <w:rsid w:val="00464901"/>
    <w:rsid w:val="00473A8F"/>
    <w:rsid w:val="00485CF8"/>
    <w:rsid w:val="004A0022"/>
    <w:rsid w:val="004A6C28"/>
    <w:rsid w:val="004C30D4"/>
    <w:rsid w:val="004C3A96"/>
    <w:rsid w:val="004D7237"/>
    <w:rsid w:val="004F3072"/>
    <w:rsid w:val="00514B3F"/>
    <w:rsid w:val="0052512E"/>
    <w:rsid w:val="00547F3C"/>
    <w:rsid w:val="005537BB"/>
    <w:rsid w:val="00561BC1"/>
    <w:rsid w:val="00572323"/>
    <w:rsid w:val="0057530E"/>
    <w:rsid w:val="005770FA"/>
    <w:rsid w:val="005874BA"/>
    <w:rsid w:val="00592E0D"/>
    <w:rsid w:val="00593B92"/>
    <w:rsid w:val="005A028E"/>
    <w:rsid w:val="005E2907"/>
    <w:rsid w:val="00634955"/>
    <w:rsid w:val="006362E7"/>
    <w:rsid w:val="00646C64"/>
    <w:rsid w:val="006612E0"/>
    <w:rsid w:val="00674725"/>
    <w:rsid w:val="00682583"/>
    <w:rsid w:val="00686442"/>
    <w:rsid w:val="006B364E"/>
    <w:rsid w:val="006C0F7B"/>
    <w:rsid w:val="006D6366"/>
    <w:rsid w:val="006E0B82"/>
    <w:rsid w:val="007014A9"/>
    <w:rsid w:val="00722D4A"/>
    <w:rsid w:val="00726827"/>
    <w:rsid w:val="007367C6"/>
    <w:rsid w:val="00742FC7"/>
    <w:rsid w:val="00762C64"/>
    <w:rsid w:val="007727F0"/>
    <w:rsid w:val="007A161D"/>
    <w:rsid w:val="007C6F14"/>
    <w:rsid w:val="007D2A04"/>
    <w:rsid w:val="00802E4A"/>
    <w:rsid w:val="0080317A"/>
    <w:rsid w:val="00872EC5"/>
    <w:rsid w:val="00876FEB"/>
    <w:rsid w:val="0087776F"/>
    <w:rsid w:val="00896E63"/>
    <w:rsid w:val="008D41A5"/>
    <w:rsid w:val="008E7EEA"/>
    <w:rsid w:val="009067E0"/>
    <w:rsid w:val="00964546"/>
    <w:rsid w:val="009A174E"/>
    <w:rsid w:val="009A2BE9"/>
    <w:rsid w:val="009A3E44"/>
    <w:rsid w:val="009A5A65"/>
    <w:rsid w:val="009B7D8F"/>
    <w:rsid w:val="00A07D4F"/>
    <w:rsid w:val="00A51582"/>
    <w:rsid w:val="00A67B1A"/>
    <w:rsid w:val="00A9158C"/>
    <w:rsid w:val="00A94DBD"/>
    <w:rsid w:val="00AB6DF5"/>
    <w:rsid w:val="00AD67E4"/>
    <w:rsid w:val="00B04160"/>
    <w:rsid w:val="00B402C0"/>
    <w:rsid w:val="00B45E04"/>
    <w:rsid w:val="00B5066D"/>
    <w:rsid w:val="00B84958"/>
    <w:rsid w:val="00BB5813"/>
    <w:rsid w:val="00BF77F8"/>
    <w:rsid w:val="00C84A71"/>
    <w:rsid w:val="00C9021D"/>
    <w:rsid w:val="00CB18B4"/>
    <w:rsid w:val="00CC40A4"/>
    <w:rsid w:val="00CC4E11"/>
    <w:rsid w:val="00CD5371"/>
    <w:rsid w:val="00CF5692"/>
    <w:rsid w:val="00D0673F"/>
    <w:rsid w:val="00D110BE"/>
    <w:rsid w:val="00D168B0"/>
    <w:rsid w:val="00D16BD5"/>
    <w:rsid w:val="00D269D2"/>
    <w:rsid w:val="00D36DC4"/>
    <w:rsid w:val="00D617C3"/>
    <w:rsid w:val="00DD2973"/>
    <w:rsid w:val="00DD7A4C"/>
    <w:rsid w:val="00E26745"/>
    <w:rsid w:val="00E34215"/>
    <w:rsid w:val="00E95D25"/>
    <w:rsid w:val="00EC0510"/>
    <w:rsid w:val="00EC13C3"/>
    <w:rsid w:val="00ED43B2"/>
    <w:rsid w:val="00EF6E69"/>
    <w:rsid w:val="00F27EE2"/>
    <w:rsid w:val="00F41D52"/>
    <w:rsid w:val="00F47A17"/>
    <w:rsid w:val="00F63AD3"/>
    <w:rsid w:val="00F71F28"/>
    <w:rsid w:val="00FB23D0"/>
    <w:rsid w:val="00FB396B"/>
    <w:rsid w:val="00FB3E01"/>
    <w:rsid w:val="6A213F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qFormat="1"/>
    <w:lsdException w:name="footer" w:semiHidden="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0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0E6B0A"/>
    <w:rPr>
      <w:b/>
      <w:bCs/>
    </w:rPr>
  </w:style>
  <w:style w:type="paragraph" w:styleId="a4">
    <w:name w:val="annotation text"/>
    <w:basedOn w:val="a"/>
    <w:link w:val="Char0"/>
    <w:semiHidden/>
    <w:unhideWhenUsed/>
    <w:rsid w:val="000E6B0A"/>
    <w:pPr>
      <w:jc w:val="left"/>
    </w:pPr>
  </w:style>
  <w:style w:type="paragraph" w:styleId="a5">
    <w:name w:val="Date"/>
    <w:basedOn w:val="a"/>
    <w:next w:val="a"/>
    <w:link w:val="Char1"/>
    <w:uiPriority w:val="99"/>
    <w:semiHidden/>
    <w:unhideWhenUsed/>
    <w:rsid w:val="000E6B0A"/>
    <w:pPr>
      <w:ind w:leftChars="2500" w:left="100"/>
    </w:pPr>
  </w:style>
  <w:style w:type="paragraph" w:styleId="a6">
    <w:name w:val="Balloon Text"/>
    <w:basedOn w:val="a"/>
    <w:link w:val="Char2"/>
    <w:uiPriority w:val="99"/>
    <w:semiHidden/>
    <w:unhideWhenUsed/>
    <w:qFormat/>
    <w:rsid w:val="000E6B0A"/>
    <w:rPr>
      <w:sz w:val="18"/>
      <w:szCs w:val="18"/>
    </w:rPr>
  </w:style>
  <w:style w:type="paragraph" w:styleId="a7">
    <w:name w:val="footer"/>
    <w:basedOn w:val="a"/>
    <w:link w:val="Char3"/>
    <w:uiPriority w:val="99"/>
    <w:unhideWhenUsed/>
    <w:qFormat/>
    <w:rsid w:val="000E6B0A"/>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0E6B0A"/>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0E6B0A"/>
    <w:rPr>
      <w:color w:val="0000FF"/>
      <w:u w:val="single"/>
    </w:rPr>
  </w:style>
  <w:style w:type="character" w:styleId="aa">
    <w:name w:val="annotation reference"/>
    <w:basedOn w:val="a0"/>
    <w:semiHidden/>
    <w:unhideWhenUsed/>
    <w:qFormat/>
    <w:rsid w:val="000E6B0A"/>
    <w:rPr>
      <w:sz w:val="21"/>
      <w:szCs w:val="21"/>
    </w:rPr>
  </w:style>
  <w:style w:type="table" w:styleId="ab">
    <w:name w:val="Table Grid"/>
    <w:basedOn w:val="a1"/>
    <w:uiPriority w:val="59"/>
    <w:qFormat/>
    <w:rsid w:val="000E6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E6B0A"/>
    <w:pPr>
      <w:widowControl w:val="0"/>
      <w:autoSpaceDE w:val="0"/>
      <w:autoSpaceDN w:val="0"/>
      <w:adjustRightInd w:val="0"/>
    </w:pPr>
    <w:rPr>
      <w:rFonts w:ascii="宋体" w:hAnsiTheme="minorHAnsi" w:cs="宋体"/>
      <w:color w:val="000000"/>
      <w:sz w:val="24"/>
      <w:szCs w:val="24"/>
    </w:rPr>
  </w:style>
  <w:style w:type="character" w:customStyle="1" w:styleId="Char0">
    <w:name w:val="批注文字 Char"/>
    <w:basedOn w:val="a0"/>
    <w:link w:val="a4"/>
    <w:qFormat/>
    <w:rsid w:val="000E6B0A"/>
  </w:style>
  <w:style w:type="character" w:customStyle="1" w:styleId="Char">
    <w:name w:val="批注主题 Char"/>
    <w:basedOn w:val="Char0"/>
    <w:link w:val="a3"/>
    <w:uiPriority w:val="99"/>
    <w:semiHidden/>
    <w:qFormat/>
    <w:rsid w:val="000E6B0A"/>
    <w:rPr>
      <w:b/>
      <w:bCs/>
    </w:rPr>
  </w:style>
  <w:style w:type="character" w:customStyle="1" w:styleId="Char2">
    <w:name w:val="批注框文本 Char"/>
    <w:basedOn w:val="a0"/>
    <w:link w:val="a6"/>
    <w:uiPriority w:val="99"/>
    <w:semiHidden/>
    <w:qFormat/>
    <w:rsid w:val="000E6B0A"/>
    <w:rPr>
      <w:sz w:val="18"/>
      <w:szCs w:val="18"/>
    </w:rPr>
  </w:style>
  <w:style w:type="character" w:customStyle="1" w:styleId="Char4">
    <w:name w:val="页眉 Char"/>
    <w:basedOn w:val="a0"/>
    <w:link w:val="a8"/>
    <w:uiPriority w:val="99"/>
    <w:rsid w:val="000E6B0A"/>
    <w:rPr>
      <w:sz w:val="18"/>
      <w:szCs w:val="18"/>
    </w:rPr>
  </w:style>
  <w:style w:type="character" w:customStyle="1" w:styleId="Char3">
    <w:name w:val="页脚 Char"/>
    <w:basedOn w:val="a0"/>
    <w:link w:val="a7"/>
    <w:uiPriority w:val="99"/>
    <w:qFormat/>
    <w:rsid w:val="000E6B0A"/>
    <w:rPr>
      <w:sz w:val="18"/>
      <w:szCs w:val="18"/>
    </w:rPr>
  </w:style>
  <w:style w:type="paragraph" w:styleId="ac">
    <w:name w:val="List Paragraph"/>
    <w:basedOn w:val="a"/>
    <w:uiPriority w:val="34"/>
    <w:qFormat/>
    <w:rsid w:val="000E6B0A"/>
    <w:pPr>
      <w:ind w:firstLineChars="200" w:firstLine="420"/>
    </w:pPr>
  </w:style>
  <w:style w:type="character" w:customStyle="1" w:styleId="Char1">
    <w:name w:val="日期 Char"/>
    <w:basedOn w:val="a0"/>
    <w:link w:val="a5"/>
    <w:uiPriority w:val="99"/>
    <w:semiHidden/>
    <w:qFormat/>
    <w:rsid w:val="000E6B0A"/>
  </w:style>
  <w:style w:type="paragraph" w:customStyle="1" w:styleId="1">
    <w:name w:val="修订1"/>
    <w:hidden/>
    <w:uiPriority w:val="99"/>
    <w:semiHidden/>
    <w:rsid w:val="000E6B0A"/>
    <w:rPr>
      <w:rFonts w:asciiTheme="minorHAnsi" w:eastAsiaTheme="minorEastAsia" w:hAnsiTheme="minorHAnsi" w:cstheme="minorBidi"/>
      <w:kern w:val="2"/>
      <w:sz w:val="21"/>
      <w:szCs w:val="22"/>
    </w:rPr>
  </w:style>
  <w:style w:type="paragraph" w:styleId="ad">
    <w:name w:val="footnote text"/>
    <w:basedOn w:val="a"/>
    <w:link w:val="Char5"/>
    <w:uiPriority w:val="99"/>
    <w:semiHidden/>
    <w:unhideWhenUsed/>
    <w:rsid w:val="004370B0"/>
    <w:pPr>
      <w:snapToGrid w:val="0"/>
      <w:jc w:val="left"/>
    </w:pPr>
    <w:rPr>
      <w:sz w:val="18"/>
      <w:szCs w:val="18"/>
    </w:rPr>
  </w:style>
  <w:style w:type="character" w:customStyle="1" w:styleId="Char5">
    <w:name w:val="脚注文本 Char"/>
    <w:basedOn w:val="a0"/>
    <w:link w:val="ad"/>
    <w:uiPriority w:val="99"/>
    <w:semiHidden/>
    <w:rsid w:val="004370B0"/>
    <w:rPr>
      <w:rFonts w:asciiTheme="minorHAnsi" w:eastAsiaTheme="minorEastAsia" w:hAnsiTheme="minorHAnsi" w:cstheme="minorBidi"/>
      <w:kern w:val="2"/>
      <w:sz w:val="18"/>
      <w:szCs w:val="18"/>
    </w:rPr>
  </w:style>
  <w:style w:type="character" w:styleId="ae">
    <w:name w:val="footnote reference"/>
    <w:basedOn w:val="a0"/>
    <w:uiPriority w:val="99"/>
    <w:semiHidden/>
    <w:unhideWhenUsed/>
    <w:rsid w:val="004370B0"/>
    <w:rPr>
      <w:vertAlign w:val="superscript"/>
    </w:rPr>
  </w:style>
  <w:style w:type="character" w:customStyle="1" w:styleId="UnresolvedMention">
    <w:name w:val="Unresolved Mention"/>
    <w:basedOn w:val="a0"/>
    <w:uiPriority w:val="99"/>
    <w:semiHidden/>
    <w:unhideWhenUsed/>
    <w:rsid w:val="00093FBB"/>
    <w:rPr>
      <w:color w:val="808080"/>
      <w:shd w:val="clear" w:color="auto" w:fill="E6E6E6"/>
    </w:rPr>
  </w:style>
  <w:style w:type="character" w:styleId="af">
    <w:name w:val="Strong"/>
    <w:basedOn w:val="a0"/>
    <w:uiPriority w:val="22"/>
    <w:qFormat/>
    <w:rsid w:val="001649DB"/>
    <w:rPr>
      <w:b/>
      <w:bCs/>
    </w:rPr>
  </w:style>
  <w:style w:type="paragraph" w:styleId="af0">
    <w:name w:val="Revision"/>
    <w:hidden/>
    <w:uiPriority w:val="99"/>
    <w:semiHidden/>
    <w:rsid w:val="004C30D4"/>
    <w:rPr>
      <w:rFonts w:asciiTheme="minorHAnsi" w:eastAsiaTheme="minorEastAsia" w:hAnsiTheme="minorHAnsi" w:cstheme="minorBidi"/>
      <w:kern w:val="2"/>
      <w:sz w:val="21"/>
      <w:szCs w:val="22"/>
    </w:rPr>
  </w:style>
  <w:style w:type="paragraph" w:styleId="HTML">
    <w:name w:val="HTML Preformatted"/>
    <w:basedOn w:val="a"/>
    <w:link w:val="HTMLChar"/>
    <w:uiPriority w:val="99"/>
    <w:unhideWhenUsed/>
    <w:rsid w:val="004A6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4A6C28"/>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848443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z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66123A9B-1933-4F35-9451-B13315205A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4</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胡思思</dc:creator>
  <cp:lastModifiedBy>JonMMx 2000</cp:lastModifiedBy>
  <cp:revision>2</cp:revision>
  <cp:lastPrinted>2020-05-19T08:26:00Z</cp:lastPrinted>
  <dcterms:created xsi:type="dcterms:W3CDTF">2020-05-19T16:00:00Z</dcterms:created>
  <dcterms:modified xsi:type="dcterms:W3CDTF">2020-05-19T16:00:00Z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