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31" w:rsidRDefault="000A7C50">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关于增加和</w:t>
      </w:r>
      <w:r w:rsidR="00E10AA6">
        <w:rPr>
          <w:rFonts w:ascii="黑体" w:eastAsia="黑体" w:cs="黑体" w:hint="eastAsia"/>
          <w:kern w:val="0"/>
          <w:sz w:val="30"/>
          <w:szCs w:val="30"/>
        </w:rPr>
        <w:t>玄元保险代理有限</w:t>
      </w:r>
      <w:r>
        <w:rPr>
          <w:rFonts w:ascii="黑体" w:eastAsia="黑体" w:cs="黑体" w:hint="eastAsia"/>
          <w:kern w:val="0"/>
          <w:sz w:val="30"/>
          <w:szCs w:val="30"/>
        </w:rPr>
        <w:t>公司为旗下基金销售机构同时</w:t>
      </w:r>
    </w:p>
    <w:p w:rsidR="000A7C50" w:rsidRDefault="000A7C50">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开通定投及转换业务并参与其费率优惠活动的公告</w:t>
      </w:r>
    </w:p>
    <w:p w:rsidR="000A7C50" w:rsidRPr="00662262" w:rsidRDefault="000A7C50" w:rsidP="00662262">
      <w:pPr>
        <w:autoSpaceDE w:val="0"/>
        <w:autoSpaceDN w:val="0"/>
        <w:adjustRightInd w:val="0"/>
        <w:spacing w:beforeLines="200" w:line="360" w:lineRule="auto"/>
        <w:ind w:firstLineChars="250" w:firstLine="550"/>
        <w:jc w:val="left"/>
        <w:rPr>
          <w:rFonts w:ascii="宋体" w:hAnsi="宋体" w:cs="仿宋_GB2312" w:hint="eastAsia"/>
          <w:color w:val="000000"/>
          <w:kern w:val="0"/>
          <w:sz w:val="22"/>
          <w:szCs w:val="22"/>
        </w:rPr>
      </w:pPr>
      <w:r w:rsidRPr="00662262">
        <w:rPr>
          <w:rFonts w:ascii="宋体" w:hAnsi="宋体" w:cs="仿宋_GB2312" w:hint="eastAsia"/>
          <w:kern w:val="0"/>
          <w:sz w:val="22"/>
          <w:szCs w:val="22"/>
        </w:rPr>
        <w:t>经东方基金管理有限责任公司（以下简称“本公司”）与</w:t>
      </w:r>
      <w:r w:rsidR="00E10AA6">
        <w:rPr>
          <w:rFonts w:ascii="宋体" w:hAnsi="宋体" w:cs="仿宋_GB2312" w:hint="eastAsia"/>
          <w:kern w:val="0"/>
          <w:sz w:val="22"/>
          <w:szCs w:val="22"/>
        </w:rPr>
        <w:t>玄元保险代理有限公司</w:t>
      </w:r>
      <w:r w:rsidRPr="00662262">
        <w:rPr>
          <w:rFonts w:ascii="宋体" w:hAnsi="宋体" w:cs="仿宋_GB2312" w:hint="eastAsia"/>
          <w:kern w:val="0"/>
          <w:sz w:val="22"/>
          <w:szCs w:val="22"/>
        </w:rPr>
        <w:t>（以下简称“</w:t>
      </w:r>
      <w:r w:rsidR="00E10AA6">
        <w:rPr>
          <w:rFonts w:ascii="宋体" w:hAnsi="宋体" w:cs="仿宋_GB2312" w:hint="eastAsia"/>
          <w:kern w:val="0"/>
          <w:sz w:val="22"/>
          <w:szCs w:val="22"/>
        </w:rPr>
        <w:t>玄元保险</w:t>
      </w:r>
      <w:r w:rsidRPr="00662262">
        <w:rPr>
          <w:rFonts w:ascii="宋体" w:hAnsi="宋体" w:cs="仿宋_GB2312" w:hint="eastAsia"/>
          <w:kern w:val="0"/>
          <w:sz w:val="22"/>
          <w:szCs w:val="22"/>
        </w:rPr>
        <w:t>”）协商一致，自</w:t>
      </w:r>
      <w:r w:rsidR="00EC09AB" w:rsidRPr="00662262">
        <w:rPr>
          <w:rFonts w:ascii="宋体" w:hAnsi="宋体" w:cs="仿宋_GB2312" w:hint="eastAsia"/>
          <w:kern w:val="0"/>
          <w:sz w:val="22"/>
          <w:szCs w:val="22"/>
        </w:rPr>
        <w:t>2020年5月18</w:t>
      </w:r>
      <w:r w:rsidRPr="00662262">
        <w:rPr>
          <w:rFonts w:ascii="宋体" w:hAnsi="宋体" w:cs="仿宋_GB2312" w:hint="eastAsia"/>
          <w:kern w:val="0"/>
          <w:sz w:val="22"/>
          <w:szCs w:val="22"/>
        </w:rPr>
        <w:t>日起，</w:t>
      </w:r>
      <w:r w:rsidRPr="00662262">
        <w:rPr>
          <w:rFonts w:ascii="宋体" w:hAnsi="宋体" w:cs="仿宋_GB2312" w:hint="eastAsia"/>
          <w:color w:val="000000"/>
          <w:kern w:val="0"/>
          <w:sz w:val="22"/>
          <w:szCs w:val="22"/>
        </w:rPr>
        <w:t>将新增</w:t>
      </w:r>
      <w:r w:rsidR="00E10AA6">
        <w:rPr>
          <w:rFonts w:ascii="宋体" w:hAnsi="宋体" w:cs="仿宋_GB2312" w:hint="eastAsia"/>
          <w:kern w:val="0"/>
          <w:sz w:val="22"/>
          <w:szCs w:val="22"/>
        </w:rPr>
        <w:t>玄元保险</w:t>
      </w:r>
      <w:r w:rsidRPr="00662262">
        <w:rPr>
          <w:rFonts w:ascii="宋体" w:hAnsi="宋体" w:cs="仿宋_GB2312" w:hint="eastAsia"/>
          <w:color w:val="000000"/>
          <w:kern w:val="0"/>
          <w:sz w:val="22"/>
          <w:szCs w:val="22"/>
        </w:rPr>
        <w:t>办理本公司旗下部分基金的销售业务（仅限前端申购模式）。现将有关事项公告如下：</w:t>
      </w:r>
    </w:p>
    <w:p w:rsidR="000A7C50" w:rsidRPr="00662262"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sidRPr="00662262">
        <w:rPr>
          <w:rFonts w:hint="eastAsia"/>
          <w:b/>
          <w:color w:val="000000"/>
          <w:sz w:val="24"/>
        </w:rPr>
        <w:t>适用基金及业务范围</w:t>
      </w:r>
    </w:p>
    <w:p w:rsidR="000A7C50" w:rsidRPr="00662262" w:rsidRDefault="000A7C50">
      <w:pPr>
        <w:rPr>
          <w:vanish/>
        </w:rPr>
      </w:pPr>
    </w:p>
    <w:tbl>
      <w:tblPr>
        <w:tblW w:w="8647" w:type="dxa"/>
        <w:tblInd w:w="108" w:type="dxa"/>
        <w:tblLayout w:type="fixed"/>
        <w:tblLook w:val="0000"/>
      </w:tblPr>
      <w:tblGrid>
        <w:gridCol w:w="709"/>
        <w:gridCol w:w="2977"/>
        <w:gridCol w:w="1257"/>
        <w:gridCol w:w="1578"/>
        <w:gridCol w:w="2126"/>
      </w:tblGrid>
      <w:tr w:rsidR="000A7C50" w:rsidRPr="00662262" w:rsidTr="00662262">
        <w:trPr>
          <w:trHeight w:val="1440"/>
        </w:trPr>
        <w:tc>
          <w:tcPr>
            <w:tcW w:w="709" w:type="dxa"/>
            <w:tcBorders>
              <w:top w:val="single" w:sz="8" w:space="0" w:color="auto"/>
              <w:left w:val="single" w:sz="8" w:space="0" w:color="auto"/>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b/>
                <w:bCs/>
                <w:color w:val="000000"/>
                <w:kern w:val="0"/>
                <w:sz w:val="22"/>
                <w:szCs w:val="22"/>
              </w:rPr>
            </w:pPr>
            <w:r w:rsidRPr="00662262">
              <w:rPr>
                <w:rFonts w:ascii="宋体" w:hAnsi="宋体" w:cs="宋体" w:hint="eastAsia"/>
                <w:b/>
                <w:bCs/>
                <w:color w:val="000000"/>
                <w:kern w:val="0"/>
                <w:sz w:val="22"/>
                <w:szCs w:val="22"/>
              </w:rPr>
              <w:t>序号</w:t>
            </w:r>
          </w:p>
        </w:tc>
        <w:tc>
          <w:tcPr>
            <w:tcW w:w="2977"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基金名称</w:t>
            </w:r>
          </w:p>
        </w:tc>
        <w:tc>
          <w:tcPr>
            <w:tcW w:w="1257"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基金代码</w:t>
            </w:r>
          </w:p>
        </w:tc>
        <w:tc>
          <w:tcPr>
            <w:tcW w:w="1578"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开户</w:t>
            </w:r>
            <w:r w:rsidRPr="00662262">
              <w:rPr>
                <w:rFonts w:ascii="宋体" w:hAnsi="宋体" w:cs="宋体" w:hint="eastAsia"/>
                <w:color w:val="000000"/>
                <w:kern w:val="0"/>
                <w:sz w:val="22"/>
                <w:szCs w:val="22"/>
              </w:rPr>
              <w:t>、</w:t>
            </w:r>
            <w:r w:rsidRPr="00662262">
              <w:rPr>
                <w:rFonts w:ascii="宋体" w:hAnsi="宋体" w:cs="宋体" w:hint="eastAsia"/>
                <w:b/>
                <w:bCs/>
                <w:color w:val="000000"/>
                <w:kern w:val="0"/>
                <w:sz w:val="22"/>
                <w:szCs w:val="22"/>
              </w:rPr>
              <w:t>申（认）购</w:t>
            </w:r>
            <w:r w:rsidRPr="00662262">
              <w:rPr>
                <w:rFonts w:ascii="宋体" w:hAnsi="宋体" w:cs="宋体" w:hint="eastAsia"/>
                <w:color w:val="000000"/>
                <w:kern w:val="0"/>
                <w:sz w:val="22"/>
                <w:szCs w:val="22"/>
              </w:rPr>
              <w:t>、</w:t>
            </w:r>
            <w:r w:rsidRPr="00662262">
              <w:rPr>
                <w:rFonts w:ascii="宋体" w:hAnsi="宋体" w:cs="宋体" w:hint="eastAsia"/>
                <w:b/>
                <w:bCs/>
                <w:color w:val="000000"/>
                <w:kern w:val="0"/>
                <w:sz w:val="22"/>
                <w:szCs w:val="22"/>
              </w:rPr>
              <w:t>赎回、定期定额投资、转换业务</w:t>
            </w:r>
          </w:p>
        </w:tc>
        <w:tc>
          <w:tcPr>
            <w:tcW w:w="2126"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是否参与申（认）购（含转换转入）费率优惠及定投费率优惠活动（仅限前端申购模式）</w:t>
            </w:r>
          </w:p>
        </w:tc>
      </w:tr>
      <w:tr w:rsidR="000A7C50" w:rsidRPr="00662262" w:rsidTr="00662262">
        <w:trPr>
          <w:trHeight w:val="64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东方龙混合型开放式证券投资基金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东方精选混合型开放式证券投资基金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400003</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9"/>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东方金账簿货币市场证券投资基金A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0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东方金账簿货币市场证券投资基金B</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东方策略成长混合型开放式证券投资基金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400007</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东方稳健回报债券型证券投资基金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400009</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东方核心动力混合型证券投资基金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400011</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东方成长收益灵活配置混合型证券投资基金A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东方成长收益灵活配置混合型证券投资基金C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007687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东方新能源汽车主题混合型证券投资基金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东方强化收益债券型证券投资基金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47"/>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东方成长回报平衡混合型证券投资基金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75"/>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lastRenderedPageBreak/>
              <w:t>13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东方多策略灵活配置混合型证券投资基金A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45"/>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东方多策略灵活配置混合型证券投资基金C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002068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1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东方新兴成长混合型证券投资基金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东方双债添利债券型证券投资基金A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东方双债添利债券型证券投资基金C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400029</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东方添益债券型证券投资基金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400030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东方主题精选混合型证券投资基金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400032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东方睿鑫热点挖掘灵活配置混合型证券投资基金A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001120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82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东方睿鑫热点挖掘灵活配置混合型证券投资基金C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001121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7"/>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东方鼎新灵活配置混合型证券投资基金A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001196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东方鼎新灵活配置混合型证券投资基金C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002192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东方金元宝货币市场基金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001987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4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东方惠新灵活配置混合型证券投资基金A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001198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2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东方惠新灵活配置混合型证券投资基金C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002163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东方新策略灵活配置混合型证券投资基金A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001318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东方新策略灵活配置混合型证券投资基金C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002060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东方新思路灵活配置混合型证券投资基金A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001384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东方新思路灵活配置混合型证券投资基金C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001385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东方新价值混合型证券投资基金A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001495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5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东方新价值混合型证券投资基金C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002162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5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lastRenderedPageBreak/>
              <w:t>33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东方创新科技混合型证券投资基金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001702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东方互联网嘉混合型证券投资基金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002174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东方盛世灵活配置混合型证券投资基金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002497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21"/>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东方区域发展混合型证券投资基金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001614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东方岳灵活配置混合型证券投资基金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002545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东方臻享纯债债券型证券投资基金A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003837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东方臻享纯债债券型证券投资基金C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003838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东方民丰回报赢安混合型证券投资基金A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004005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东方民丰回报赢安混合型证券投资基金C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004006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6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东方价值挖掘灵活配置混合型证券投资基金A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004166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6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东方价值挖掘灵活配置混合型证券投资基金C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007686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东方周期优选灵活配置混合型证券投资基金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004244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东方支柱产业灵活配置混合型证券投资基金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004205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东方量化成长灵活配置混合型证券投资基金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005616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312"/>
        </w:trPr>
        <w:tc>
          <w:tcPr>
            <w:tcW w:w="709"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47</w:t>
            </w:r>
          </w:p>
        </w:tc>
        <w:tc>
          <w:tcPr>
            <w:tcW w:w="2977"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东方臻宝纯债债券型证券投资基金A</w:t>
            </w:r>
          </w:p>
        </w:tc>
        <w:tc>
          <w:tcPr>
            <w:tcW w:w="1257"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006210</w:t>
            </w:r>
          </w:p>
        </w:tc>
        <w:tc>
          <w:tcPr>
            <w:tcW w:w="1578"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312"/>
        </w:trPr>
        <w:tc>
          <w:tcPr>
            <w:tcW w:w="709"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1257"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1578"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2126"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东方臻宝纯债债券型证券投资基金C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东方臻选纯债债券型证券投资基金A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东方臻选纯债债券型证券投资基金C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东方人工智能主题混合型证券投资基金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005844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东方量化多策略混合型证券投资基金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006785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东方城镇消费主题混合型证券投资基金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006235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东方金证通货币市场基金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002243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bl>
    <w:p w:rsidR="000A7C50" w:rsidRDefault="000A7C50">
      <w:pPr>
        <w:spacing w:line="440" w:lineRule="exact"/>
        <w:jc w:val="left"/>
        <w:rPr>
          <w:rFonts w:ascii="宋体" w:hAnsi="宋体"/>
          <w:szCs w:val="21"/>
        </w:rPr>
      </w:pPr>
      <w:r>
        <w:rPr>
          <w:rFonts w:ascii="宋体" w:hAnsi="宋体" w:hint="eastAsia"/>
          <w:szCs w:val="21"/>
        </w:rPr>
        <w:t>备注</w:t>
      </w:r>
      <w:r>
        <w:rPr>
          <w:rFonts w:ascii="宋体" w:hAnsi="宋体"/>
          <w:szCs w:val="21"/>
        </w:rPr>
        <w:t>：</w:t>
      </w:r>
    </w:p>
    <w:p w:rsidR="000A7C50" w:rsidRDefault="000A7C50">
      <w:pPr>
        <w:numPr>
          <w:ilvl w:val="0"/>
          <w:numId w:val="3"/>
        </w:numPr>
        <w:spacing w:line="440" w:lineRule="exact"/>
        <w:jc w:val="left"/>
        <w:rPr>
          <w:szCs w:val="21"/>
        </w:rPr>
      </w:pPr>
      <w:r>
        <w:rPr>
          <w:rFonts w:hint="eastAsia"/>
          <w:szCs w:val="21"/>
        </w:rPr>
        <w:t>东方金账簿货币市场证券投资基金</w:t>
      </w:r>
      <w:r>
        <w:rPr>
          <w:rFonts w:ascii="宋体" w:hAnsi="宋体" w:hint="eastAsia"/>
          <w:szCs w:val="21"/>
        </w:rPr>
        <w:t>B单笔申购申请最低限额为500万元。若</w:t>
      </w:r>
      <w:r>
        <w:rPr>
          <w:rFonts w:hint="eastAsia"/>
          <w:szCs w:val="21"/>
        </w:rPr>
        <w:t>东方金账簿货币市场证券投资基金</w:t>
      </w:r>
      <w:r>
        <w:rPr>
          <w:rFonts w:ascii="宋体" w:hAnsi="宋体" w:hint="eastAsia"/>
          <w:szCs w:val="21"/>
        </w:rPr>
        <w:t>A的基金份额持有人在单个基金账户保留的基金份额达到或超过500万份时，本基金登记机构自动将其在该基金账户持有的</w:t>
      </w:r>
      <w:r>
        <w:rPr>
          <w:rFonts w:hint="eastAsia"/>
          <w:szCs w:val="21"/>
        </w:rPr>
        <w:t>东方金账簿货币市场证券投资基金</w:t>
      </w:r>
      <w:r>
        <w:rPr>
          <w:rFonts w:ascii="宋体" w:hAnsi="宋体" w:hint="eastAsia"/>
          <w:szCs w:val="21"/>
        </w:rPr>
        <w:t>A升级为</w:t>
      </w:r>
      <w:r>
        <w:rPr>
          <w:rFonts w:hint="eastAsia"/>
          <w:szCs w:val="21"/>
        </w:rPr>
        <w:t>东方金账簿货币市场证券投资基金</w:t>
      </w:r>
      <w:r>
        <w:rPr>
          <w:rFonts w:ascii="宋体" w:hAnsi="宋体" w:hint="eastAsia"/>
          <w:szCs w:val="21"/>
        </w:rPr>
        <w:t>B。若</w:t>
      </w:r>
      <w:r>
        <w:rPr>
          <w:rFonts w:hint="eastAsia"/>
          <w:szCs w:val="21"/>
        </w:rPr>
        <w:t>东方金账簿货币市场证券投资基金</w:t>
      </w:r>
      <w:r>
        <w:rPr>
          <w:rFonts w:ascii="宋体" w:hAnsi="宋体" w:hint="eastAsia"/>
          <w:szCs w:val="21"/>
        </w:rPr>
        <w:t>B的基金份额持有人在单个基金账户保留的基金份额低于500万份时，本基金登记机构自动将其在该基金账户持有的</w:t>
      </w:r>
      <w:r>
        <w:rPr>
          <w:rFonts w:hint="eastAsia"/>
          <w:szCs w:val="21"/>
        </w:rPr>
        <w:t>东方金账簿货币市场证券投资基金</w:t>
      </w:r>
      <w:r>
        <w:rPr>
          <w:rFonts w:ascii="宋体" w:hAnsi="宋体" w:hint="eastAsia"/>
          <w:szCs w:val="21"/>
        </w:rPr>
        <w:t>B降级为</w:t>
      </w:r>
      <w:r>
        <w:rPr>
          <w:rFonts w:hint="eastAsia"/>
          <w:szCs w:val="21"/>
        </w:rPr>
        <w:t>东方金账簿货币市场证券投资基金</w:t>
      </w:r>
      <w:r>
        <w:rPr>
          <w:rFonts w:ascii="宋体" w:hAnsi="宋体" w:hint="eastAsia"/>
          <w:szCs w:val="21"/>
        </w:rPr>
        <w:t>A。</w:t>
      </w:r>
    </w:p>
    <w:p w:rsidR="000A7C50" w:rsidRDefault="000A7C50">
      <w:pPr>
        <w:numPr>
          <w:ilvl w:val="0"/>
          <w:numId w:val="3"/>
        </w:numPr>
        <w:spacing w:line="440" w:lineRule="exact"/>
        <w:jc w:val="left"/>
        <w:rPr>
          <w:rFonts w:hint="eastAsia"/>
          <w:szCs w:val="21"/>
        </w:rPr>
      </w:pPr>
      <w:r>
        <w:rPr>
          <w:rFonts w:hint="eastAsia"/>
          <w:szCs w:val="21"/>
        </w:rPr>
        <w:t>自</w:t>
      </w:r>
      <w:r>
        <w:rPr>
          <w:szCs w:val="21"/>
        </w:rPr>
        <w:t>2018</w:t>
      </w:r>
      <w:r>
        <w:rPr>
          <w:rFonts w:hint="eastAsia"/>
          <w:szCs w:val="21"/>
        </w:rPr>
        <w:t>年</w:t>
      </w:r>
      <w:r>
        <w:rPr>
          <w:szCs w:val="21"/>
        </w:rPr>
        <w:t>11</w:t>
      </w:r>
      <w:r>
        <w:rPr>
          <w:rFonts w:hint="eastAsia"/>
          <w:szCs w:val="21"/>
        </w:rPr>
        <w:t>月</w:t>
      </w:r>
      <w:r>
        <w:rPr>
          <w:szCs w:val="21"/>
        </w:rPr>
        <w:t>20</w:t>
      </w:r>
      <w:r>
        <w:rPr>
          <w:rFonts w:hint="eastAsia"/>
          <w:szCs w:val="21"/>
        </w:rPr>
        <w:t>日起，本基金管理人暂停接受对东方臻选纯债债券型证券投资基金的单笔金额</w:t>
      </w:r>
      <w:r>
        <w:rPr>
          <w:szCs w:val="21"/>
        </w:rPr>
        <w:t>100</w:t>
      </w:r>
      <w:r>
        <w:rPr>
          <w:rFonts w:hint="eastAsia"/>
          <w:szCs w:val="21"/>
        </w:rPr>
        <w:t>万以上（不含</w:t>
      </w:r>
      <w:r>
        <w:rPr>
          <w:szCs w:val="21"/>
        </w:rPr>
        <w:t>100</w:t>
      </w:r>
      <w:r>
        <w:rPr>
          <w:rFonts w:hint="eastAsia"/>
          <w:szCs w:val="21"/>
        </w:rPr>
        <w:t>万）申购（包括日常申购和定期定额申购）、转换转入申请，且单个基金账户单日累计申购（包括日常申购和定期定额申购）及转换转入金额不得超过</w:t>
      </w:r>
      <w:r>
        <w:rPr>
          <w:szCs w:val="21"/>
        </w:rPr>
        <w:t>100</w:t>
      </w:r>
      <w:r>
        <w:rPr>
          <w:rFonts w:hint="eastAsia"/>
          <w:szCs w:val="21"/>
        </w:rPr>
        <w:t>万元（不含</w:t>
      </w:r>
      <w:r>
        <w:rPr>
          <w:szCs w:val="21"/>
        </w:rPr>
        <w:t>100</w:t>
      </w:r>
      <w:r>
        <w:rPr>
          <w:rFonts w:hint="eastAsia"/>
          <w:szCs w:val="21"/>
        </w:rPr>
        <w:t>万元）。对于超过限额的申请，本基金管理人有权拒绝，不予确认。</w:t>
      </w:r>
    </w:p>
    <w:p w:rsidR="000A7C50" w:rsidRDefault="000A7C50">
      <w:pPr>
        <w:numPr>
          <w:ilvl w:val="0"/>
          <w:numId w:val="3"/>
        </w:numPr>
        <w:spacing w:line="440" w:lineRule="exact"/>
        <w:jc w:val="left"/>
        <w:rPr>
          <w:rFonts w:ascii="宋体" w:hAnsi="宋体"/>
          <w:color w:val="000000"/>
          <w:szCs w:val="21"/>
        </w:rPr>
      </w:pPr>
      <w:r>
        <w:rPr>
          <w:rFonts w:ascii="宋体" w:hAnsi="宋体" w:hint="eastAsia"/>
          <w:szCs w:val="21"/>
        </w:rPr>
        <w:t>自2019年2月25日起，本基金管理人接受通过代销机构办理东方金证通货币市场基金单笔金额5000万元以下（含5000万元）的申购业务(本基金未开通转换及定期定额投资业务)，且对单个基金账户单日累计申购金额5000万元以下（含5000万元）的申请予以确认；单笔金额5000万以上的申购申请，本基金管理人有权不予确认，且单个基金账户单日累计申购金额超过5000万元（不含5000万元）的申请，对于超过限额的申请，本基金管理人有权拒绝，不予确认。</w:t>
      </w:r>
    </w:p>
    <w:p w:rsidR="000A7C50" w:rsidRDefault="000A7C50">
      <w:pPr>
        <w:numPr>
          <w:ilvl w:val="0"/>
          <w:numId w:val="3"/>
        </w:numPr>
        <w:spacing w:line="440" w:lineRule="exact"/>
        <w:jc w:val="left"/>
        <w:rPr>
          <w:szCs w:val="21"/>
        </w:rPr>
      </w:pPr>
      <w:r>
        <w:rPr>
          <w:rFonts w:ascii="宋体" w:hAnsi="宋体" w:hint="eastAsia"/>
          <w:color w:val="000000"/>
          <w:szCs w:val="21"/>
        </w:rPr>
        <w:t>本基金管理人决定自2019年3月21日起，接受通过所有销售渠道办理</w:t>
      </w:r>
      <w:r>
        <w:rPr>
          <w:rFonts w:hint="eastAsia"/>
          <w:szCs w:val="21"/>
        </w:rPr>
        <w:t>东方金元宝货币市场</w:t>
      </w:r>
      <w:r>
        <w:rPr>
          <w:rFonts w:ascii="宋体" w:hAnsi="宋体" w:hint="eastAsia"/>
          <w:color w:val="000000"/>
          <w:szCs w:val="21"/>
        </w:rPr>
        <w:t>基金单笔金额6,000万元以下（含6,000万元）的申购（包含日常申购和定期定额申购）、转换转入业务，且对单个基金账户单日累计申购金额6,000万元以下（含6,000万元）的申请予以确认；单笔金额6,000万元以上（不含6,000万元）的申购（包括日常申购和定期定额申购）、转换转入申请，本基金管理人有权不予确认，且单个基金账户单日累计申购（包括日常申购和定期定额申购）及转换转入金额超过6,000万元（不含6,000万元）的申请，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6月21日起，本基金管理人暂停接受对东方新策略灵活配置混合型证券投资基金（含A、C类）的单笔金额100万元以上（不含100万元）申购（包括日常申购和定期定额申购）、转换转入申请，且单个基金账户单日累计申购（包括日常申购和定期定额申购）及转换转入金额不得超过100万元（不含100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自2019年7月5 日起，本基金管理人暂停接受对东方价值挖掘灵活配置混合型证券投资基金（含A、C类）的单笔金额5万元以上（不含5万元）申购（包括日常申购和定期定额申购）、转换转入申请，且单个基金账户单日累计申购（包括日常申购和定期定额申购）及转换转入金额不得超过5万元（不含5万元）。对于超过限额的申请，本基金管理人有权拒绝，不予确认。</w:t>
      </w:r>
    </w:p>
    <w:p w:rsidR="000A7C50" w:rsidRDefault="000A7C50">
      <w:pPr>
        <w:numPr>
          <w:ilvl w:val="0"/>
          <w:numId w:val="3"/>
        </w:numPr>
        <w:spacing w:line="440" w:lineRule="exact"/>
        <w:jc w:val="left"/>
        <w:rPr>
          <w:szCs w:val="21"/>
        </w:rPr>
      </w:pPr>
      <w:r>
        <w:rPr>
          <w:szCs w:val="21"/>
        </w:rPr>
        <w:t>自</w:t>
      </w:r>
      <w:r>
        <w:rPr>
          <w:szCs w:val="21"/>
        </w:rPr>
        <w:t>201</w:t>
      </w:r>
      <w:r>
        <w:rPr>
          <w:rFonts w:hint="eastAsia"/>
          <w:szCs w:val="21"/>
        </w:rPr>
        <w:t>9</w:t>
      </w:r>
      <w:r>
        <w:rPr>
          <w:szCs w:val="21"/>
        </w:rPr>
        <w:t>年</w:t>
      </w:r>
      <w:r>
        <w:rPr>
          <w:szCs w:val="21"/>
        </w:rPr>
        <w:t>7</w:t>
      </w:r>
      <w:r>
        <w:rPr>
          <w:szCs w:val="21"/>
        </w:rPr>
        <w:t>月</w:t>
      </w:r>
      <w:r>
        <w:rPr>
          <w:szCs w:val="21"/>
        </w:rPr>
        <w:t>1</w:t>
      </w:r>
      <w:r>
        <w:rPr>
          <w:rFonts w:hint="eastAsia"/>
          <w:szCs w:val="21"/>
        </w:rPr>
        <w:t>7</w:t>
      </w:r>
      <w:r>
        <w:rPr>
          <w:szCs w:val="21"/>
        </w:rPr>
        <w:t>日起，本基金管理人暂停接受</w:t>
      </w:r>
      <w:r>
        <w:rPr>
          <w:rFonts w:hint="eastAsia"/>
          <w:szCs w:val="21"/>
        </w:rPr>
        <w:t>东方岳灵活配置混合型证券投资基金</w:t>
      </w:r>
      <w:r>
        <w:rPr>
          <w:szCs w:val="21"/>
        </w:rPr>
        <w:t>所有销售渠道的单笔金额</w:t>
      </w:r>
      <w:r>
        <w:rPr>
          <w:szCs w:val="21"/>
        </w:rPr>
        <w:t>5</w:t>
      </w:r>
      <w:r>
        <w:rPr>
          <w:szCs w:val="21"/>
        </w:rPr>
        <w:t>万以上（不含</w:t>
      </w:r>
      <w:r>
        <w:rPr>
          <w:szCs w:val="21"/>
        </w:rPr>
        <w:t>5</w:t>
      </w:r>
      <w:r>
        <w:rPr>
          <w:szCs w:val="21"/>
        </w:rPr>
        <w:t>万）申购（包括日常申购和定期定额申购）、转换转入申请，且单个基金账户单日累计申购（包括日常申购和定期定额申购）及转换转入金额不得超过</w:t>
      </w:r>
      <w:r>
        <w:rPr>
          <w:szCs w:val="21"/>
        </w:rPr>
        <w:t>5</w:t>
      </w:r>
      <w:r>
        <w:rPr>
          <w:szCs w:val="21"/>
        </w:rPr>
        <w:t>万元（不含</w:t>
      </w:r>
      <w:r>
        <w:rPr>
          <w:szCs w:val="21"/>
        </w:rPr>
        <w:t>5</w:t>
      </w:r>
      <w:r>
        <w:rPr>
          <w:szCs w:val="21"/>
        </w:rPr>
        <w:t>万元）。对于超过限额的申请，本基金管理人有权拒绝，不予确认</w:t>
      </w:r>
      <w:r>
        <w:rPr>
          <w:rFonts w:hint="eastAsia"/>
          <w:szCs w:val="21"/>
        </w:rPr>
        <w:t>。</w:t>
      </w:r>
    </w:p>
    <w:p w:rsidR="000A7C50" w:rsidRDefault="000A7C50">
      <w:pPr>
        <w:numPr>
          <w:ilvl w:val="0"/>
          <w:numId w:val="3"/>
        </w:numPr>
        <w:spacing w:line="440" w:lineRule="exact"/>
        <w:jc w:val="left"/>
        <w:rPr>
          <w:rFonts w:ascii="宋体" w:hAnsi="宋体"/>
          <w:szCs w:val="21"/>
        </w:rPr>
      </w:pPr>
      <w:r>
        <w:rPr>
          <w:rFonts w:ascii="宋体" w:hAnsi="宋体" w:hint="eastAsia"/>
          <w:szCs w:val="21"/>
        </w:rPr>
        <w:t>自2019年7月25日起，本基金管理人暂停接受对东方主题精选混合型证券投资基金的单笔金额1万元以上（不含1万元）申购（包括日常申购和定期定额申购）、转换转入申请，且单个基金账户单日累计申购（包括日常申购和定期定额申购）及转换转入金额不得超过1万元以上（不含1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自2019年11月4 日起，本基金管理人暂停接受对东方成长回报平衡混合型证券投资基金的单笔金额1万元以上（不含1万元）申购（包括日常申购和定期定额申购）、转换转入申请，且单个基金账户单日累计申购（包括日常申购和定期定额申购）及转换转入金额不得超过1万元（不含1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自2019年11月7 日起，本基金管理人暂停接受对东方鼎新灵活配置混合型证券投资基金（含A、C类）的单笔金额100万元以上（不含100万元）申购（包括日常申购和定期定额申购）、转换转入申请，且单个基金账户单日累计申购（包括日常申购和定期定额申购）及转换转入金额不得超过100万元（不含100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rPr>
          <w:szCs w:val="21"/>
        </w:rPr>
        <w:t>自</w:t>
      </w:r>
      <w:r>
        <w:rPr>
          <w:szCs w:val="21"/>
        </w:rPr>
        <w:t>2019</w:t>
      </w:r>
      <w:r>
        <w:rPr>
          <w:szCs w:val="21"/>
        </w:rPr>
        <w:t>年</w:t>
      </w:r>
      <w:r>
        <w:rPr>
          <w:rFonts w:hint="eastAsia"/>
          <w:szCs w:val="21"/>
        </w:rPr>
        <w:t>12</w:t>
      </w:r>
      <w:r>
        <w:rPr>
          <w:szCs w:val="21"/>
        </w:rPr>
        <w:t>月</w:t>
      </w:r>
      <w:r>
        <w:rPr>
          <w:rFonts w:hint="eastAsia"/>
          <w:szCs w:val="21"/>
        </w:rPr>
        <w:t>23</w:t>
      </w:r>
      <w:r>
        <w:rPr>
          <w:szCs w:val="21"/>
        </w:rPr>
        <w:t>日起，本基金管理人暂停接受对</w:t>
      </w:r>
      <w:r>
        <w:rPr>
          <w:rFonts w:hint="eastAsia"/>
          <w:szCs w:val="21"/>
        </w:rPr>
        <w:t>东方金账簿货币市场证券投资基金</w:t>
      </w:r>
      <w:r>
        <w:rPr>
          <w:szCs w:val="21"/>
        </w:rPr>
        <w:t>的单笔金额</w:t>
      </w:r>
      <w:r>
        <w:rPr>
          <w:rFonts w:hint="eastAsia"/>
          <w:szCs w:val="21"/>
        </w:rPr>
        <w:t>1</w:t>
      </w:r>
      <w:r>
        <w:rPr>
          <w:szCs w:val="21"/>
        </w:rPr>
        <w:t>亿以上（含</w:t>
      </w:r>
      <w:r>
        <w:rPr>
          <w:rFonts w:hint="eastAsia"/>
          <w:szCs w:val="21"/>
        </w:rPr>
        <w:t>1</w:t>
      </w:r>
      <w:r>
        <w:rPr>
          <w:szCs w:val="21"/>
        </w:rPr>
        <w:t>亿</w:t>
      </w:r>
      <w:r>
        <w:rPr>
          <w:rFonts w:hint="eastAsia"/>
          <w:szCs w:val="21"/>
        </w:rPr>
        <w:t>元</w:t>
      </w:r>
      <w:r>
        <w:rPr>
          <w:szCs w:val="21"/>
        </w:rPr>
        <w:t>）申购（包括日常申购和定期定额申购）、转换转入申请，且单个基金账户单日累计申购（包括日常申购和定期定额申购）及转换转入金额不得超过</w:t>
      </w:r>
      <w:r>
        <w:rPr>
          <w:rFonts w:hint="eastAsia"/>
          <w:szCs w:val="21"/>
        </w:rPr>
        <w:t>1</w:t>
      </w:r>
      <w:r>
        <w:rPr>
          <w:szCs w:val="21"/>
        </w:rPr>
        <w:t>亿（含</w:t>
      </w:r>
      <w:r>
        <w:rPr>
          <w:rFonts w:hint="eastAsia"/>
          <w:szCs w:val="21"/>
        </w:rPr>
        <w:t>1</w:t>
      </w:r>
      <w:r>
        <w:rPr>
          <w:szCs w:val="21"/>
        </w:rPr>
        <w:t>亿元）。对于超过限额的申请，本基金管理人有权拒绝，不予确认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12月31日起，本基金管理人暂停接受通过代销机构办理东方惠新灵活配置混合型证券投资基金（含A、C类）的单笔金额50万以上（不含50万）申购（包括日常申购和定期定额申购）、转换转入申请，且单个基金账户单日累计申购（包括日常申购和定期定额申购）及转换转入金额不得超过50万元（不含50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2020年1月15日起，本基金管理人暂停接受对东方核心动力混合型证券投资基金的单笔金额10万元以上（不含10万元）申购（包括日常申购和定期定额申购）、转换转入申请，且单个基金账户单日累计申购（包括日常申购和定期定额申购）及转换转入金额不得超过10万元（不含10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t>自</w:t>
      </w:r>
      <w:r>
        <w:t>2020</w:t>
      </w:r>
      <w:r>
        <w:t>年</w:t>
      </w:r>
      <w:r>
        <w:t>3</w:t>
      </w:r>
      <w:r>
        <w:t>月</w:t>
      </w:r>
      <w:r>
        <w:t>17</w:t>
      </w:r>
      <w:r>
        <w:t>日起，本基金管理人暂停接受对</w:t>
      </w:r>
      <w:r>
        <w:rPr>
          <w:rFonts w:hint="eastAsia"/>
        </w:rPr>
        <w:t>东方臻享纯债债券型证券投资基金（含</w:t>
      </w:r>
      <w:r>
        <w:rPr>
          <w:rFonts w:hint="eastAsia"/>
        </w:rPr>
        <w:t>A</w:t>
      </w:r>
      <w:r>
        <w:rPr>
          <w:rFonts w:hint="eastAsia"/>
        </w:rPr>
        <w:t>、</w:t>
      </w:r>
      <w:r>
        <w:rPr>
          <w:rFonts w:hint="eastAsia"/>
        </w:rPr>
        <w:t>C</w:t>
      </w:r>
      <w:r>
        <w:rPr>
          <w:rFonts w:hint="eastAsia"/>
        </w:rPr>
        <w:t>类）</w:t>
      </w:r>
      <w:r>
        <w:t>的单笔金额</w:t>
      </w:r>
      <w:r>
        <w:t>10</w:t>
      </w:r>
      <w:r>
        <w:t>万元以上（不含</w:t>
      </w:r>
      <w:r>
        <w:t>10</w:t>
      </w:r>
      <w:r>
        <w:t>万元）申购（包括日常申购和定期定额申购）、转换转入申请，且单个基金账户单日累计申购（包括日常申购和定期定额申购）及转换转入金额不得超过</w:t>
      </w:r>
      <w:r>
        <w:t>10</w:t>
      </w:r>
      <w:r>
        <w:t>万元（不含</w:t>
      </w:r>
      <w:r>
        <w:t>10</w:t>
      </w:r>
      <w:r>
        <w:t>万元）。对于超过限额的申请，本基金管理人有权拒绝，不予确认。</w:t>
      </w:r>
      <w:r>
        <w:t xml:space="preserve"> </w:t>
      </w:r>
    </w:p>
    <w:p w:rsidR="000A7C50" w:rsidRDefault="000A7C50">
      <w:pPr>
        <w:numPr>
          <w:ilvl w:val="0"/>
          <w:numId w:val="3"/>
        </w:numPr>
        <w:spacing w:line="440" w:lineRule="exact"/>
        <w:jc w:val="left"/>
        <w:rPr>
          <w:rFonts w:ascii="宋体" w:hAnsi="宋体" w:hint="eastAsia"/>
          <w:szCs w:val="21"/>
        </w:rPr>
      </w:pPr>
      <w:r>
        <w:t>自</w:t>
      </w:r>
      <w:r>
        <w:t>2020</w:t>
      </w:r>
      <w:r>
        <w:t>年</w:t>
      </w:r>
      <w:r>
        <w:t>4</w:t>
      </w:r>
      <w:r>
        <w:t>月</w:t>
      </w:r>
      <w:r>
        <w:t>3</w:t>
      </w:r>
      <w:r>
        <w:t>日起，本基金管理人暂停接受对</w:t>
      </w:r>
      <w:r>
        <w:rPr>
          <w:rFonts w:hint="eastAsia"/>
        </w:rPr>
        <w:t>东方臻宝纯债债券型证券投资基金（含</w:t>
      </w:r>
      <w:r>
        <w:rPr>
          <w:rFonts w:hint="eastAsia"/>
        </w:rPr>
        <w:t>A</w:t>
      </w:r>
      <w:r>
        <w:rPr>
          <w:rFonts w:hint="eastAsia"/>
        </w:rPr>
        <w:t>、</w:t>
      </w:r>
      <w:r>
        <w:rPr>
          <w:rFonts w:hint="eastAsia"/>
        </w:rPr>
        <w:t>C</w:t>
      </w:r>
      <w:r>
        <w:rPr>
          <w:rFonts w:hint="eastAsia"/>
        </w:rPr>
        <w:t>类）</w:t>
      </w:r>
      <w:r>
        <w:t>的单笔金额</w:t>
      </w:r>
      <w:r>
        <w:t>5</w:t>
      </w:r>
      <w:r>
        <w:t>万以上（不含</w:t>
      </w:r>
      <w:r>
        <w:t>5</w:t>
      </w:r>
      <w:r>
        <w:t>万）申购（包括日常申购和定期定额申购）、转换转入申请，且单个基金账户单日累计申购（包括日常申购和定期定额申购）及转换转入金额不得超过</w:t>
      </w:r>
      <w:r>
        <w:t>5</w:t>
      </w:r>
      <w:r>
        <w:t>万元（不含</w:t>
      </w:r>
      <w:r>
        <w:t>5</w:t>
      </w:r>
      <w:r>
        <w:t>万元）。对于超过限额的申请，本基金管理人有权拒绝，不予确认。</w:t>
      </w:r>
      <w:r>
        <w:t xml:space="preserve"> </w:t>
      </w:r>
    </w:p>
    <w:p w:rsidR="000A7C50" w:rsidRDefault="000A7C50">
      <w:pPr>
        <w:numPr>
          <w:ilvl w:val="0"/>
          <w:numId w:val="3"/>
        </w:numPr>
        <w:spacing w:line="440" w:lineRule="exact"/>
        <w:jc w:val="left"/>
        <w:rPr>
          <w:szCs w:val="21"/>
        </w:rPr>
      </w:pPr>
      <w:r>
        <w:rPr>
          <w:rFonts w:ascii="宋体" w:hAnsi="宋体" w:hint="eastAsia"/>
          <w:szCs w:val="21"/>
        </w:rPr>
        <w:t>自2020年4月30 日起，本基金管理人暂停接受对东方互联网嘉混合型证券投资基金的单笔金额1千元以上（不含1千元）申购（包括日常申购和定期定额申购）、转换转入申请，且单个基金账户单日累计申购（包括日常申购和定期定额申购）及转换转入金额不得超过1千元（不含1千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后续产品上线及业务开通事宜本公司将另行公告。</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适用</w:t>
      </w:r>
      <w:r>
        <w:rPr>
          <w:b/>
          <w:color w:val="000000"/>
          <w:sz w:val="24"/>
        </w:rPr>
        <w:t>优惠费率</w:t>
      </w:r>
    </w:p>
    <w:p w:rsidR="000A7C50" w:rsidRPr="00662262" w:rsidRDefault="000A7C50">
      <w:pPr>
        <w:spacing w:line="360" w:lineRule="auto"/>
        <w:ind w:firstLineChars="200" w:firstLine="440"/>
        <w:rPr>
          <w:rFonts w:ascii="宋体" w:hAnsi="宋体" w:cs="宋体" w:hint="eastAsia"/>
          <w:color w:val="000000"/>
          <w:sz w:val="22"/>
          <w:szCs w:val="22"/>
        </w:rPr>
      </w:pPr>
      <w:r w:rsidRPr="00662262">
        <w:rPr>
          <w:rFonts w:ascii="宋体" w:hAnsi="宋体" w:cs="宋体" w:hint="eastAsia"/>
          <w:color w:val="000000"/>
          <w:sz w:val="22"/>
          <w:szCs w:val="22"/>
        </w:rPr>
        <w:t>投资者通过</w:t>
      </w:r>
      <w:r w:rsidR="005447EB">
        <w:rPr>
          <w:rFonts w:ascii="宋体" w:hAnsi="宋体" w:cs="宋体" w:hint="eastAsia"/>
          <w:color w:val="000000"/>
          <w:sz w:val="22"/>
          <w:szCs w:val="22"/>
        </w:rPr>
        <w:t>玄元保险</w:t>
      </w:r>
      <w:r w:rsidRPr="00662262">
        <w:rPr>
          <w:rFonts w:ascii="宋体" w:hAnsi="宋体" w:cs="宋体" w:hint="eastAsia"/>
          <w:color w:val="000000"/>
          <w:sz w:val="22"/>
          <w:szCs w:val="22"/>
        </w:rPr>
        <w:t>申（认）购（仅限前端申购模式，含定期定额申购业务及转换转入）上述基金，享受费率最低1折优惠。原申</w:t>
      </w:r>
      <w:r w:rsidR="00073F65">
        <w:rPr>
          <w:rFonts w:ascii="宋体" w:hAnsi="宋体" w:cs="宋体" w:hint="eastAsia"/>
          <w:color w:val="000000"/>
          <w:sz w:val="22"/>
          <w:szCs w:val="22"/>
        </w:rPr>
        <w:t>(认)</w:t>
      </w:r>
      <w:r w:rsidRPr="00662262">
        <w:rPr>
          <w:rFonts w:ascii="宋体" w:hAnsi="宋体" w:cs="宋体" w:hint="eastAsia"/>
          <w:color w:val="000000"/>
          <w:sz w:val="22"/>
          <w:szCs w:val="22"/>
        </w:rPr>
        <w:t>购费率为固定费用的，则按原费用执行，不再享有费率折扣优惠。</w:t>
      </w:r>
    </w:p>
    <w:p w:rsidR="000A7C50" w:rsidRPr="00662262" w:rsidRDefault="000A7C50" w:rsidP="00662262">
      <w:pPr>
        <w:spacing w:line="360" w:lineRule="auto"/>
        <w:ind w:firstLineChars="200" w:firstLine="440"/>
        <w:rPr>
          <w:rFonts w:ascii="宋体" w:hAnsi="宋体" w:cs="宋体" w:hint="eastAsia"/>
          <w:color w:val="000000"/>
          <w:kern w:val="0"/>
          <w:sz w:val="22"/>
          <w:szCs w:val="22"/>
        </w:rPr>
      </w:pPr>
      <w:r w:rsidRPr="00662262">
        <w:rPr>
          <w:rFonts w:ascii="宋体" w:hAnsi="宋体" w:cs="宋体" w:hint="eastAsia"/>
          <w:color w:val="000000"/>
          <w:kern w:val="0"/>
          <w:sz w:val="22"/>
          <w:szCs w:val="22"/>
        </w:rPr>
        <w:t>费率优惠截止时间以</w:t>
      </w:r>
      <w:r w:rsidR="005447EB">
        <w:rPr>
          <w:rFonts w:ascii="宋体" w:hAnsi="宋体" w:cs="宋体" w:hint="eastAsia"/>
          <w:color w:val="000000"/>
          <w:kern w:val="0"/>
          <w:sz w:val="22"/>
          <w:szCs w:val="22"/>
        </w:rPr>
        <w:t>玄元保险</w:t>
      </w:r>
      <w:r w:rsidRPr="00662262">
        <w:rPr>
          <w:rFonts w:ascii="宋体" w:hAnsi="宋体" w:cs="宋体" w:hint="eastAsia"/>
          <w:color w:val="000000"/>
          <w:kern w:val="0"/>
          <w:sz w:val="22"/>
          <w:szCs w:val="22"/>
        </w:rPr>
        <w:t>官方公告为准，具体</w:t>
      </w:r>
      <w:r w:rsidRPr="00662262">
        <w:rPr>
          <w:rFonts w:ascii="宋体" w:hAnsi="宋体" w:cs="宋体"/>
          <w:color w:val="000000"/>
          <w:kern w:val="0"/>
          <w:sz w:val="22"/>
          <w:szCs w:val="22"/>
        </w:rPr>
        <w:t>业务规则</w:t>
      </w:r>
      <w:r w:rsidRPr="00662262">
        <w:rPr>
          <w:rFonts w:ascii="宋体" w:hAnsi="宋体" w:cs="宋体" w:hint="eastAsia"/>
          <w:color w:val="000000"/>
          <w:kern w:val="0"/>
          <w:sz w:val="22"/>
          <w:szCs w:val="22"/>
        </w:rPr>
        <w:t>及业务办理流程请遵守</w:t>
      </w:r>
      <w:r w:rsidR="005447EB">
        <w:rPr>
          <w:rFonts w:ascii="宋体" w:hAnsi="宋体" w:cs="宋体" w:hint="eastAsia"/>
          <w:color w:val="000000"/>
          <w:kern w:val="0"/>
          <w:sz w:val="22"/>
          <w:szCs w:val="22"/>
        </w:rPr>
        <w:t>玄元保险</w:t>
      </w:r>
      <w:r w:rsidRPr="00662262">
        <w:rPr>
          <w:rFonts w:ascii="宋体" w:hAnsi="宋体" w:cs="宋体" w:hint="eastAsia"/>
          <w:color w:val="000000"/>
          <w:kern w:val="0"/>
          <w:sz w:val="22"/>
          <w:szCs w:val="22"/>
        </w:rPr>
        <w:t>的具体规定。</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重要提示</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本次费率优惠活动仅限处于正常申（认）购期的开放式基金申（认）购（仅限前端申购模式，含定期定额投资和转换转入），不包括后端收费模式基金的申购及定期定额投资。</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上述基金费率请详见基金的《基金合同》和《招募说明书》等相关法律文件及本公司发布的最新业务公告。</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0A7C50" w:rsidRDefault="000A7C50">
      <w:pPr>
        <w:numPr>
          <w:ilvl w:val="0"/>
          <w:numId w:val="1"/>
        </w:numPr>
        <w:autoSpaceDE w:val="0"/>
        <w:autoSpaceDN w:val="0"/>
        <w:adjustRightInd w:val="0"/>
        <w:spacing w:beforeLines="50" w:afterLines="50" w:line="360" w:lineRule="auto"/>
        <w:ind w:left="584" w:hanging="584"/>
        <w:jc w:val="left"/>
        <w:rPr>
          <w:b/>
          <w:color w:val="000000"/>
          <w:sz w:val="24"/>
        </w:rPr>
      </w:pPr>
      <w:r>
        <w:rPr>
          <w:rFonts w:hint="eastAsia"/>
          <w:b/>
          <w:color w:val="000000"/>
          <w:sz w:val="24"/>
        </w:rPr>
        <w:t>投资者可通过以下途径咨询有关详情</w:t>
      </w:r>
    </w:p>
    <w:p w:rsidR="000A7C50" w:rsidRPr="00AF6C80" w:rsidRDefault="005447EB">
      <w:pPr>
        <w:numPr>
          <w:ilvl w:val="0"/>
          <w:numId w:val="5"/>
        </w:numPr>
        <w:spacing w:line="440" w:lineRule="exact"/>
        <w:jc w:val="left"/>
        <w:rPr>
          <w:rFonts w:ascii="宋体" w:hAnsi="宋体"/>
          <w:sz w:val="22"/>
          <w:szCs w:val="22"/>
        </w:rPr>
      </w:pPr>
      <w:r w:rsidRPr="00AF6C80">
        <w:rPr>
          <w:rFonts w:ascii="宋体" w:hAnsi="宋体" w:hint="eastAsia"/>
          <w:sz w:val="22"/>
          <w:szCs w:val="22"/>
        </w:rPr>
        <w:t>玄元</w:t>
      </w:r>
      <w:r w:rsidR="001559FE" w:rsidRPr="00AF6C80">
        <w:rPr>
          <w:rFonts w:ascii="宋体" w:hAnsi="宋体" w:hint="eastAsia"/>
          <w:sz w:val="22"/>
          <w:szCs w:val="22"/>
        </w:rPr>
        <w:t>保险代理</w:t>
      </w:r>
      <w:r w:rsidR="000A7C50" w:rsidRPr="00AF6C80">
        <w:rPr>
          <w:rFonts w:ascii="宋体" w:hAnsi="宋体" w:hint="eastAsia"/>
          <w:sz w:val="22"/>
          <w:szCs w:val="22"/>
        </w:rPr>
        <w:t>有限公司客户服务热线：</w:t>
      </w:r>
      <w:r w:rsidR="00A02AB1" w:rsidRPr="00AF6C80">
        <w:rPr>
          <w:rFonts w:ascii="宋体" w:hAnsi="宋体"/>
          <w:sz w:val="22"/>
          <w:szCs w:val="22"/>
        </w:rPr>
        <w:t>400-080-8208</w:t>
      </w:r>
      <w:r w:rsidR="000A7C50" w:rsidRPr="00AF6C80">
        <w:rPr>
          <w:rFonts w:ascii="宋体" w:hAnsi="宋体" w:hint="eastAsia"/>
          <w:sz w:val="22"/>
          <w:szCs w:val="22"/>
        </w:rPr>
        <w:t xml:space="preserve">     </w:t>
      </w:r>
    </w:p>
    <w:p w:rsidR="000A7C50" w:rsidRPr="00662262" w:rsidRDefault="000A7C50">
      <w:pPr>
        <w:autoSpaceDE w:val="0"/>
        <w:autoSpaceDN w:val="0"/>
        <w:spacing w:line="360" w:lineRule="auto"/>
        <w:ind w:firstLine="480"/>
        <w:jc w:val="left"/>
        <w:rPr>
          <w:rFonts w:ascii="宋体" w:hAnsi="宋体"/>
          <w:sz w:val="22"/>
          <w:szCs w:val="22"/>
        </w:rPr>
      </w:pPr>
      <w:r w:rsidRPr="00AF6C80">
        <w:rPr>
          <w:rFonts w:ascii="宋体" w:hAnsi="宋体" w:hint="eastAsia"/>
          <w:sz w:val="22"/>
          <w:szCs w:val="22"/>
        </w:rPr>
        <w:t>网站：</w:t>
      </w:r>
      <w:r w:rsidR="00A02AB1" w:rsidRPr="00AF6C80">
        <w:rPr>
          <w:rFonts w:ascii="宋体" w:hAnsi="宋体"/>
          <w:sz w:val="22"/>
          <w:szCs w:val="22"/>
        </w:rPr>
        <w:t>www.licaimofang.cn</w:t>
      </w:r>
    </w:p>
    <w:p w:rsidR="000A7C50" w:rsidRPr="00662262" w:rsidRDefault="000A7C50">
      <w:pPr>
        <w:numPr>
          <w:ilvl w:val="0"/>
          <w:numId w:val="5"/>
        </w:numPr>
        <w:spacing w:line="440" w:lineRule="exact"/>
        <w:jc w:val="left"/>
        <w:rPr>
          <w:rFonts w:ascii="宋体" w:hAnsi="宋体" w:hint="eastAsia"/>
          <w:sz w:val="22"/>
          <w:szCs w:val="22"/>
        </w:rPr>
      </w:pPr>
      <w:r w:rsidRPr="00662262">
        <w:rPr>
          <w:rFonts w:ascii="宋体" w:hAnsi="宋体" w:hint="eastAsia"/>
          <w:sz w:val="22"/>
          <w:szCs w:val="22"/>
        </w:rPr>
        <w:t>本公司客</w:t>
      </w:r>
      <w:bookmarkStart w:id="0" w:name="OLE_LINK1"/>
      <w:r w:rsidRPr="00662262">
        <w:rPr>
          <w:rFonts w:ascii="宋体" w:hAnsi="宋体" w:hint="eastAsia"/>
          <w:sz w:val="22"/>
          <w:szCs w:val="22"/>
        </w:rPr>
        <w:t>户服务</w:t>
      </w:r>
      <w:bookmarkEnd w:id="0"/>
      <w:r w:rsidRPr="00662262">
        <w:rPr>
          <w:rFonts w:ascii="宋体" w:hAnsi="宋体" w:hint="eastAsia"/>
          <w:sz w:val="22"/>
          <w:szCs w:val="22"/>
        </w:rPr>
        <w:t>热线：400-628-5888</w:t>
      </w:r>
    </w:p>
    <w:p w:rsidR="000A7C50" w:rsidRPr="00662262" w:rsidRDefault="000A7C50">
      <w:pPr>
        <w:autoSpaceDE w:val="0"/>
        <w:autoSpaceDN w:val="0"/>
        <w:spacing w:line="360" w:lineRule="auto"/>
        <w:ind w:firstLine="480"/>
        <w:jc w:val="left"/>
        <w:rPr>
          <w:rFonts w:ascii="宋体" w:hAnsi="宋体" w:hint="eastAsia"/>
          <w:sz w:val="22"/>
          <w:szCs w:val="22"/>
        </w:rPr>
      </w:pPr>
      <w:r w:rsidRPr="00662262">
        <w:rPr>
          <w:rFonts w:ascii="宋体" w:hAnsi="宋体" w:hint="eastAsia"/>
          <w:sz w:val="22"/>
          <w:szCs w:val="22"/>
        </w:rPr>
        <w:t>网站：</w:t>
      </w:r>
      <w:r w:rsidRPr="00662262">
        <w:rPr>
          <w:rFonts w:ascii="宋体" w:hAnsi="宋体"/>
          <w:sz w:val="22"/>
          <w:szCs w:val="22"/>
        </w:rPr>
        <w:t>www.orient-fund.com</w:t>
      </w:r>
      <w:r w:rsidRPr="00662262">
        <w:rPr>
          <w:rFonts w:ascii="宋体" w:hAnsi="宋体" w:hint="eastAsia"/>
          <w:sz w:val="22"/>
          <w:szCs w:val="22"/>
        </w:rPr>
        <w:t>或www.df5888.com</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b/>
          <w:color w:val="000000"/>
          <w:sz w:val="24"/>
        </w:rPr>
        <w:t>风险提示</w:t>
      </w:r>
    </w:p>
    <w:p w:rsidR="000A7C50" w:rsidRPr="00662262" w:rsidRDefault="000A7C50" w:rsidP="00662262">
      <w:pPr>
        <w:spacing w:beforeLines="50" w:line="360" w:lineRule="auto"/>
        <w:ind w:firstLineChars="200" w:firstLine="440"/>
        <w:rPr>
          <w:rFonts w:ascii="宋体" w:hAnsi="宋体" w:cs="仿宋_GB2312" w:hint="eastAsia"/>
          <w:kern w:val="0"/>
          <w:sz w:val="22"/>
          <w:szCs w:val="22"/>
        </w:rPr>
      </w:pPr>
      <w:r w:rsidRPr="00662262">
        <w:rPr>
          <w:rFonts w:ascii="宋体" w:hAnsi="宋体" w:cs="仿宋_GB2312" w:hint="eastAsia"/>
          <w:kern w:val="0"/>
          <w:sz w:val="22"/>
          <w:szCs w:val="22"/>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0A7C50" w:rsidRPr="00662262" w:rsidRDefault="000A7C50" w:rsidP="00662262">
      <w:pPr>
        <w:spacing w:beforeLines="50" w:line="360" w:lineRule="auto"/>
        <w:ind w:firstLineChars="200" w:firstLine="440"/>
        <w:rPr>
          <w:rFonts w:ascii="宋体" w:hAnsi="宋体" w:cs="仿宋_GB2312" w:hint="eastAsia"/>
          <w:kern w:val="0"/>
          <w:sz w:val="22"/>
          <w:szCs w:val="22"/>
        </w:rPr>
      </w:pPr>
      <w:r w:rsidRPr="00662262">
        <w:rPr>
          <w:rFonts w:ascii="宋体" w:hAnsi="宋体" w:cs="仿宋_GB2312" w:hint="eastAsia"/>
          <w:kern w:val="0"/>
          <w:sz w:val="22"/>
          <w:szCs w:val="22"/>
        </w:rPr>
        <w:t>特此公告。</w:t>
      </w:r>
    </w:p>
    <w:p w:rsidR="000A7C50" w:rsidRDefault="000A7C50">
      <w:pPr>
        <w:autoSpaceDE w:val="0"/>
        <w:autoSpaceDN w:val="0"/>
        <w:adjustRightInd w:val="0"/>
        <w:spacing w:line="360" w:lineRule="auto"/>
        <w:ind w:firstLineChars="200" w:firstLine="480"/>
        <w:jc w:val="left"/>
        <w:rPr>
          <w:rFonts w:ascii="宋体" w:hAnsi="宋体" w:cs="仿宋_GB2312" w:hint="eastAsia"/>
          <w:kern w:val="0"/>
          <w:sz w:val="24"/>
        </w:rPr>
      </w:pPr>
    </w:p>
    <w:p w:rsidR="000A7C50" w:rsidRDefault="000A7C50">
      <w:pPr>
        <w:autoSpaceDE w:val="0"/>
        <w:autoSpaceDN w:val="0"/>
        <w:adjustRightInd w:val="0"/>
        <w:spacing w:line="360" w:lineRule="auto"/>
        <w:ind w:firstLineChars="200" w:firstLine="480"/>
        <w:jc w:val="left"/>
        <w:rPr>
          <w:rFonts w:ascii="宋体" w:hAnsi="宋体" w:cs="仿宋_GB2312"/>
          <w:kern w:val="0"/>
          <w:sz w:val="24"/>
        </w:rPr>
      </w:pPr>
    </w:p>
    <w:p w:rsidR="000A7C50" w:rsidRPr="00662262" w:rsidRDefault="000A7C50">
      <w:pPr>
        <w:autoSpaceDE w:val="0"/>
        <w:autoSpaceDN w:val="0"/>
        <w:adjustRightInd w:val="0"/>
        <w:spacing w:line="360" w:lineRule="auto"/>
        <w:jc w:val="right"/>
        <w:rPr>
          <w:rFonts w:ascii="宋体" w:hAnsi="宋体" w:cs="仿宋_GB2312"/>
          <w:kern w:val="0"/>
          <w:sz w:val="24"/>
        </w:rPr>
      </w:pPr>
      <w:r w:rsidRPr="00662262">
        <w:rPr>
          <w:rFonts w:ascii="宋体" w:hAnsi="宋体" w:cs="仿宋_GB2312" w:hint="eastAsia"/>
          <w:kern w:val="0"/>
          <w:sz w:val="24"/>
        </w:rPr>
        <w:t>东方基金管理有限责任公司</w:t>
      </w:r>
    </w:p>
    <w:p w:rsidR="000A7C50" w:rsidRDefault="000A7C50">
      <w:pPr>
        <w:wordWrap w:val="0"/>
        <w:spacing w:line="360" w:lineRule="auto"/>
        <w:jc w:val="right"/>
        <w:rPr>
          <w:rFonts w:ascii="宋体" w:hAnsi="宋体" w:cs="仿宋_GB2312" w:hint="eastAsia"/>
          <w:kern w:val="0"/>
          <w:sz w:val="24"/>
        </w:rPr>
      </w:pPr>
      <w:r w:rsidRPr="00662262">
        <w:rPr>
          <w:rFonts w:ascii="宋体" w:hAnsi="宋体" w:cs="仿宋_GB2312" w:hint="eastAsia"/>
          <w:kern w:val="0"/>
          <w:sz w:val="24"/>
        </w:rPr>
        <w:t>二○二○年五月十</w:t>
      </w:r>
      <w:r w:rsidR="006E704E">
        <w:rPr>
          <w:rFonts w:ascii="宋体" w:hAnsi="宋体" w:cs="仿宋_GB2312" w:hint="eastAsia"/>
          <w:kern w:val="0"/>
          <w:sz w:val="24"/>
        </w:rPr>
        <w:t>六</w:t>
      </w:r>
      <w:r w:rsidRPr="00662262">
        <w:rPr>
          <w:rFonts w:ascii="宋体" w:hAnsi="宋体" w:cs="仿宋_GB2312" w:hint="eastAsia"/>
          <w:kern w:val="0"/>
          <w:sz w:val="24"/>
        </w:rPr>
        <w:t>日</w:t>
      </w:r>
    </w:p>
    <w:sectPr w:rsidR="000A7C50" w:rsidSect="00662262">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B0B" w:rsidRDefault="00E03B0B"/>
  </w:endnote>
  <w:endnote w:type="continuationSeparator" w:id="1">
    <w:p w:rsidR="00E03B0B" w:rsidRDefault="00E03B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B0B" w:rsidRDefault="00E03B0B"/>
  </w:footnote>
  <w:footnote w:type="continuationSeparator" w:id="1">
    <w:p w:rsidR="00E03B0B" w:rsidRDefault="00E03B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25BFA"/>
    <w:multiLevelType w:val="singleLevel"/>
    <w:tmpl w:val="80C25BFA"/>
    <w:lvl w:ilvl="0">
      <w:start w:val="1"/>
      <w:numFmt w:val="decimal"/>
      <w:lvlText w:val="%1."/>
      <w:lvlJc w:val="left"/>
      <w:pPr>
        <w:ind w:left="425" w:hanging="425"/>
      </w:pPr>
      <w:rPr>
        <w:rFonts w:hint="default"/>
      </w:rPr>
    </w:lvl>
  </w:abstractNum>
  <w:abstractNum w:abstractNumId="1">
    <w:nsid w:val="8446EAFB"/>
    <w:multiLevelType w:val="singleLevel"/>
    <w:tmpl w:val="8446EAFB"/>
    <w:lvl w:ilvl="0">
      <w:start w:val="1"/>
      <w:numFmt w:val="decimal"/>
      <w:lvlText w:val="%1."/>
      <w:lvlJc w:val="left"/>
      <w:pPr>
        <w:ind w:left="425" w:hanging="425"/>
      </w:pPr>
      <w:rPr>
        <w:rFonts w:hint="default"/>
      </w:rPr>
    </w:lvl>
  </w:abstractNum>
  <w:abstractNum w:abstractNumId="2">
    <w:nsid w:val="002FF7A3"/>
    <w:multiLevelType w:val="singleLevel"/>
    <w:tmpl w:val="002FF7A3"/>
    <w:lvl w:ilvl="0">
      <w:start w:val="1"/>
      <w:numFmt w:val="decimal"/>
      <w:lvlText w:val="%1."/>
      <w:lvlJc w:val="left"/>
      <w:pPr>
        <w:ind w:left="425" w:hanging="425"/>
      </w:pPr>
      <w:rPr>
        <w:rFonts w:hint="default"/>
      </w:rPr>
    </w:lvl>
  </w:abstractNum>
  <w:abstractNum w:abstractNumId="3">
    <w:nsid w:val="1050BBB8"/>
    <w:multiLevelType w:val="singleLevel"/>
    <w:tmpl w:val="1050BBB8"/>
    <w:lvl w:ilvl="0">
      <w:start w:val="1"/>
      <w:numFmt w:val="decimal"/>
      <w:lvlText w:val="%1."/>
      <w:lvlJc w:val="left"/>
      <w:pPr>
        <w:ind w:left="425" w:hanging="425"/>
      </w:pPr>
      <w:rPr>
        <w:rFonts w:hint="default"/>
      </w:rPr>
    </w:lvl>
  </w:abstractNum>
  <w:abstractNum w:abstractNumId="4">
    <w:nsid w:val="16C701FB"/>
    <w:multiLevelType w:val="multilevel"/>
    <w:tmpl w:val="16C701FB"/>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0397F"/>
    <w:rsid w:val="00011EA6"/>
    <w:rsid w:val="00012B96"/>
    <w:rsid w:val="00012C56"/>
    <w:rsid w:val="00014E8D"/>
    <w:rsid w:val="0001667A"/>
    <w:rsid w:val="00020A8B"/>
    <w:rsid w:val="00021A61"/>
    <w:rsid w:val="00021DC1"/>
    <w:rsid w:val="00022EBA"/>
    <w:rsid w:val="00023C82"/>
    <w:rsid w:val="00023D84"/>
    <w:rsid w:val="000276CA"/>
    <w:rsid w:val="00036882"/>
    <w:rsid w:val="00036B9E"/>
    <w:rsid w:val="00037889"/>
    <w:rsid w:val="00037EA5"/>
    <w:rsid w:val="000406AC"/>
    <w:rsid w:val="000408EB"/>
    <w:rsid w:val="0004250E"/>
    <w:rsid w:val="00042D3F"/>
    <w:rsid w:val="00043DB0"/>
    <w:rsid w:val="000447B3"/>
    <w:rsid w:val="00045CB9"/>
    <w:rsid w:val="00053144"/>
    <w:rsid w:val="00061C5B"/>
    <w:rsid w:val="00062FBA"/>
    <w:rsid w:val="00063883"/>
    <w:rsid w:val="00064445"/>
    <w:rsid w:val="00065418"/>
    <w:rsid w:val="0007010A"/>
    <w:rsid w:val="00070A88"/>
    <w:rsid w:val="00071326"/>
    <w:rsid w:val="000718CE"/>
    <w:rsid w:val="000737A1"/>
    <w:rsid w:val="00073F65"/>
    <w:rsid w:val="0007415B"/>
    <w:rsid w:val="00075048"/>
    <w:rsid w:val="00076D45"/>
    <w:rsid w:val="00080222"/>
    <w:rsid w:val="00080B5A"/>
    <w:rsid w:val="00086904"/>
    <w:rsid w:val="0009004E"/>
    <w:rsid w:val="00092331"/>
    <w:rsid w:val="000928B7"/>
    <w:rsid w:val="000928EA"/>
    <w:rsid w:val="000939EE"/>
    <w:rsid w:val="000958E3"/>
    <w:rsid w:val="000963D0"/>
    <w:rsid w:val="000A0DE9"/>
    <w:rsid w:val="000A4983"/>
    <w:rsid w:val="000A7C50"/>
    <w:rsid w:val="000A7EC4"/>
    <w:rsid w:val="000B21F3"/>
    <w:rsid w:val="000B2744"/>
    <w:rsid w:val="000B6605"/>
    <w:rsid w:val="000C31BB"/>
    <w:rsid w:val="000C4F56"/>
    <w:rsid w:val="000C7012"/>
    <w:rsid w:val="000D1FBC"/>
    <w:rsid w:val="000D48F1"/>
    <w:rsid w:val="000D4AAA"/>
    <w:rsid w:val="000D5C1B"/>
    <w:rsid w:val="000E1AD1"/>
    <w:rsid w:val="000E367B"/>
    <w:rsid w:val="000E4506"/>
    <w:rsid w:val="000F0B6B"/>
    <w:rsid w:val="000F0FDA"/>
    <w:rsid w:val="000F34C0"/>
    <w:rsid w:val="000F3BDD"/>
    <w:rsid w:val="000F47A0"/>
    <w:rsid w:val="000F7335"/>
    <w:rsid w:val="0010218F"/>
    <w:rsid w:val="00103172"/>
    <w:rsid w:val="00107213"/>
    <w:rsid w:val="0011025A"/>
    <w:rsid w:val="00112C2D"/>
    <w:rsid w:val="0011357B"/>
    <w:rsid w:val="001234A1"/>
    <w:rsid w:val="00123D9E"/>
    <w:rsid w:val="001254EA"/>
    <w:rsid w:val="001275A4"/>
    <w:rsid w:val="00130C75"/>
    <w:rsid w:val="00130E7D"/>
    <w:rsid w:val="00131547"/>
    <w:rsid w:val="00132BB1"/>
    <w:rsid w:val="00136E59"/>
    <w:rsid w:val="001409D2"/>
    <w:rsid w:val="00144BD9"/>
    <w:rsid w:val="00146720"/>
    <w:rsid w:val="001467F3"/>
    <w:rsid w:val="001559FE"/>
    <w:rsid w:val="00157D0D"/>
    <w:rsid w:val="001656B8"/>
    <w:rsid w:val="00167EDB"/>
    <w:rsid w:val="00174B29"/>
    <w:rsid w:val="00181604"/>
    <w:rsid w:val="001825F6"/>
    <w:rsid w:val="00186504"/>
    <w:rsid w:val="00186517"/>
    <w:rsid w:val="00187FA6"/>
    <w:rsid w:val="00196F38"/>
    <w:rsid w:val="001978AE"/>
    <w:rsid w:val="001A1034"/>
    <w:rsid w:val="001B0E98"/>
    <w:rsid w:val="001B15BA"/>
    <w:rsid w:val="001B1CB6"/>
    <w:rsid w:val="001B355E"/>
    <w:rsid w:val="001B6567"/>
    <w:rsid w:val="001B6571"/>
    <w:rsid w:val="001C09E6"/>
    <w:rsid w:val="001C20BF"/>
    <w:rsid w:val="001C58FB"/>
    <w:rsid w:val="001D34E4"/>
    <w:rsid w:val="001D7279"/>
    <w:rsid w:val="001E19B7"/>
    <w:rsid w:val="001E5ABB"/>
    <w:rsid w:val="001F032C"/>
    <w:rsid w:val="001F5202"/>
    <w:rsid w:val="001F750F"/>
    <w:rsid w:val="0020016F"/>
    <w:rsid w:val="00202D16"/>
    <w:rsid w:val="00206012"/>
    <w:rsid w:val="00207460"/>
    <w:rsid w:val="00221570"/>
    <w:rsid w:val="002222FC"/>
    <w:rsid w:val="002241F7"/>
    <w:rsid w:val="00227D1D"/>
    <w:rsid w:val="00232A92"/>
    <w:rsid w:val="00235CBD"/>
    <w:rsid w:val="002375E7"/>
    <w:rsid w:val="0024083F"/>
    <w:rsid w:val="00240D39"/>
    <w:rsid w:val="00241445"/>
    <w:rsid w:val="00243955"/>
    <w:rsid w:val="002447BE"/>
    <w:rsid w:val="00245AB9"/>
    <w:rsid w:val="0025244F"/>
    <w:rsid w:val="00253B71"/>
    <w:rsid w:val="00254012"/>
    <w:rsid w:val="00255725"/>
    <w:rsid w:val="00263353"/>
    <w:rsid w:val="002730EA"/>
    <w:rsid w:val="00275B6B"/>
    <w:rsid w:val="002804A5"/>
    <w:rsid w:val="0028098B"/>
    <w:rsid w:val="00280B05"/>
    <w:rsid w:val="00282EC5"/>
    <w:rsid w:val="00286309"/>
    <w:rsid w:val="002875BC"/>
    <w:rsid w:val="00290640"/>
    <w:rsid w:val="00290EC0"/>
    <w:rsid w:val="002916A6"/>
    <w:rsid w:val="00292603"/>
    <w:rsid w:val="0029296D"/>
    <w:rsid w:val="00292C1D"/>
    <w:rsid w:val="002944CA"/>
    <w:rsid w:val="002944F6"/>
    <w:rsid w:val="00296775"/>
    <w:rsid w:val="00296975"/>
    <w:rsid w:val="002A41BA"/>
    <w:rsid w:val="002A464D"/>
    <w:rsid w:val="002A7A08"/>
    <w:rsid w:val="002A7A90"/>
    <w:rsid w:val="002B2F3E"/>
    <w:rsid w:val="002B396A"/>
    <w:rsid w:val="002B43B7"/>
    <w:rsid w:val="002B5389"/>
    <w:rsid w:val="002C1AC7"/>
    <w:rsid w:val="002C4CD2"/>
    <w:rsid w:val="002C594D"/>
    <w:rsid w:val="002C7FFB"/>
    <w:rsid w:val="002D274D"/>
    <w:rsid w:val="002D49C4"/>
    <w:rsid w:val="002E039C"/>
    <w:rsid w:val="002E172A"/>
    <w:rsid w:val="002E4871"/>
    <w:rsid w:val="002E5FB1"/>
    <w:rsid w:val="002E72C6"/>
    <w:rsid w:val="002E7F7D"/>
    <w:rsid w:val="002F308B"/>
    <w:rsid w:val="002F3456"/>
    <w:rsid w:val="002F3B0A"/>
    <w:rsid w:val="002F529B"/>
    <w:rsid w:val="003006A0"/>
    <w:rsid w:val="00301140"/>
    <w:rsid w:val="00304F7F"/>
    <w:rsid w:val="003100FE"/>
    <w:rsid w:val="00310106"/>
    <w:rsid w:val="003112FB"/>
    <w:rsid w:val="00313B84"/>
    <w:rsid w:val="00323456"/>
    <w:rsid w:val="00323B43"/>
    <w:rsid w:val="00324856"/>
    <w:rsid w:val="00325B2E"/>
    <w:rsid w:val="00332FF1"/>
    <w:rsid w:val="0034132D"/>
    <w:rsid w:val="003424CF"/>
    <w:rsid w:val="0034282C"/>
    <w:rsid w:val="00342F16"/>
    <w:rsid w:val="00343044"/>
    <w:rsid w:val="0034441E"/>
    <w:rsid w:val="00346B9E"/>
    <w:rsid w:val="003503BB"/>
    <w:rsid w:val="0035148D"/>
    <w:rsid w:val="00354757"/>
    <w:rsid w:val="00356269"/>
    <w:rsid w:val="00357282"/>
    <w:rsid w:val="0036094E"/>
    <w:rsid w:val="00366986"/>
    <w:rsid w:val="00366F52"/>
    <w:rsid w:val="0037031A"/>
    <w:rsid w:val="0037339B"/>
    <w:rsid w:val="0037374A"/>
    <w:rsid w:val="00375B39"/>
    <w:rsid w:val="00381080"/>
    <w:rsid w:val="00383707"/>
    <w:rsid w:val="003849ED"/>
    <w:rsid w:val="00385D4E"/>
    <w:rsid w:val="00387441"/>
    <w:rsid w:val="00391DC0"/>
    <w:rsid w:val="003A22FA"/>
    <w:rsid w:val="003A3669"/>
    <w:rsid w:val="003A43DB"/>
    <w:rsid w:val="003A530A"/>
    <w:rsid w:val="003A62CD"/>
    <w:rsid w:val="003A755A"/>
    <w:rsid w:val="003B0104"/>
    <w:rsid w:val="003B1382"/>
    <w:rsid w:val="003B1490"/>
    <w:rsid w:val="003B20BE"/>
    <w:rsid w:val="003B2475"/>
    <w:rsid w:val="003C44EE"/>
    <w:rsid w:val="003C5190"/>
    <w:rsid w:val="003C74A8"/>
    <w:rsid w:val="003C7CB8"/>
    <w:rsid w:val="003D09E0"/>
    <w:rsid w:val="003D0D2E"/>
    <w:rsid w:val="003D2645"/>
    <w:rsid w:val="003D2F2B"/>
    <w:rsid w:val="003D434B"/>
    <w:rsid w:val="00401A32"/>
    <w:rsid w:val="00403905"/>
    <w:rsid w:val="004112CB"/>
    <w:rsid w:val="004231D9"/>
    <w:rsid w:val="004235D4"/>
    <w:rsid w:val="00426D38"/>
    <w:rsid w:val="00427866"/>
    <w:rsid w:val="00431CED"/>
    <w:rsid w:val="00433DC9"/>
    <w:rsid w:val="00434127"/>
    <w:rsid w:val="00434706"/>
    <w:rsid w:val="0043641D"/>
    <w:rsid w:val="0043666B"/>
    <w:rsid w:val="00436676"/>
    <w:rsid w:val="004473D9"/>
    <w:rsid w:val="00450713"/>
    <w:rsid w:val="00450E06"/>
    <w:rsid w:val="00453822"/>
    <w:rsid w:val="0045586B"/>
    <w:rsid w:val="0045758F"/>
    <w:rsid w:val="00462D51"/>
    <w:rsid w:val="00462FED"/>
    <w:rsid w:val="0046382A"/>
    <w:rsid w:val="004664F2"/>
    <w:rsid w:val="0046739E"/>
    <w:rsid w:val="00472CA2"/>
    <w:rsid w:val="00473DBA"/>
    <w:rsid w:val="004747CE"/>
    <w:rsid w:val="00474907"/>
    <w:rsid w:val="00477C17"/>
    <w:rsid w:val="00490DDF"/>
    <w:rsid w:val="004964C6"/>
    <w:rsid w:val="00496604"/>
    <w:rsid w:val="004A1EE6"/>
    <w:rsid w:val="004A345D"/>
    <w:rsid w:val="004A52D3"/>
    <w:rsid w:val="004A584F"/>
    <w:rsid w:val="004A6C48"/>
    <w:rsid w:val="004B2E9E"/>
    <w:rsid w:val="004B65A9"/>
    <w:rsid w:val="004C1249"/>
    <w:rsid w:val="004C25EA"/>
    <w:rsid w:val="004C3FE9"/>
    <w:rsid w:val="004D154F"/>
    <w:rsid w:val="004D2289"/>
    <w:rsid w:val="004E4B7E"/>
    <w:rsid w:val="004F219A"/>
    <w:rsid w:val="004F221F"/>
    <w:rsid w:val="004F42B6"/>
    <w:rsid w:val="004F6D3A"/>
    <w:rsid w:val="0050519D"/>
    <w:rsid w:val="00513F63"/>
    <w:rsid w:val="00514274"/>
    <w:rsid w:val="00514618"/>
    <w:rsid w:val="00515064"/>
    <w:rsid w:val="00520B5C"/>
    <w:rsid w:val="00520E11"/>
    <w:rsid w:val="00521AED"/>
    <w:rsid w:val="00521FAC"/>
    <w:rsid w:val="00523150"/>
    <w:rsid w:val="00523295"/>
    <w:rsid w:val="0052334E"/>
    <w:rsid w:val="005262A1"/>
    <w:rsid w:val="00526F50"/>
    <w:rsid w:val="00527FE8"/>
    <w:rsid w:val="00530B55"/>
    <w:rsid w:val="00530ED1"/>
    <w:rsid w:val="0053244F"/>
    <w:rsid w:val="00532517"/>
    <w:rsid w:val="005334CD"/>
    <w:rsid w:val="0053387F"/>
    <w:rsid w:val="005347F2"/>
    <w:rsid w:val="005351A5"/>
    <w:rsid w:val="00535665"/>
    <w:rsid w:val="00541815"/>
    <w:rsid w:val="005447EB"/>
    <w:rsid w:val="00545BD2"/>
    <w:rsid w:val="0055152E"/>
    <w:rsid w:val="005515BD"/>
    <w:rsid w:val="00552DCF"/>
    <w:rsid w:val="00553FC2"/>
    <w:rsid w:val="00555AA4"/>
    <w:rsid w:val="00557076"/>
    <w:rsid w:val="00557436"/>
    <w:rsid w:val="005576C4"/>
    <w:rsid w:val="00557D3B"/>
    <w:rsid w:val="005612A3"/>
    <w:rsid w:val="005620D7"/>
    <w:rsid w:val="00564541"/>
    <w:rsid w:val="00565AA1"/>
    <w:rsid w:val="00566309"/>
    <w:rsid w:val="00567D7C"/>
    <w:rsid w:val="00572C02"/>
    <w:rsid w:val="005734B7"/>
    <w:rsid w:val="00576290"/>
    <w:rsid w:val="00584E02"/>
    <w:rsid w:val="00586649"/>
    <w:rsid w:val="0059070D"/>
    <w:rsid w:val="00592749"/>
    <w:rsid w:val="00592F3E"/>
    <w:rsid w:val="005937DE"/>
    <w:rsid w:val="00594E1A"/>
    <w:rsid w:val="005A270E"/>
    <w:rsid w:val="005A3334"/>
    <w:rsid w:val="005A736D"/>
    <w:rsid w:val="005B0F97"/>
    <w:rsid w:val="005B10CD"/>
    <w:rsid w:val="005B7B4C"/>
    <w:rsid w:val="005C011C"/>
    <w:rsid w:val="005C608F"/>
    <w:rsid w:val="005C632B"/>
    <w:rsid w:val="005C7ABE"/>
    <w:rsid w:val="005D3FBD"/>
    <w:rsid w:val="005E0C16"/>
    <w:rsid w:val="005E2389"/>
    <w:rsid w:val="005E3983"/>
    <w:rsid w:val="005F02D6"/>
    <w:rsid w:val="005F0587"/>
    <w:rsid w:val="005F1ED1"/>
    <w:rsid w:val="005F645A"/>
    <w:rsid w:val="00601C46"/>
    <w:rsid w:val="00605B4B"/>
    <w:rsid w:val="006139B5"/>
    <w:rsid w:val="006143FD"/>
    <w:rsid w:val="00614C98"/>
    <w:rsid w:val="00614E36"/>
    <w:rsid w:val="00616138"/>
    <w:rsid w:val="0061778D"/>
    <w:rsid w:val="00620584"/>
    <w:rsid w:val="00635671"/>
    <w:rsid w:val="006364C2"/>
    <w:rsid w:val="00636AE0"/>
    <w:rsid w:val="00640183"/>
    <w:rsid w:val="00640E73"/>
    <w:rsid w:val="0064150D"/>
    <w:rsid w:val="00647D65"/>
    <w:rsid w:val="00652BDC"/>
    <w:rsid w:val="00656081"/>
    <w:rsid w:val="00656BE4"/>
    <w:rsid w:val="00657540"/>
    <w:rsid w:val="0065781F"/>
    <w:rsid w:val="00657AAE"/>
    <w:rsid w:val="006618F5"/>
    <w:rsid w:val="00662262"/>
    <w:rsid w:val="00662668"/>
    <w:rsid w:val="00662CD0"/>
    <w:rsid w:val="00662FA1"/>
    <w:rsid w:val="00666F2D"/>
    <w:rsid w:val="00671C77"/>
    <w:rsid w:val="00673450"/>
    <w:rsid w:val="006761CD"/>
    <w:rsid w:val="00676229"/>
    <w:rsid w:val="00681966"/>
    <w:rsid w:val="00682A50"/>
    <w:rsid w:val="006912DC"/>
    <w:rsid w:val="00694C38"/>
    <w:rsid w:val="00695167"/>
    <w:rsid w:val="006A1CB8"/>
    <w:rsid w:val="006A26EA"/>
    <w:rsid w:val="006A2C8D"/>
    <w:rsid w:val="006A63C7"/>
    <w:rsid w:val="006B1113"/>
    <w:rsid w:val="006B5622"/>
    <w:rsid w:val="006B5D8E"/>
    <w:rsid w:val="006C1509"/>
    <w:rsid w:val="006C287A"/>
    <w:rsid w:val="006C3706"/>
    <w:rsid w:val="006C3940"/>
    <w:rsid w:val="006C6CA7"/>
    <w:rsid w:val="006D3E3E"/>
    <w:rsid w:val="006D6182"/>
    <w:rsid w:val="006E1A12"/>
    <w:rsid w:val="006E21E7"/>
    <w:rsid w:val="006E704E"/>
    <w:rsid w:val="006E76A3"/>
    <w:rsid w:val="006E7FFE"/>
    <w:rsid w:val="006F3288"/>
    <w:rsid w:val="006F4C1F"/>
    <w:rsid w:val="006F4C9C"/>
    <w:rsid w:val="006F55C4"/>
    <w:rsid w:val="006F5EAE"/>
    <w:rsid w:val="0070301F"/>
    <w:rsid w:val="00704648"/>
    <w:rsid w:val="00704D8A"/>
    <w:rsid w:val="00706532"/>
    <w:rsid w:val="00706BA4"/>
    <w:rsid w:val="00706DE3"/>
    <w:rsid w:val="00707B03"/>
    <w:rsid w:val="00711863"/>
    <w:rsid w:val="0071386D"/>
    <w:rsid w:val="00713D18"/>
    <w:rsid w:val="00714859"/>
    <w:rsid w:val="00721259"/>
    <w:rsid w:val="007219EF"/>
    <w:rsid w:val="00722689"/>
    <w:rsid w:val="00726DCD"/>
    <w:rsid w:val="00730801"/>
    <w:rsid w:val="00731D33"/>
    <w:rsid w:val="00731F46"/>
    <w:rsid w:val="007330BD"/>
    <w:rsid w:val="00737A1B"/>
    <w:rsid w:val="0074060C"/>
    <w:rsid w:val="0074533C"/>
    <w:rsid w:val="00745663"/>
    <w:rsid w:val="00745E01"/>
    <w:rsid w:val="007507C9"/>
    <w:rsid w:val="00752092"/>
    <w:rsid w:val="00753CF8"/>
    <w:rsid w:val="00754417"/>
    <w:rsid w:val="00757653"/>
    <w:rsid w:val="00763B64"/>
    <w:rsid w:val="00766A6B"/>
    <w:rsid w:val="00771301"/>
    <w:rsid w:val="007724C3"/>
    <w:rsid w:val="0077458E"/>
    <w:rsid w:val="00777D0C"/>
    <w:rsid w:val="0078255E"/>
    <w:rsid w:val="007829CA"/>
    <w:rsid w:val="00783CA3"/>
    <w:rsid w:val="00784704"/>
    <w:rsid w:val="00786E7B"/>
    <w:rsid w:val="00791064"/>
    <w:rsid w:val="00792A7D"/>
    <w:rsid w:val="00793E5B"/>
    <w:rsid w:val="00794D57"/>
    <w:rsid w:val="007A286A"/>
    <w:rsid w:val="007A31F7"/>
    <w:rsid w:val="007A5732"/>
    <w:rsid w:val="007B2254"/>
    <w:rsid w:val="007B4DF3"/>
    <w:rsid w:val="007C0314"/>
    <w:rsid w:val="007C05BC"/>
    <w:rsid w:val="007C14ED"/>
    <w:rsid w:val="007C39D7"/>
    <w:rsid w:val="007C56F3"/>
    <w:rsid w:val="007D2637"/>
    <w:rsid w:val="007D4615"/>
    <w:rsid w:val="007D694C"/>
    <w:rsid w:val="007E3FBD"/>
    <w:rsid w:val="007E486F"/>
    <w:rsid w:val="007F19DD"/>
    <w:rsid w:val="007F1F44"/>
    <w:rsid w:val="007F3A7C"/>
    <w:rsid w:val="0080226F"/>
    <w:rsid w:val="00802749"/>
    <w:rsid w:val="0081117B"/>
    <w:rsid w:val="00811ED8"/>
    <w:rsid w:val="0081309C"/>
    <w:rsid w:val="00813DA0"/>
    <w:rsid w:val="008143E1"/>
    <w:rsid w:val="00821528"/>
    <w:rsid w:val="00822A68"/>
    <w:rsid w:val="00822CAC"/>
    <w:rsid w:val="00822FA8"/>
    <w:rsid w:val="00824888"/>
    <w:rsid w:val="008274B2"/>
    <w:rsid w:val="00827D8C"/>
    <w:rsid w:val="008316E8"/>
    <w:rsid w:val="008332DA"/>
    <w:rsid w:val="00836224"/>
    <w:rsid w:val="00836935"/>
    <w:rsid w:val="0084080B"/>
    <w:rsid w:val="00843644"/>
    <w:rsid w:val="008467D7"/>
    <w:rsid w:val="00847496"/>
    <w:rsid w:val="0085090B"/>
    <w:rsid w:val="00851602"/>
    <w:rsid w:val="008545DA"/>
    <w:rsid w:val="008557D7"/>
    <w:rsid w:val="00855B05"/>
    <w:rsid w:val="00866415"/>
    <w:rsid w:val="00867AA9"/>
    <w:rsid w:val="008720E6"/>
    <w:rsid w:val="00872917"/>
    <w:rsid w:val="00876044"/>
    <w:rsid w:val="00877A00"/>
    <w:rsid w:val="0088084F"/>
    <w:rsid w:val="00881837"/>
    <w:rsid w:val="00881EFB"/>
    <w:rsid w:val="0088254E"/>
    <w:rsid w:val="00883F7D"/>
    <w:rsid w:val="008854A3"/>
    <w:rsid w:val="0088608A"/>
    <w:rsid w:val="00887D3B"/>
    <w:rsid w:val="00891EAD"/>
    <w:rsid w:val="00892ED9"/>
    <w:rsid w:val="00893F96"/>
    <w:rsid w:val="00894280"/>
    <w:rsid w:val="00895DDB"/>
    <w:rsid w:val="008960A1"/>
    <w:rsid w:val="00897185"/>
    <w:rsid w:val="008A0C86"/>
    <w:rsid w:val="008A1EDC"/>
    <w:rsid w:val="008A263D"/>
    <w:rsid w:val="008B22C8"/>
    <w:rsid w:val="008B3019"/>
    <w:rsid w:val="008B36DC"/>
    <w:rsid w:val="008B665D"/>
    <w:rsid w:val="008B6A08"/>
    <w:rsid w:val="008B7DAD"/>
    <w:rsid w:val="008C005C"/>
    <w:rsid w:val="008C0FDB"/>
    <w:rsid w:val="008C45B7"/>
    <w:rsid w:val="008C6F6F"/>
    <w:rsid w:val="008D0164"/>
    <w:rsid w:val="008D1A06"/>
    <w:rsid w:val="008D487A"/>
    <w:rsid w:val="008D4C0F"/>
    <w:rsid w:val="008D5AC5"/>
    <w:rsid w:val="008D7E71"/>
    <w:rsid w:val="008E142D"/>
    <w:rsid w:val="008E2E56"/>
    <w:rsid w:val="008E327D"/>
    <w:rsid w:val="008E438B"/>
    <w:rsid w:val="008E4DAB"/>
    <w:rsid w:val="008E5426"/>
    <w:rsid w:val="008F2A2C"/>
    <w:rsid w:val="008F4166"/>
    <w:rsid w:val="008F491D"/>
    <w:rsid w:val="008F728B"/>
    <w:rsid w:val="008F7D8D"/>
    <w:rsid w:val="00903229"/>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63E9"/>
    <w:rsid w:val="009644C0"/>
    <w:rsid w:val="00972879"/>
    <w:rsid w:val="00975967"/>
    <w:rsid w:val="00977B4E"/>
    <w:rsid w:val="0098260D"/>
    <w:rsid w:val="00986CE6"/>
    <w:rsid w:val="00994507"/>
    <w:rsid w:val="00997DE6"/>
    <w:rsid w:val="009A2C10"/>
    <w:rsid w:val="009A317E"/>
    <w:rsid w:val="009A420F"/>
    <w:rsid w:val="009A59E0"/>
    <w:rsid w:val="009A6C8C"/>
    <w:rsid w:val="009B12C0"/>
    <w:rsid w:val="009B21DE"/>
    <w:rsid w:val="009B2C00"/>
    <w:rsid w:val="009B3085"/>
    <w:rsid w:val="009B3A00"/>
    <w:rsid w:val="009B41FE"/>
    <w:rsid w:val="009B754B"/>
    <w:rsid w:val="009C6A7A"/>
    <w:rsid w:val="009D0B8F"/>
    <w:rsid w:val="009D5D08"/>
    <w:rsid w:val="009D5D0D"/>
    <w:rsid w:val="009E0243"/>
    <w:rsid w:val="009F0152"/>
    <w:rsid w:val="009F18FD"/>
    <w:rsid w:val="009F252C"/>
    <w:rsid w:val="009F3CAC"/>
    <w:rsid w:val="009F46AE"/>
    <w:rsid w:val="009F4C7E"/>
    <w:rsid w:val="009F579A"/>
    <w:rsid w:val="00A003E7"/>
    <w:rsid w:val="00A02601"/>
    <w:rsid w:val="00A02AB1"/>
    <w:rsid w:val="00A04933"/>
    <w:rsid w:val="00A07883"/>
    <w:rsid w:val="00A07F20"/>
    <w:rsid w:val="00A10613"/>
    <w:rsid w:val="00A110E4"/>
    <w:rsid w:val="00A11903"/>
    <w:rsid w:val="00A11C78"/>
    <w:rsid w:val="00A12CB2"/>
    <w:rsid w:val="00A145BB"/>
    <w:rsid w:val="00A17A52"/>
    <w:rsid w:val="00A238DB"/>
    <w:rsid w:val="00A24717"/>
    <w:rsid w:val="00A36932"/>
    <w:rsid w:val="00A3764C"/>
    <w:rsid w:val="00A37A61"/>
    <w:rsid w:val="00A419BA"/>
    <w:rsid w:val="00A501A7"/>
    <w:rsid w:val="00A56E7A"/>
    <w:rsid w:val="00A61876"/>
    <w:rsid w:val="00A66168"/>
    <w:rsid w:val="00A661DA"/>
    <w:rsid w:val="00A66F8E"/>
    <w:rsid w:val="00A73FFD"/>
    <w:rsid w:val="00A75D3A"/>
    <w:rsid w:val="00A7616F"/>
    <w:rsid w:val="00A770AA"/>
    <w:rsid w:val="00A81A70"/>
    <w:rsid w:val="00A82DB6"/>
    <w:rsid w:val="00A83DB5"/>
    <w:rsid w:val="00A94E34"/>
    <w:rsid w:val="00A96497"/>
    <w:rsid w:val="00A97653"/>
    <w:rsid w:val="00AA0EEB"/>
    <w:rsid w:val="00AA2E87"/>
    <w:rsid w:val="00AA2F98"/>
    <w:rsid w:val="00AA5EBD"/>
    <w:rsid w:val="00AA7F8E"/>
    <w:rsid w:val="00AB149C"/>
    <w:rsid w:val="00AB3522"/>
    <w:rsid w:val="00AB3E97"/>
    <w:rsid w:val="00AB40C4"/>
    <w:rsid w:val="00AB4831"/>
    <w:rsid w:val="00AB4A85"/>
    <w:rsid w:val="00AB5119"/>
    <w:rsid w:val="00AB74F1"/>
    <w:rsid w:val="00AC01A3"/>
    <w:rsid w:val="00AC32FE"/>
    <w:rsid w:val="00AC34AD"/>
    <w:rsid w:val="00AC3B73"/>
    <w:rsid w:val="00AC6F58"/>
    <w:rsid w:val="00AC718C"/>
    <w:rsid w:val="00AD19DC"/>
    <w:rsid w:val="00AD2BB8"/>
    <w:rsid w:val="00AD3B84"/>
    <w:rsid w:val="00AD628F"/>
    <w:rsid w:val="00AD6624"/>
    <w:rsid w:val="00AE20C1"/>
    <w:rsid w:val="00AE2A8E"/>
    <w:rsid w:val="00AE4F76"/>
    <w:rsid w:val="00AF26C2"/>
    <w:rsid w:val="00AF4295"/>
    <w:rsid w:val="00AF4518"/>
    <w:rsid w:val="00AF48C8"/>
    <w:rsid w:val="00AF4E3E"/>
    <w:rsid w:val="00AF6C80"/>
    <w:rsid w:val="00AF71E1"/>
    <w:rsid w:val="00B0029E"/>
    <w:rsid w:val="00B04F34"/>
    <w:rsid w:val="00B079DA"/>
    <w:rsid w:val="00B07DB6"/>
    <w:rsid w:val="00B15506"/>
    <w:rsid w:val="00B16736"/>
    <w:rsid w:val="00B17A05"/>
    <w:rsid w:val="00B26682"/>
    <w:rsid w:val="00B376C1"/>
    <w:rsid w:val="00B40F3C"/>
    <w:rsid w:val="00B424AF"/>
    <w:rsid w:val="00B42616"/>
    <w:rsid w:val="00B43378"/>
    <w:rsid w:val="00B44D13"/>
    <w:rsid w:val="00B5075F"/>
    <w:rsid w:val="00B51755"/>
    <w:rsid w:val="00B5262D"/>
    <w:rsid w:val="00B55705"/>
    <w:rsid w:val="00B55D33"/>
    <w:rsid w:val="00B56846"/>
    <w:rsid w:val="00B635B6"/>
    <w:rsid w:val="00B63E1E"/>
    <w:rsid w:val="00B6726D"/>
    <w:rsid w:val="00B7054F"/>
    <w:rsid w:val="00B721EE"/>
    <w:rsid w:val="00B76019"/>
    <w:rsid w:val="00B77192"/>
    <w:rsid w:val="00B77468"/>
    <w:rsid w:val="00B8255D"/>
    <w:rsid w:val="00B90671"/>
    <w:rsid w:val="00B918E4"/>
    <w:rsid w:val="00B91A8C"/>
    <w:rsid w:val="00B94143"/>
    <w:rsid w:val="00B94B5C"/>
    <w:rsid w:val="00B95F88"/>
    <w:rsid w:val="00BA0A7F"/>
    <w:rsid w:val="00BA1DD1"/>
    <w:rsid w:val="00BA28D5"/>
    <w:rsid w:val="00BA38FB"/>
    <w:rsid w:val="00BB34E8"/>
    <w:rsid w:val="00BC16D8"/>
    <w:rsid w:val="00BC389C"/>
    <w:rsid w:val="00BC3F23"/>
    <w:rsid w:val="00BC444A"/>
    <w:rsid w:val="00BD1592"/>
    <w:rsid w:val="00BD503B"/>
    <w:rsid w:val="00BD6CB3"/>
    <w:rsid w:val="00BD6EA6"/>
    <w:rsid w:val="00BD73BF"/>
    <w:rsid w:val="00BE04B7"/>
    <w:rsid w:val="00BE1E3F"/>
    <w:rsid w:val="00BE2FB2"/>
    <w:rsid w:val="00BE5D73"/>
    <w:rsid w:val="00BF1D0E"/>
    <w:rsid w:val="00BF6C4D"/>
    <w:rsid w:val="00BF7700"/>
    <w:rsid w:val="00C003AC"/>
    <w:rsid w:val="00C0682B"/>
    <w:rsid w:val="00C06898"/>
    <w:rsid w:val="00C06C8F"/>
    <w:rsid w:val="00C15034"/>
    <w:rsid w:val="00C15870"/>
    <w:rsid w:val="00C16427"/>
    <w:rsid w:val="00C166A1"/>
    <w:rsid w:val="00C16FAF"/>
    <w:rsid w:val="00C17199"/>
    <w:rsid w:val="00C173BE"/>
    <w:rsid w:val="00C21FD6"/>
    <w:rsid w:val="00C26635"/>
    <w:rsid w:val="00C27F08"/>
    <w:rsid w:val="00C32D5E"/>
    <w:rsid w:val="00C3640A"/>
    <w:rsid w:val="00C43951"/>
    <w:rsid w:val="00C43C8B"/>
    <w:rsid w:val="00C444E2"/>
    <w:rsid w:val="00C46035"/>
    <w:rsid w:val="00C5321D"/>
    <w:rsid w:val="00C57AB5"/>
    <w:rsid w:val="00C601CA"/>
    <w:rsid w:val="00C60AD2"/>
    <w:rsid w:val="00C64C8C"/>
    <w:rsid w:val="00C650F3"/>
    <w:rsid w:val="00C661A7"/>
    <w:rsid w:val="00C71C6D"/>
    <w:rsid w:val="00C739D6"/>
    <w:rsid w:val="00C74501"/>
    <w:rsid w:val="00C831C9"/>
    <w:rsid w:val="00C85B8B"/>
    <w:rsid w:val="00C87161"/>
    <w:rsid w:val="00C919F1"/>
    <w:rsid w:val="00C945E3"/>
    <w:rsid w:val="00C9630D"/>
    <w:rsid w:val="00C970C3"/>
    <w:rsid w:val="00CA0B4C"/>
    <w:rsid w:val="00CA5F5A"/>
    <w:rsid w:val="00CB41C3"/>
    <w:rsid w:val="00CB5E1C"/>
    <w:rsid w:val="00CD1B23"/>
    <w:rsid w:val="00CD6B18"/>
    <w:rsid w:val="00CE41F8"/>
    <w:rsid w:val="00CE6691"/>
    <w:rsid w:val="00CF2615"/>
    <w:rsid w:val="00D00A37"/>
    <w:rsid w:val="00D02E45"/>
    <w:rsid w:val="00D046F0"/>
    <w:rsid w:val="00D21A44"/>
    <w:rsid w:val="00D21BCE"/>
    <w:rsid w:val="00D25A16"/>
    <w:rsid w:val="00D25CD3"/>
    <w:rsid w:val="00D26256"/>
    <w:rsid w:val="00D265AB"/>
    <w:rsid w:val="00D32A02"/>
    <w:rsid w:val="00D32CFB"/>
    <w:rsid w:val="00D34D44"/>
    <w:rsid w:val="00D3628D"/>
    <w:rsid w:val="00D37EC5"/>
    <w:rsid w:val="00D41895"/>
    <w:rsid w:val="00D4274B"/>
    <w:rsid w:val="00D4407A"/>
    <w:rsid w:val="00D44BBF"/>
    <w:rsid w:val="00D45596"/>
    <w:rsid w:val="00D47468"/>
    <w:rsid w:val="00D531E8"/>
    <w:rsid w:val="00D54678"/>
    <w:rsid w:val="00D546B6"/>
    <w:rsid w:val="00D60766"/>
    <w:rsid w:val="00D65B21"/>
    <w:rsid w:val="00D66711"/>
    <w:rsid w:val="00D67F9C"/>
    <w:rsid w:val="00D70434"/>
    <w:rsid w:val="00D71321"/>
    <w:rsid w:val="00D742E6"/>
    <w:rsid w:val="00D74794"/>
    <w:rsid w:val="00D7574B"/>
    <w:rsid w:val="00D75DC3"/>
    <w:rsid w:val="00D80F02"/>
    <w:rsid w:val="00D816D6"/>
    <w:rsid w:val="00D81D27"/>
    <w:rsid w:val="00D8255E"/>
    <w:rsid w:val="00D85E32"/>
    <w:rsid w:val="00D90BC9"/>
    <w:rsid w:val="00DA1346"/>
    <w:rsid w:val="00DA2BF7"/>
    <w:rsid w:val="00DA31AB"/>
    <w:rsid w:val="00DA4010"/>
    <w:rsid w:val="00DA6A8F"/>
    <w:rsid w:val="00DA6C0C"/>
    <w:rsid w:val="00DB1F11"/>
    <w:rsid w:val="00DB2A63"/>
    <w:rsid w:val="00DB3492"/>
    <w:rsid w:val="00DB3933"/>
    <w:rsid w:val="00DB4112"/>
    <w:rsid w:val="00DB5301"/>
    <w:rsid w:val="00DB6C28"/>
    <w:rsid w:val="00DC5EEA"/>
    <w:rsid w:val="00DC64DE"/>
    <w:rsid w:val="00DD18BE"/>
    <w:rsid w:val="00DD2952"/>
    <w:rsid w:val="00DD388E"/>
    <w:rsid w:val="00DD5D5C"/>
    <w:rsid w:val="00DD633C"/>
    <w:rsid w:val="00DD66FF"/>
    <w:rsid w:val="00DD78C9"/>
    <w:rsid w:val="00DE0842"/>
    <w:rsid w:val="00DE19E1"/>
    <w:rsid w:val="00DE2A23"/>
    <w:rsid w:val="00DE7B40"/>
    <w:rsid w:val="00DF3D3A"/>
    <w:rsid w:val="00DF52E1"/>
    <w:rsid w:val="00DF5B40"/>
    <w:rsid w:val="00E011BE"/>
    <w:rsid w:val="00E011E0"/>
    <w:rsid w:val="00E03B0B"/>
    <w:rsid w:val="00E07C80"/>
    <w:rsid w:val="00E10104"/>
    <w:rsid w:val="00E10AA6"/>
    <w:rsid w:val="00E1294D"/>
    <w:rsid w:val="00E1354E"/>
    <w:rsid w:val="00E209CB"/>
    <w:rsid w:val="00E30877"/>
    <w:rsid w:val="00E370A5"/>
    <w:rsid w:val="00E41B39"/>
    <w:rsid w:val="00E46F08"/>
    <w:rsid w:val="00E47BB1"/>
    <w:rsid w:val="00E51073"/>
    <w:rsid w:val="00E51A44"/>
    <w:rsid w:val="00E52742"/>
    <w:rsid w:val="00E52E9C"/>
    <w:rsid w:val="00E5730C"/>
    <w:rsid w:val="00E63CCC"/>
    <w:rsid w:val="00E653D2"/>
    <w:rsid w:val="00E67FDF"/>
    <w:rsid w:val="00E76073"/>
    <w:rsid w:val="00E77A36"/>
    <w:rsid w:val="00E80473"/>
    <w:rsid w:val="00E81BCD"/>
    <w:rsid w:val="00E81D79"/>
    <w:rsid w:val="00E83529"/>
    <w:rsid w:val="00E87972"/>
    <w:rsid w:val="00E90E64"/>
    <w:rsid w:val="00E97C54"/>
    <w:rsid w:val="00EA02BD"/>
    <w:rsid w:val="00EA20AB"/>
    <w:rsid w:val="00EA6409"/>
    <w:rsid w:val="00EA72AE"/>
    <w:rsid w:val="00EB21AE"/>
    <w:rsid w:val="00EB51E1"/>
    <w:rsid w:val="00EC01C5"/>
    <w:rsid w:val="00EC09AB"/>
    <w:rsid w:val="00EC0D6D"/>
    <w:rsid w:val="00EC371C"/>
    <w:rsid w:val="00ED1C43"/>
    <w:rsid w:val="00ED320E"/>
    <w:rsid w:val="00ED4362"/>
    <w:rsid w:val="00ED4927"/>
    <w:rsid w:val="00ED77C4"/>
    <w:rsid w:val="00EE1D4F"/>
    <w:rsid w:val="00EF08EA"/>
    <w:rsid w:val="00EF1702"/>
    <w:rsid w:val="00EF18B8"/>
    <w:rsid w:val="00EF2AAD"/>
    <w:rsid w:val="00F00D8B"/>
    <w:rsid w:val="00F015A1"/>
    <w:rsid w:val="00F046B6"/>
    <w:rsid w:val="00F04FDC"/>
    <w:rsid w:val="00F07473"/>
    <w:rsid w:val="00F077E3"/>
    <w:rsid w:val="00F07E9F"/>
    <w:rsid w:val="00F1076E"/>
    <w:rsid w:val="00F15EA8"/>
    <w:rsid w:val="00F17DA7"/>
    <w:rsid w:val="00F238C9"/>
    <w:rsid w:val="00F24FE1"/>
    <w:rsid w:val="00F300E9"/>
    <w:rsid w:val="00F304B6"/>
    <w:rsid w:val="00F304D0"/>
    <w:rsid w:val="00F310FB"/>
    <w:rsid w:val="00F3138A"/>
    <w:rsid w:val="00F363A8"/>
    <w:rsid w:val="00F43F3B"/>
    <w:rsid w:val="00F53A1C"/>
    <w:rsid w:val="00F556EB"/>
    <w:rsid w:val="00F56DE9"/>
    <w:rsid w:val="00F57025"/>
    <w:rsid w:val="00F61524"/>
    <w:rsid w:val="00F61CF8"/>
    <w:rsid w:val="00F63215"/>
    <w:rsid w:val="00F67683"/>
    <w:rsid w:val="00F702FE"/>
    <w:rsid w:val="00F71DEF"/>
    <w:rsid w:val="00F73636"/>
    <w:rsid w:val="00F73E0A"/>
    <w:rsid w:val="00F800FE"/>
    <w:rsid w:val="00F845B5"/>
    <w:rsid w:val="00F8480F"/>
    <w:rsid w:val="00F8791A"/>
    <w:rsid w:val="00F905B3"/>
    <w:rsid w:val="00F91C62"/>
    <w:rsid w:val="00F93983"/>
    <w:rsid w:val="00F939DB"/>
    <w:rsid w:val="00F979F4"/>
    <w:rsid w:val="00FA3FE4"/>
    <w:rsid w:val="00FA4AE6"/>
    <w:rsid w:val="00FB32FD"/>
    <w:rsid w:val="00FB6003"/>
    <w:rsid w:val="00FB6104"/>
    <w:rsid w:val="00FC691D"/>
    <w:rsid w:val="00FC6A6A"/>
    <w:rsid w:val="00FD28A4"/>
    <w:rsid w:val="00FD4242"/>
    <w:rsid w:val="00FE08F3"/>
    <w:rsid w:val="00FE1F5B"/>
    <w:rsid w:val="00FE21DB"/>
    <w:rsid w:val="00FE362F"/>
    <w:rsid w:val="00FE44A3"/>
    <w:rsid w:val="00FE4A90"/>
    <w:rsid w:val="00FF03BF"/>
    <w:rsid w:val="02A43515"/>
    <w:rsid w:val="02A61E20"/>
    <w:rsid w:val="0E3A0B14"/>
    <w:rsid w:val="13994A50"/>
    <w:rsid w:val="1C2A2D0B"/>
    <w:rsid w:val="24867D09"/>
    <w:rsid w:val="27956C87"/>
    <w:rsid w:val="27F34A10"/>
    <w:rsid w:val="2F881AD9"/>
    <w:rsid w:val="2FAB2DC1"/>
    <w:rsid w:val="3D897F83"/>
    <w:rsid w:val="42873EF6"/>
    <w:rsid w:val="44FC2CC4"/>
    <w:rsid w:val="450C6967"/>
    <w:rsid w:val="45C07531"/>
    <w:rsid w:val="4E497B99"/>
    <w:rsid w:val="50CE2DFF"/>
    <w:rsid w:val="53B24F03"/>
    <w:rsid w:val="59453CEF"/>
    <w:rsid w:val="60A72086"/>
    <w:rsid w:val="653B350B"/>
    <w:rsid w:val="67EE224F"/>
    <w:rsid w:val="6A353BA6"/>
    <w:rsid w:val="72AA3454"/>
    <w:rsid w:val="72BA72F1"/>
    <w:rsid w:val="7CC83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访问过的超链接"/>
    <w:rPr>
      <w:color w:val="555555"/>
      <w:u w:val="none"/>
    </w:rPr>
  </w:style>
  <w:style w:type="character" w:styleId="a5">
    <w:name w:val="Hyperlink"/>
    <w:rPr>
      <w:color w:val="555555"/>
      <w:u w:val="none"/>
    </w:rPr>
  </w:style>
  <w:style w:type="character" w:customStyle="1" w:styleId="Char">
    <w:name w:val="页眉 Char"/>
    <w:link w:val="a6"/>
    <w:rPr>
      <w:kern w:val="2"/>
      <w:sz w:val="18"/>
      <w:szCs w:val="18"/>
    </w:rPr>
  </w:style>
  <w:style w:type="character" w:customStyle="1" w:styleId="ico4">
    <w:name w:val="ico4"/>
    <w:basedOn w:val="a0"/>
  </w:style>
  <w:style w:type="character" w:customStyle="1" w:styleId="Char0">
    <w:name w:val="批注文字 Char"/>
    <w:link w:val="a7"/>
    <w:rPr>
      <w:kern w:val="2"/>
      <w:sz w:val="21"/>
      <w:szCs w:val="24"/>
    </w:rPr>
  </w:style>
  <w:style w:type="character" w:customStyle="1" w:styleId="Char1">
    <w:name w:val="页脚 Char"/>
    <w:link w:val="a8"/>
    <w:rPr>
      <w:kern w:val="2"/>
      <w:sz w:val="18"/>
      <w:szCs w:val="18"/>
    </w:rPr>
  </w:style>
  <w:style w:type="character" w:customStyle="1" w:styleId="ico2">
    <w:name w:val="ico2"/>
    <w:basedOn w:val="a0"/>
  </w:style>
  <w:style w:type="character" w:customStyle="1" w:styleId="Char2">
    <w:name w:val="批注主题 Char"/>
    <w:link w:val="a9"/>
    <w:rPr>
      <w:b/>
      <w:bCs/>
      <w:kern w:val="2"/>
      <w:sz w:val="21"/>
      <w:szCs w:val="24"/>
    </w:rPr>
  </w:style>
  <w:style w:type="character" w:customStyle="1" w:styleId="ico1">
    <w:name w:val="ico1"/>
    <w:basedOn w:val="a0"/>
  </w:style>
  <w:style w:type="character" w:customStyle="1" w:styleId="ico3">
    <w:name w:val="ico3"/>
    <w:basedOn w:val="a0"/>
  </w:style>
  <w:style w:type="character" w:customStyle="1" w:styleId="new">
    <w:name w:val="new"/>
    <w:basedOn w:val="a0"/>
  </w:style>
  <w:style w:type="paragraph" w:styleId="a9">
    <w:name w:val="annotation subject"/>
    <w:basedOn w:val="a7"/>
    <w:next w:val="a7"/>
    <w:link w:val="Char2"/>
    <w:rPr>
      <w:b/>
      <w:bCs/>
    </w:rPr>
  </w:style>
  <w:style w:type="paragraph" w:styleId="a8">
    <w:name w:val="footer"/>
    <w:basedOn w:val="a"/>
    <w:link w:val="Char1"/>
    <w:pPr>
      <w:tabs>
        <w:tab w:val="center" w:pos="4153"/>
        <w:tab w:val="right" w:pos="8306"/>
      </w:tabs>
      <w:snapToGrid w:val="0"/>
      <w:jc w:val="left"/>
    </w:pPr>
    <w:rPr>
      <w:sz w:val="18"/>
      <w:szCs w:val="18"/>
      <w:lang/>
    </w:rPr>
  </w:style>
  <w:style w:type="paragraph" w:styleId="aa">
    <w:name w:val="Normal (Web)"/>
    <w:basedOn w:val="a"/>
    <w:uiPriority w:val="99"/>
    <w:unhideWhenUsed/>
    <w:pPr>
      <w:widowControl/>
      <w:jc w:val="left"/>
    </w:pPr>
    <w:rPr>
      <w:rFonts w:ascii="宋体" w:hAnsi="宋体" w:cs="宋体"/>
      <w:kern w:val="0"/>
      <w:sz w:val="24"/>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b">
    <w:name w:val="Balloon Text"/>
    <w:basedOn w:val="a"/>
    <w:semiHidden/>
    <w:rPr>
      <w:sz w:val="18"/>
      <w:szCs w:val="18"/>
    </w:rPr>
  </w:style>
  <w:style w:type="paragraph" w:styleId="a7">
    <w:name w:val="annotation text"/>
    <w:basedOn w:val="a"/>
    <w:link w:val="Char0"/>
    <w:pPr>
      <w:jc w:val="left"/>
    </w:pPr>
    <w:rPr>
      <w:lang/>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CharChar">
    <w:name w:val=" Char Char Char Char"/>
    <w:basedOn w:val="a"/>
    <w:pPr>
      <w:tabs>
        <w:tab w:val="left" w:pos="840"/>
      </w:tabs>
      <w:ind w:left="840" w:hanging="360"/>
    </w:pPr>
    <w:rPr>
      <w:sz w:val="24"/>
    </w:rPr>
  </w:style>
  <w:style w:type="paragraph" w:customStyle="1" w:styleId="Char3">
    <w:name w:val="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c">
    <w:name w:val="Revision"/>
    <w:uiPriority w:val="99"/>
    <w:unhideWhenUsed/>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4</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JonMMx 2000</cp:lastModifiedBy>
  <cp:revision>2</cp:revision>
  <cp:lastPrinted>2020-05-14T02:42:00Z</cp:lastPrinted>
  <dcterms:created xsi:type="dcterms:W3CDTF">2020-05-15T16:00:00Z</dcterms:created>
  <dcterms:modified xsi:type="dcterms:W3CDTF">2020-05-15T16:00:00Z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