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CC2FD8">
      <w:r>
        <w:rPr>
          <w:rFonts w:eastAsia="Times New Roman"/>
          <w:lang w:val="en-US" w:eastAsia="zh-CN"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idrep.phfund.com.cn/default/upload/word-templates/20190418/53560cc839034be8930396345118cf1f.doc.001.jpeg" style="width:241.5pt;height:30.75pt">
            <v:imagedata r:id="rId6" o:title=""/>
          </v:shape>
        </w:pict>
      </w:r>
      <w:r>
        <w:rPr>
          <w:rFonts w:eastAsia="Times New Roman"/>
          <w:lang w:val="en-US" w:eastAsia="zh-CN" w:bidi="ar-SA"/>
        </w:rPr>
        <w:t xml:space="preserve"> </w:t>
      </w:r>
    </w:p>
    <w:p w:rsidR="00CC2FD8" w:rsidRDefault="00CC2FD8">
      <w:pPr>
        <w:spacing w:line="360" w:lineRule="auto"/>
        <w:ind w:left="8880" w:hanging="8880"/>
        <w:jc w:val="both"/>
        <w:rPr>
          <w:rFonts w:eastAsia="Times New Roman"/>
          <w:lang w:val="en-US" w:eastAsia="zh-CN" w:bidi="ar-SA"/>
        </w:rPr>
      </w:pPr>
      <w:r>
        <w:rPr>
          <w:rFonts w:ascii="宋体" w:hAnsi="宋体" w:cs="宋体"/>
          <w:lang w:val="en-US" w:eastAsia="zh-CN" w:bidi="ar-SA"/>
        </w:rPr>
        <w:t> </w:t>
      </w:r>
    </w:p>
    <w:p w:rsidR="00CC2FD8" w:rsidRDefault="00CC2FD8">
      <w:pPr>
        <w:spacing w:line="360" w:lineRule="auto"/>
        <w:ind w:left="8880" w:hanging="8880"/>
        <w:jc w:val="both"/>
        <w:rPr>
          <w:rFonts w:eastAsia="Times New Roman"/>
          <w:lang w:val="en-US" w:eastAsia="zh-CN" w:bidi="ar-SA"/>
        </w:rPr>
      </w:pPr>
      <w:r>
        <w:rPr>
          <w:rFonts w:ascii="宋体" w:hAnsi="宋体" w:cs="宋体"/>
          <w:lang w:val="en-US" w:eastAsia="zh-CN" w:bidi="ar-SA"/>
        </w:rPr>
        <w:t> </w:t>
      </w:r>
    </w:p>
    <w:p w:rsidR="00CC2FD8" w:rsidRDefault="00CC2FD8">
      <w:pPr>
        <w:spacing w:line="360" w:lineRule="auto"/>
        <w:ind w:left="8880" w:hanging="8880"/>
        <w:jc w:val="both"/>
        <w:rPr>
          <w:rFonts w:eastAsia="Times New Roman"/>
          <w:lang w:val="en-US" w:eastAsia="zh-CN" w:bidi="ar-SA"/>
        </w:rPr>
      </w:pPr>
      <w:r>
        <w:rPr>
          <w:rFonts w:ascii="宋体" w:hAnsi="宋体" w:cs="宋体"/>
          <w:lang w:val="en-US" w:eastAsia="zh-CN" w:bidi="ar-SA"/>
        </w:rPr>
        <w:t> </w:t>
      </w:r>
    </w:p>
    <w:p w:rsidR="00CC2FD8" w:rsidRDefault="00CC2FD8">
      <w:pPr>
        <w:spacing w:before="120" w:after="120" w:line="360" w:lineRule="auto"/>
        <w:jc w:val="center"/>
        <w:rPr>
          <w:rFonts w:eastAsia="Times New Roman"/>
          <w:sz w:val="52"/>
          <w:szCs w:val="52"/>
          <w:lang w:val="en-US" w:eastAsia="zh-CN" w:bidi="ar-SA"/>
        </w:rPr>
      </w:pPr>
      <w:r>
        <w:rPr>
          <w:rFonts w:ascii="华文行楷" w:eastAsia="华文行楷" w:hAnsi="华文行楷" w:cs="华文行楷"/>
          <w:sz w:val="52"/>
          <w:szCs w:val="52"/>
          <w:lang w:val="en-US" w:eastAsia="zh-CN" w:bidi="ar-SA"/>
        </w:rPr>
        <w:t>鹏华中短债</w:t>
      </w:r>
      <w:r>
        <w:rPr>
          <w:sz w:val="52"/>
          <w:szCs w:val="52"/>
          <w:lang w:val="en-US" w:eastAsia="zh-CN" w:bidi="ar-SA"/>
        </w:rPr>
        <w:t>3</w:t>
      </w:r>
      <w:r>
        <w:rPr>
          <w:rFonts w:ascii="华文行楷" w:eastAsia="华文行楷" w:hAnsi="华文行楷" w:cs="华文行楷"/>
          <w:sz w:val="52"/>
          <w:szCs w:val="52"/>
          <w:lang w:val="en-US" w:eastAsia="zh-CN" w:bidi="ar-SA"/>
        </w:rPr>
        <w:t>个月定期开放债券型证券投资基金更新的招募说明书摘要</w:t>
      </w:r>
    </w:p>
    <w:p w:rsidR="00CC2FD8" w:rsidRDefault="00CC2FD8">
      <w:pPr>
        <w:spacing w:before="120" w:after="120" w:line="360" w:lineRule="auto"/>
        <w:jc w:val="center"/>
        <w:rPr>
          <w:rFonts w:eastAsia="Times New Roman"/>
          <w:sz w:val="52"/>
          <w:szCs w:val="52"/>
          <w:lang w:val="en-US" w:eastAsia="zh-CN" w:bidi="ar-SA"/>
        </w:rPr>
      </w:pPr>
    </w:p>
    <w:p w:rsidR="00CC2FD8" w:rsidRDefault="00CC2FD8">
      <w:pPr>
        <w:spacing w:line="360" w:lineRule="auto"/>
        <w:jc w:val="center"/>
        <w:rPr>
          <w:rFonts w:eastAsia="Times New Roman"/>
          <w:sz w:val="52"/>
          <w:szCs w:val="52"/>
          <w:lang w:val="en-US" w:eastAsia="zh-CN" w:bidi="ar-SA"/>
        </w:rPr>
      </w:pPr>
      <w:r>
        <w:rPr>
          <w:sz w:val="52"/>
          <w:szCs w:val="52"/>
          <w:lang w:val="en-US" w:eastAsia="zh-CN" w:bidi="ar-SA"/>
        </w:rPr>
        <w:t> </w:t>
      </w:r>
    </w:p>
    <w:p w:rsidR="00CC2FD8" w:rsidRDefault="00CC2FD8">
      <w:pPr>
        <w:spacing w:line="360" w:lineRule="auto"/>
        <w:jc w:val="center"/>
        <w:rPr>
          <w:rFonts w:eastAsia="Times New Roman"/>
          <w:sz w:val="32"/>
          <w:szCs w:val="32"/>
          <w:lang w:val="en-US" w:eastAsia="zh-CN" w:bidi="ar-SA"/>
        </w:rPr>
      </w:pPr>
      <w:r>
        <w:rPr>
          <w:sz w:val="32"/>
          <w:szCs w:val="32"/>
          <w:lang w:val="en-US" w:eastAsia="zh-CN" w:bidi="ar-SA"/>
        </w:rPr>
        <w:t> </w:t>
      </w:r>
    </w:p>
    <w:p w:rsidR="00CC2FD8" w:rsidRDefault="00CC2FD8">
      <w:pPr>
        <w:spacing w:line="360" w:lineRule="auto"/>
        <w:jc w:val="both"/>
        <w:rPr>
          <w:rFonts w:eastAsia="Times New Roman"/>
          <w:sz w:val="32"/>
          <w:szCs w:val="32"/>
          <w:lang w:val="en-US" w:eastAsia="zh-CN" w:bidi="ar-SA"/>
        </w:rPr>
      </w:pPr>
      <w:r>
        <w:rPr>
          <w:sz w:val="32"/>
          <w:szCs w:val="32"/>
          <w:lang w:val="en-US" w:eastAsia="zh-CN" w:bidi="ar-SA"/>
        </w:rPr>
        <w:t> </w:t>
      </w:r>
    </w:p>
    <w:p w:rsidR="00CC2FD8" w:rsidRDefault="00CC2FD8">
      <w:pPr>
        <w:spacing w:line="360" w:lineRule="auto"/>
        <w:jc w:val="both"/>
        <w:rPr>
          <w:rFonts w:eastAsia="Times New Roman"/>
          <w:sz w:val="32"/>
          <w:szCs w:val="32"/>
          <w:lang w:val="en-US" w:eastAsia="zh-CN" w:bidi="ar-SA"/>
        </w:rPr>
      </w:pPr>
      <w:r>
        <w:rPr>
          <w:sz w:val="32"/>
          <w:szCs w:val="32"/>
          <w:lang w:val="en-US" w:eastAsia="zh-CN" w:bidi="ar-SA"/>
        </w:rPr>
        <w:t> </w:t>
      </w:r>
    </w:p>
    <w:p w:rsidR="00CC2FD8" w:rsidRDefault="00CC2FD8">
      <w:pPr>
        <w:spacing w:line="360" w:lineRule="auto"/>
        <w:jc w:val="center"/>
        <w:rPr>
          <w:rFonts w:eastAsia="Times New Roman"/>
          <w:sz w:val="36"/>
          <w:szCs w:val="36"/>
          <w:lang w:val="en-US" w:eastAsia="zh-CN" w:bidi="ar-SA"/>
        </w:rPr>
      </w:pPr>
      <w:r>
        <w:rPr>
          <w:rFonts w:ascii="华文行楷" w:eastAsia="华文行楷" w:hAnsi="华文行楷" w:cs="华文行楷"/>
          <w:sz w:val="36"/>
          <w:szCs w:val="36"/>
          <w:lang w:val="en-US" w:eastAsia="zh-CN" w:bidi="ar-SA"/>
        </w:rPr>
        <w:t>基金管理人</w:t>
      </w:r>
      <w:r>
        <w:rPr>
          <w:sz w:val="36"/>
          <w:szCs w:val="36"/>
          <w:lang w:val="en-US" w:eastAsia="zh-CN" w:bidi="ar-SA"/>
        </w:rPr>
        <w:t>:</w:t>
      </w:r>
      <w:r>
        <w:rPr>
          <w:rFonts w:ascii="华文行楷" w:eastAsia="华文行楷" w:hAnsi="华文行楷" w:cs="华文行楷"/>
          <w:sz w:val="36"/>
          <w:szCs w:val="36"/>
          <w:lang w:val="en-US" w:eastAsia="zh-CN" w:bidi="ar-SA"/>
        </w:rPr>
        <w:t>鹏华基金管理有限公司</w:t>
      </w:r>
    </w:p>
    <w:p w:rsidR="00CC2FD8" w:rsidRDefault="00CC2FD8">
      <w:pPr>
        <w:spacing w:line="360" w:lineRule="auto"/>
        <w:jc w:val="center"/>
        <w:rPr>
          <w:rFonts w:eastAsia="Times New Roman"/>
          <w:sz w:val="36"/>
          <w:szCs w:val="36"/>
          <w:lang w:val="en-US" w:eastAsia="zh-CN" w:bidi="ar-SA"/>
        </w:rPr>
      </w:pPr>
      <w:r>
        <w:rPr>
          <w:rFonts w:ascii="华文行楷" w:eastAsia="华文行楷" w:hAnsi="华文行楷" w:cs="华文行楷"/>
          <w:sz w:val="36"/>
          <w:szCs w:val="36"/>
          <w:lang w:val="en-US" w:eastAsia="zh-CN" w:bidi="ar-SA"/>
        </w:rPr>
        <w:t>基金托管人：中国工商银行股份有限公司</w:t>
      </w:r>
    </w:p>
    <w:p w:rsidR="00CC2FD8" w:rsidRDefault="00CC2FD8">
      <w:pPr>
        <w:spacing w:line="360" w:lineRule="auto"/>
        <w:jc w:val="center"/>
        <w:rPr>
          <w:rFonts w:eastAsia="Times New Roman"/>
          <w:sz w:val="36"/>
          <w:szCs w:val="36"/>
          <w:lang w:val="en-US" w:eastAsia="zh-CN" w:bidi="ar-SA"/>
        </w:rPr>
      </w:pPr>
      <w:r>
        <w:rPr>
          <w:rFonts w:ascii="华文行楷" w:eastAsia="华文行楷" w:hAnsi="华文行楷" w:cs="华文行楷"/>
          <w:sz w:val="36"/>
          <w:szCs w:val="36"/>
          <w:lang w:val="en-US" w:eastAsia="zh-CN" w:bidi="ar-SA"/>
        </w:rPr>
        <w:t>2020年05月</w:t>
      </w:r>
    </w:p>
    <w:p w:rsidR="00CC2FD8" w:rsidRDefault="00CC2FD8">
      <w:pPr>
        <w:spacing w:line="360" w:lineRule="auto"/>
        <w:jc w:val="center"/>
        <w:rPr>
          <w:rFonts w:eastAsia="Times New Roman"/>
          <w:lang w:val="en-US" w:eastAsia="zh-CN" w:bidi="ar-SA"/>
        </w:rPr>
      </w:pPr>
    </w:p>
    <w:p w:rsidR="00CC2FD8" w:rsidRDefault="00CC2FD8">
      <w:pPr>
        <w:spacing w:before="280" w:after="280"/>
        <w:rPr>
          <w:rFonts w:eastAsia="Times New Roman"/>
          <w:lang w:val="en-US" w:eastAsia="zh-CN" w:bidi="ar-SA"/>
        </w:rPr>
      </w:pPr>
    </w:p>
    <w:p w:rsidR="00CC2FD8" w:rsidRDefault="00CC2FD8">
      <w:pPr>
        <w:spacing w:before="280" w:after="280"/>
        <w:rPr>
          <w:rFonts w:eastAsia="Times New Roman"/>
          <w:lang w:val="en-US" w:eastAsia="zh-CN" w:bidi="ar-SA"/>
        </w:rPr>
      </w:pPr>
    </w:p>
    <w:p w:rsidR="00CC2FD8" w:rsidRDefault="00CC2FD8">
      <w:pPr>
        <w:spacing w:before="280" w:after="280"/>
        <w:rPr>
          <w:rFonts w:eastAsia="Times New Roman"/>
          <w:lang w:val="en-US" w:eastAsia="zh-CN" w:bidi="ar-SA"/>
        </w:rPr>
      </w:pPr>
    </w:p>
    <w:p w:rsidR="00CC2FD8" w:rsidRDefault="00CC2FD8">
      <w:pPr>
        <w:spacing w:before="280" w:after="280"/>
        <w:rPr>
          <w:rFonts w:eastAsia="Times New Roman"/>
          <w:lang w:val="en-US" w:eastAsia="zh-CN" w:bidi="ar-SA"/>
        </w:rPr>
      </w:pPr>
    </w:p>
    <w:p w:rsidR="00CC2FD8" w:rsidRDefault="00CC2FD8">
      <w:pPr>
        <w:spacing w:after="240" w:line="360" w:lineRule="auto"/>
        <w:jc w:val="center"/>
        <w:rPr>
          <w:rFonts w:eastAsia="Times New Roman"/>
          <w:lang w:val="en-US" w:eastAsia="zh-CN" w:bidi="ar-SA"/>
        </w:rPr>
      </w:pPr>
      <w:r>
        <w:rPr>
          <w:rFonts w:ascii="宋体" w:hAnsi="宋体" w:cs="宋体"/>
          <w:b/>
          <w:bCs/>
          <w:lang w:val="en-US" w:eastAsia="zh-CN" w:bidi="ar-SA"/>
        </w:rPr>
        <w:lastRenderedPageBreak/>
        <w:t>重要提示</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本基金经</w:t>
      </w:r>
      <w:r>
        <w:rPr>
          <w:sz w:val="21"/>
          <w:szCs w:val="21"/>
          <w:lang w:val="en-US" w:eastAsia="zh-CN" w:bidi="ar-SA"/>
        </w:rPr>
        <w:t>2018</w:t>
      </w:r>
      <w:r>
        <w:rPr>
          <w:rFonts w:ascii="宋体" w:hAnsi="宋体" w:cs="宋体"/>
          <w:sz w:val="21"/>
          <w:szCs w:val="21"/>
          <w:lang w:val="en-US" w:eastAsia="zh-CN" w:bidi="ar-SA"/>
        </w:rPr>
        <w:t>年</w:t>
      </w:r>
      <w:r>
        <w:rPr>
          <w:sz w:val="21"/>
          <w:szCs w:val="21"/>
          <w:lang w:val="en-US" w:eastAsia="zh-CN" w:bidi="ar-SA"/>
        </w:rPr>
        <w:t>9</w:t>
      </w:r>
      <w:r>
        <w:rPr>
          <w:rFonts w:ascii="宋体" w:hAnsi="宋体" w:cs="宋体"/>
          <w:sz w:val="21"/>
          <w:szCs w:val="21"/>
          <w:lang w:val="en-US" w:eastAsia="zh-CN" w:bidi="ar-SA"/>
        </w:rPr>
        <w:t>月</w:t>
      </w:r>
      <w:r>
        <w:rPr>
          <w:sz w:val="21"/>
          <w:szCs w:val="21"/>
          <w:lang w:val="en-US" w:eastAsia="zh-CN" w:bidi="ar-SA"/>
        </w:rPr>
        <w:t>7</w:t>
      </w:r>
      <w:r>
        <w:rPr>
          <w:rFonts w:ascii="宋体" w:hAnsi="宋体" w:cs="宋体"/>
          <w:sz w:val="21"/>
          <w:szCs w:val="21"/>
          <w:lang w:val="en-US" w:eastAsia="zh-CN" w:bidi="ar-SA"/>
        </w:rPr>
        <w:t>日中国证券监督管理委员会下发的《关于准予鹏华中短债</w:t>
      </w:r>
      <w:r>
        <w:rPr>
          <w:sz w:val="21"/>
          <w:szCs w:val="21"/>
          <w:lang w:val="en-US" w:eastAsia="zh-CN" w:bidi="ar-SA"/>
        </w:rPr>
        <w:t>3</w:t>
      </w:r>
      <w:r>
        <w:rPr>
          <w:rFonts w:ascii="宋体" w:hAnsi="宋体" w:cs="宋体"/>
          <w:sz w:val="21"/>
          <w:szCs w:val="21"/>
          <w:lang w:val="en-US" w:eastAsia="zh-CN" w:bidi="ar-SA"/>
        </w:rPr>
        <w:t>个月定期开放债券型证券投资基金的批复》（证监许可</w:t>
      </w:r>
      <w:r>
        <w:rPr>
          <w:sz w:val="21"/>
          <w:szCs w:val="21"/>
          <w:lang w:val="en-US" w:eastAsia="zh-CN" w:bidi="ar-SA"/>
        </w:rPr>
        <w:t>[2018]1454</w:t>
      </w:r>
      <w:r>
        <w:rPr>
          <w:rFonts w:ascii="宋体" w:hAnsi="宋体" w:cs="宋体"/>
          <w:sz w:val="21"/>
          <w:szCs w:val="21"/>
          <w:lang w:val="en-US" w:eastAsia="zh-CN" w:bidi="ar-SA"/>
        </w:rPr>
        <w:t>号）注册，进行募集。根据相关法律法规，本基金基金合同已于2018年10月17日生效，基金管理人于该日起正式开始对基金财产进行运作管理。</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基金管理人保证本招募说明书的内容真实、准确、完整。本招募说明书经中国证监会注册，但中国证监会对本基金募集的注册，并不表明其对本基金的价值和收益作出实质性判断或保证，也不表明投资于本基金没有风险。</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投资于证券市场，基金净值会因为证券市场波动等因素产生波动，投资人在投资本基金前，应全面了解本基金的产品特性，充分考虑自身的风险承受能力，理性判断市场，并承担基金投资中出现的各类风险，包括但不限于：系统性风险、非系统性风险、管理风险、流动性风险、本基金特定风险及其他风险等。</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基金的过往业绩并不预示其未来表现，基金管理人管理的其他基金的业绩并不构成对本基金表现的保证。</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基金管理人依照恪尽职守、诚实信用、谨慎勤勉的原则管理和运用基金财产，但不保证基金一定盈利，也不保证最低收益。基金管理人提醒投资人基金投资的“买者自负”原则，在投资人作出投资决策后，基金运营状况与基金净值变化引致的投资风险，由投资人自行承担。投资有风险，投资人在投资本基金前应认真阅读本基金的招募说明书、基金合同和基金产品资料概要。</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基金合同约定的基金产品资料概要编制、披露与更新要求，自《信息披露办法》实施之日起一年后开始执行。</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本招募说明书所载内容截止日为2020年04月15日，有关财务数据和净值表现截止日为2019年12月31日 (未经审计)。</w:t>
      </w:r>
    </w:p>
    <w:p w:rsidR="00CC2FD8" w:rsidRDefault="00CC2FD8">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一、基金管理人</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一、基金管理人概况</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1</w:t>
      </w:r>
      <w:r>
        <w:rPr>
          <w:rFonts w:ascii="宋体" w:hAnsi="宋体" w:cs="宋体"/>
          <w:sz w:val="21"/>
          <w:szCs w:val="21"/>
          <w:lang w:val="en-US" w:eastAsia="zh-CN" w:bidi="ar-SA"/>
        </w:rPr>
        <w:t>、名称：鹏华基金管理有限公司</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2</w:t>
      </w:r>
      <w:r>
        <w:rPr>
          <w:rFonts w:ascii="宋体" w:hAnsi="宋体" w:cs="宋体"/>
          <w:sz w:val="21"/>
          <w:szCs w:val="21"/>
          <w:lang w:val="en-US" w:eastAsia="zh-CN" w:bidi="ar-SA"/>
        </w:rPr>
        <w:t>、住所：深圳市福田区福华三路</w:t>
      </w:r>
      <w:r>
        <w:rPr>
          <w:sz w:val="21"/>
          <w:szCs w:val="21"/>
          <w:lang w:val="en-US" w:eastAsia="zh-CN" w:bidi="ar-SA"/>
        </w:rPr>
        <w:t>168</w:t>
      </w:r>
      <w:r>
        <w:rPr>
          <w:rFonts w:ascii="宋体" w:hAnsi="宋体" w:cs="宋体"/>
          <w:sz w:val="21"/>
          <w:szCs w:val="21"/>
          <w:lang w:val="en-US" w:eastAsia="zh-CN" w:bidi="ar-SA"/>
        </w:rPr>
        <w:t>号深圳国际商会中心</w:t>
      </w:r>
      <w:r>
        <w:rPr>
          <w:sz w:val="21"/>
          <w:szCs w:val="21"/>
          <w:lang w:val="en-US" w:eastAsia="zh-CN" w:bidi="ar-SA"/>
        </w:rPr>
        <w:t>43</w:t>
      </w:r>
      <w:r>
        <w:rPr>
          <w:rFonts w:ascii="宋体" w:hAnsi="宋体" w:cs="宋体"/>
          <w:sz w:val="21"/>
          <w:szCs w:val="21"/>
          <w:lang w:val="en-US" w:eastAsia="zh-CN" w:bidi="ar-SA"/>
        </w:rPr>
        <w:t>层</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3</w:t>
      </w:r>
      <w:r>
        <w:rPr>
          <w:rFonts w:ascii="宋体" w:hAnsi="宋体" w:cs="宋体"/>
          <w:sz w:val="21"/>
          <w:szCs w:val="21"/>
          <w:lang w:val="en-US" w:eastAsia="zh-CN" w:bidi="ar-SA"/>
        </w:rPr>
        <w:t>、设立日期：</w:t>
      </w:r>
      <w:r>
        <w:rPr>
          <w:sz w:val="21"/>
          <w:szCs w:val="21"/>
          <w:lang w:val="en-US" w:eastAsia="zh-CN" w:bidi="ar-SA"/>
        </w:rPr>
        <w:t>1998</w:t>
      </w:r>
      <w:r>
        <w:rPr>
          <w:rFonts w:ascii="宋体" w:hAnsi="宋体" w:cs="宋体"/>
          <w:sz w:val="21"/>
          <w:szCs w:val="21"/>
          <w:lang w:val="en-US" w:eastAsia="zh-CN" w:bidi="ar-SA"/>
        </w:rPr>
        <w:t>年</w:t>
      </w:r>
      <w:r>
        <w:rPr>
          <w:sz w:val="21"/>
          <w:szCs w:val="21"/>
          <w:lang w:val="en-US" w:eastAsia="zh-CN" w:bidi="ar-SA"/>
        </w:rPr>
        <w:t>12</w:t>
      </w:r>
      <w:r>
        <w:rPr>
          <w:rFonts w:ascii="宋体" w:hAnsi="宋体" w:cs="宋体"/>
          <w:sz w:val="21"/>
          <w:szCs w:val="21"/>
          <w:lang w:val="en-US" w:eastAsia="zh-CN" w:bidi="ar-SA"/>
        </w:rPr>
        <w:t>月</w:t>
      </w:r>
      <w:r>
        <w:rPr>
          <w:sz w:val="21"/>
          <w:szCs w:val="21"/>
          <w:lang w:val="en-US" w:eastAsia="zh-CN" w:bidi="ar-SA"/>
        </w:rPr>
        <w:t>22</w:t>
      </w:r>
      <w:r>
        <w:rPr>
          <w:rFonts w:ascii="宋体" w:hAnsi="宋体" w:cs="宋体"/>
          <w:sz w:val="21"/>
          <w:szCs w:val="21"/>
          <w:lang w:val="en-US" w:eastAsia="zh-CN" w:bidi="ar-SA"/>
        </w:rPr>
        <w:t>日</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4</w:t>
      </w:r>
      <w:r>
        <w:rPr>
          <w:rFonts w:ascii="宋体" w:hAnsi="宋体" w:cs="宋体"/>
          <w:sz w:val="21"/>
          <w:szCs w:val="21"/>
          <w:lang w:val="en-US" w:eastAsia="zh-CN" w:bidi="ar-SA"/>
        </w:rPr>
        <w:t>、法定代表人：何如</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5</w:t>
      </w:r>
      <w:r>
        <w:rPr>
          <w:rFonts w:ascii="宋体" w:hAnsi="宋体" w:cs="宋体"/>
          <w:sz w:val="21"/>
          <w:szCs w:val="21"/>
          <w:lang w:val="en-US" w:eastAsia="zh-CN" w:bidi="ar-SA"/>
        </w:rPr>
        <w:t>、办公地址：深圳市福田区福华三路</w:t>
      </w:r>
      <w:r>
        <w:rPr>
          <w:sz w:val="21"/>
          <w:szCs w:val="21"/>
          <w:lang w:val="en-US" w:eastAsia="zh-CN" w:bidi="ar-SA"/>
        </w:rPr>
        <w:t>168</w:t>
      </w:r>
      <w:r>
        <w:rPr>
          <w:rFonts w:ascii="宋体" w:hAnsi="宋体" w:cs="宋体"/>
          <w:sz w:val="21"/>
          <w:szCs w:val="21"/>
          <w:lang w:val="en-US" w:eastAsia="zh-CN" w:bidi="ar-SA"/>
        </w:rPr>
        <w:t>号深圳国际商会中心</w:t>
      </w:r>
      <w:r>
        <w:rPr>
          <w:sz w:val="21"/>
          <w:szCs w:val="21"/>
          <w:lang w:val="en-US" w:eastAsia="zh-CN" w:bidi="ar-SA"/>
        </w:rPr>
        <w:t>43</w:t>
      </w:r>
      <w:r>
        <w:rPr>
          <w:rFonts w:ascii="宋体" w:hAnsi="宋体" w:cs="宋体"/>
          <w:sz w:val="21"/>
          <w:szCs w:val="21"/>
          <w:lang w:val="en-US" w:eastAsia="zh-CN" w:bidi="ar-SA"/>
        </w:rPr>
        <w:t>层</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6</w:t>
      </w:r>
      <w:r>
        <w:rPr>
          <w:rFonts w:ascii="宋体" w:hAnsi="宋体" w:cs="宋体"/>
          <w:sz w:val="21"/>
          <w:szCs w:val="21"/>
          <w:lang w:val="en-US" w:eastAsia="zh-CN" w:bidi="ar-SA"/>
        </w:rPr>
        <w:t>、电话：（</w:t>
      </w:r>
      <w:r>
        <w:rPr>
          <w:sz w:val="21"/>
          <w:szCs w:val="21"/>
          <w:lang w:val="en-US" w:eastAsia="zh-CN" w:bidi="ar-SA"/>
        </w:rPr>
        <w:t>0755</w:t>
      </w:r>
      <w:r>
        <w:rPr>
          <w:rFonts w:ascii="宋体" w:hAnsi="宋体" w:cs="宋体"/>
          <w:sz w:val="21"/>
          <w:szCs w:val="21"/>
          <w:lang w:val="en-US" w:eastAsia="zh-CN" w:bidi="ar-SA"/>
        </w:rPr>
        <w:t>）</w:t>
      </w:r>
      <w:r>
        <w:rPr>
          <w:sz w:val="21"/>
          <w:szCs w:val="21"/>
          <w:lang w:val="en-US" w:eastAsia="zh-CN" w:bidi="ar-SA"/>
        </w:rPr>
        <w:t xml:space="preserve">82021233       </w:t>
      </w:r>
      <w:r>
        <w:rPr>
          <w:rFonts w:ascii="宋体" w:hAnsi="宋体" w:cs="宋体"/>
          <w:sz w:val="21"/>
          <w:szCs w:val="21"/>
          <w:lang w:val="en-US" w:eastAsia="zh-CN" w:bidi="ar-SA"/>
        </w:rPr>
        <w:t>传真：（</w:t>
      </w:r>
      <w:r>
        <w:rPr>
          <w:sz w:val="21"/>
          <w:szCs w:val="21"/>
          <w:lang w:val="en-US" w:eastAsia="zh-CN" w:bidi="ar-SA"/>
        </w:rPr>
        <w:t>0755</w:t>
      </w:r>
      <w:r>
        <w:rPr>
          <w:rFonts w:ascii="宋体" w:hAnsi="宋体" w:cs="宋体"/>
          <w:sz w:val="21"/>
          <w:szCs w:val="21"/>
          <w:lang w:val="en-US" w:eastAsia="zh-CN" w:bidi="ar-SA"/>
        </w:rPr>
        <w:t>）</w:t>
      </w:r>
      <w:r>
        <w:rPr>
          <w:sz w:val="21"/>
          <w:szCs w:val="21"/>
          <w:lang w:val="en-US" w:eastAsia="zh-CN" w:bidi="ar-SA"/>
        </w:rPr>
        <w:t>82021155</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7</w:t>
      </w:r>
      <w:r>
        <w:rPr>
          <w:rFonts w:ascii="宋体" w:hAnsi="宋体" w:cs="宋体"/>
          <w:sz w:val="21"/>
          <w:szCs w:val="21"/>
          <w:lang w:val="en-US" w:eastAsia="zh-CN" w:bidi="ar-SA"/>
        </w:rPr>
        <w:t>、联系人：吕奇志</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8</w:t>
      </w:r>
      <w:r>
        <w:rPr>
          <w:rFonts w:ascii="宋体" w:hAnsi="宋体" w:cs="宋体"/>
          <w:sz w:val="21"/>
          <w:szCs w:val="21"/>
          <w:lang w:val="en-US" w:eastAsia="zh-CN" w:bidi="ar-SA"/>
        </w:rPr>
        <w:t>、注册资本：人民币</w:t>
      </w:r>
      <w:r>
        <w:rPr>
          <w:sz w:val="21"/>
          <w:szCs w:val="21"/>
          <w:lang w:val="en-US" w:eastAsia="zh-CN" w:bidi="ar-SA"/>
        </w:rPr>
        <w:t>1.5</w:t>
      </w:r>
      <w:r>
        <w:rPr>
          <w:rFonts w:ascii="宋体" w:hAnsi="宋体" w:cs="宋体"/>
          <w:sz w:val="21"/>
          <w:szCs w:val="21"/>
          <w:lang w:val="en-US" w:eastAsia="zh-CN" w:bidi="ar-SA"/>
        </w:rPr>
        <w:t>亿元</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9</w:t>
      </w:r>
      <w:r>
        <w:rPr>
          <w:rFonts w:ascii="宋体" w:hAnsi="宋体" w:cs="宋体"/>
          <w:sz w:val="21"/>
          <w:szCs w:val="21"/>
          <w:lang w:val="en-US" w:eastAsia="zh-CN" w:bidi="ar-SA"/>
        </w:rPr>
        <w:t>、股权结构：</w:t>
      </w:r>
    </w:p>
    <w:tbl>
      <w:tblPr>
        <w:tblW w:w="0" w:type="auto"/>
        <w:jc w:val="center"/>
        <w:tblInd w:w="110"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3633"/>
        <w:gridCol w:w="1625"/>
        <w:gridCol w:w="1995"/>
      </w:tblGrid>
      <w:tr w:rsidR="00CC2FD8" w:rsidRPr="00CC2FD8">
        <w:trPr>
          <w:trHeight w:val="411"/>
          <w:jc w:val="center"/>
        </w:trPr>
        <w:tc>
          <w:tcPr>
            <w:tcW w:w="3633" w:type="dxa"/>
            <w:tcBorders>
              <w:bottom w:val="single" w:sz="6" w:space="0" w:color="auto"/>
              <w:right w:val="single" w:sz="6" w:space="0" w:color="auto"/>
            </w:tcBorders>
            <w:tcMar>
              <w:top w:w="8" w:type="dxa"/>
              <w:left w:w="102" w:type="dxa"/>
              <w:bottom w:w="8" w:type="dxa"/>
              <w:right w:w="102" w:type="dxa"/>
            </w:tcMar>
            <w:vAlign w:val="center"/>
            <w:hideMark/>
          </w:tcPr>
          <w:p w:rsidR="00CC2FD8" w:rsidRDefault="00CC2FD8">
            <w:pPr>
              <w:jc w:val="center"/>
              <w:rPr>
                <w:rFonts w:eastAsia="Times New Roman"/>
                <w:sz w:val="21"/>
                <w:szCs w:val="21"/>
                <w:lang w:val="en-US" w:eastAsia="zh-CN" w:bidi="ar-SA"/>
              </w:rPr>
            </w:pPr>
            <w:r>
              <w:rPr>
                <w:rFonts w:ascii="宋体" w:hAnsi="宋体" w:cs="宋体"/>
                <w:sz w:val="21"/>
                <w:szCs w:val="21"/>
                <w:lang w:val="en-US" w:eastAsia="zh-CN" w:bidi="ar-SA"/>
              </w:rPr>
              <w:t>出资人名称</w:t>
            </w:r>
          </w:p>
        </w:tc>
        <w:tc>
          <w:tcPr>
            <w:tcW w:w="1625" w:type="dxa"/>
            <w:tcBorders>
              <w:left w:val="single" w:sz="6" w:space="0" w:color="auto"/>
              <w:bottom w:val="single" w:sz="6" w:space="0" w:color="auto"/>
              <w:right w:val="single" w:sz="6" w:space="0" w:color="auto"/>
            </w:tcBorders>
            <w:tcMar>
              <w:top w:w="8" w:type="dxa"/>
              <w:left w:w="102" w:type="dxa"/>
              <w:bottom w:w="8" w:type="dxa"/>
              <w:right w:w="102" w:type="dxa"/>
            </w:tcMar>
            <w:vAlign w:val="center"/>
            <w:hideMark/>
          </w:tcPr>
          <w:p w:rsidR="00CC2FD8" w:rsidRDefault="00CC2FD8">
            <w:pPr>
              <w:jc w:val="center"/>
              <w:rPr>
                <w:rFonts w:eastAsia="Times New Roman"/>
                <w:sz w:val="21"/>
                <w:szCs w:val="21"/>
                <w:lang w:val="en-US" w:eastAsia="zh-CN" w:bidi="ar-SA"/>
              </w:rPr>
            </w:pPr>
            <w:r>
              <w:rPr>
                <w:rFonts w:ascii="宋体" w:hAnsi="宋体" w:cs="宋体"/>
                <w:sz w:val="21"/>
                <w:szCs w:val="21"/>
                <w:lang w:val="en-US" w:eastAsia="zh-CN" w:bidi="ar-SA"/>
              </w:rPr>
              <w:t>出资额（万元）</w:t>
            </w:r>
          </w:p>
        </w:tc>
        <w:tc>
          <w:tcPr>
            <w:tcW w:w="1995" w:type="dxa"/>
            <w:tcBorders>
              <w:left w:val="single" w:sz="6" w:space="0" w:color="auto"/>
              <w:bottom w:val="single" w:sz="6" w:space="0" w:color="auto"/>
            </w:tcBorders>
            <w:tcMar>
              <w:top w:w="8" w:type="dxa"/>
              <w:left w:w="102" w:type="dxa"/>
              <w:bottom w:w="8" w:type="dxa"/>
              <w:right w:w="102" w:type="dxa"/>
            </w:tcMar>
            <w:vAlign w:val="center"/>
            <w:hideMark/>
          </w:tcPr>
          <w:p w:rsidR="00CC2FD8" w:rsidRDefault="00CC2FD8">
            <w:pPr>
              <w:jc w:val="center"/>
              <w:rPr>
                <w:rFonts w:eastAsia="Times New Roman"/>
                <w:sz w:val="21"/>
                <w:szCs w:val="21"/>
                <w:lang w:val="en-US" w:eastAsia="zh-CN" w:bidi="ar-SA"/>
              </w:rPr>
            </w:pPr>
            <w:r>
              <w:rPr>
                <w:rFonts w:ascii="宋体" w:hAnsi="宋体" w:cs="宋体"/>
                <w:sz w:val="21"/>
                <w:szCs w:val="21"/>
                <w:lang w:val="en-US" w:eastAsia="zh-CN" w:bidi="ar-SA"/>
              </w:rPr>
              <w:t>出资比例</w:t>
            </w:r>
          </w:p>
        </w:tc>
      </w:tr>
      <w:tr w:rsidR="00CC2FD8" w:rsidRPr="00CC2FD8">
        <w:trPr>
          <w:trHeight w:val="394"/>
          <w:jc w:val="center"/>
        </w:trPr>
        <w:tc>
          <w:tcPr>
            <w:tcW w:w="3633" w:type="dxa"/>
            <w:tcBorders>
              <w:top w:val="single" w:sz="6" w:space="0" w:color="auto"/>
              <w:bottom w:val="single" w:sz="6" w:space="0" w:color="auto"/>
              <w:right w:val="single" w:sz="6" w:space="0" w:color="auto"/>
            </w:tcBorders>
            <w:tcMar>
              <w:top w:w="8" w:type="dxa"/>
              <w:left w:w="102" w:type="dxa"/>
              <w:bottom w:w="8" w:type="dxa"/>
              <w:right w:w="102" w:type="dxa"/>
            </w:tcMar>
            <w:vAlign w:val="center"/>
            <w:hideMark/>
          </w:tcPr>
          <w:p w:rsidR="00CC2FD8" w:rsidRDefault="00CC2FD8">
            <w:pPr>
              <w:jc w:val="center"/>
              <w:rPr>
                <w:rFonts w:eastAsia="Times New Roman"/>
                <w:sz w:val="21"/>
                <w:szCs w:val="21"/>
                <w:lang w:val="en-US" w:eastAsia="zh-CN" w:bidi="ar-SA"/>
              </w:rPr>
            </w:pPr>
            <w:r>
              <w:rPr>
                <w:rFonts w:ascii="宋体" w:hAnsi="宋体" w:cs="宋体"/>
                <w:sz w:val="21"/>
                <w:szCs w:val="21"/>
                <w:lang w:val="en-US" w:eastAsia="zh-CN" w:bidi="ar-SA"/>
              </w:rPr>
              <w:t>国信证券股份有限公司</w:t>
            </w:r>
          </w:p>
        </w:tc>
        <w:tc>
          <w:tcPr>
            <w:tcW w:w="1625" w:type="dxa"/>
            <w:tcBorders>
              <w:top w:val="single" w:sz="6" w:space="0" w:color="auto"/>
              <w:left w:val="single" w:sz="6" w:space="0" w:color="auto"/>
              <w:bottom w:val="single" w:sz="6" w:space="0" w:color="auto"/>
              <w:right w:val="single" w:sz="6" w:space="0" w:color="auto"/>
            </w:tcBorders>
            <w:tcMar>
              <w:top w:w="8" w:type="dxa"/>
              <w:left w:w="102" w:type="dxa"/>
              <w:bottom w:w="8" w:type="dxa"/>
              <w:right w:w="102" w:type="dxa"/>
            </w:tcMar>
            <w:vAlign w:val="center"/>
            <w:hideMark/>
          </w:tcPr>
          <w:p w:rsidR="00CC2FD8" w:rsidRDefault="00CC2FD8">
            <w:pPr>
              <w:jc w:val="center"/>
              <w:rPr>
                <w:rFonts w:eastAsia="Times New Roman"/>
                <w:sz w:val="21"/>
                <w:szCs w:val="21"/>
                <w:lang w:val="en-US" w:eastAsia="zh-CN" w:bidi="ar-SA"/>
              </w:rPr>
            </w:pPr>
            <w:r w:rsidRPr="00CC2FD8">
              <w:rPr>
                <w:sz w:val="21"/>
                <w:szCs w:val="21"/>
                <w:lang w:val="en-US" w:eastAsia="zh-CN" w:bidi="ar-SA"/>
              </w:rPr>
              <w:t>7,500</w:t>
            </w:r>
          </w:p>
        </w:tc>
        <w:tc>
          <w:tcPr>
            <w:tcW w:w="1995" w:type="dxa"/>
            <w:tcBorders>
              <w:top w:val="single" w:sz="6" w:space="0" w:color="auto"/>
              <w:left w:val="single" w:sz="6" w:space="0" w:color="auto"/>
              <w:bottom w:val="single" w:sz="6" w:space="0" w:color="auto"/>
            </w:tcBorders>
            <w:tcMar>
              <w:top w:w="8" w:type="dxa"/>
              <w:left w:w="102" w:type="dxa"/>
              <w:bottom w:w="8" w:type="dxa"/>
              <w:right w:w="102" w:type="dxa"/>
            </w:tcMar>
            <w:vAlign w:val="center"/>
            <w:hideMark/>
          </w:tcPr>
          <w:p w:rsidR="00CC2FD8" w:rsidRDefault="00CC2FD8">
            <w:pPr>
              <w:jc w:val="center"/>
              <w:rPr>
                <w:rFonts w:eastAsia="Times New Roman"/>
                <w:sz w:val="21"/>
                <w:szCs w:val="21"/>
                <w:lang w:val="en-US" w:eastAsia="zh-CN" w:bidi="ar-SA"/>
              </w:rPr>
            </w:pPr>
            <w:r w:rsidRPr="00CC2FD8">
              <w:rPr>
                <w:sz w:val="21"/>
                <w:szCs w:val="21"/>
                <w:lang w:val="en-US" w:eastAsia="zh-CN" w:bidi="ar-SA"/>
              </w:rPr>
              <w:t>50%</w:t>
            </w:r>
          </w:p>
        </w:tc>
      </w:tr>
      <w:tr w:rsidR="00CC2FD8" w:rsidRPr="00CC2FD8">
        <w:trPr>
          <w:trHeight w:val="823"/>
          <w:jc w:val="center"/>
        </w:trPr>
        <w:tc>
          <w:tcPr>
            <w:tcW w:w="3633" w:type="dxa"/>
            <w:tcBorders>
              <w:top w:val="single" w:sz="6" w:space="0" w:color="auto"/>
              <w:bottom w:val="single" w:sz="6" w:space="0" w:color="auto"/>
              <w:right w:val="single" w:sz="6" w:space="0" w:color="auto"/>
            </w:tcBorders>
            <w:tcMar>
              <w:top w:w="8" w:type="dxa"/>
              <w:left w:w="102" w:type="dxa"/>
              <w:bottom w:w="8" w:type="dxa"/>
              <w:right w:w="102" w:type="dxa"/>
            </w:tcMar>
            <w:vAlign w:val="center"/>
            <w:hideMark/>
          </w:tcPr>
          <w:p w:rsidR="00CC2FD8" w:rsidRDefault="00CC2FD8">
            <w:pPr>
              <w:jc w:val="center"/>
              <w:rPr>
                <w:rFonts w:eastAsia="Times New Roman"/>
                <w:sz w:val="21"/>
                <w:szCs w:val="21"/>
                <w:lang w:val="en-US" w:eastAsia="zh-CN" w:bidi="ar-SA"/>
              </w:rPr>
            </w:pPr>
            <w:r>
              <w:rPr>
                <w:rFonts w:ascii="宋体" w:hAnsi="宋体" w:cs="宋体"/>
                <w:sz w:val="21"/>
                <w:szCs w:val="21"/>
                <w:lang w:val="en-US" w:eastAsia="zh-CN" w:bidi="ar-SA"/>
              </w:rPr>
              <w:t>意大利欧利盛资本资产管理股份公司（</w:t>
            </w:r>
            <w:r w:rsidRPr="00CC2FD8">
              <w:rPr>
                <w:sz w:val="21"/>
                <w:szCs w:val="21"/>
                <w:lang w:val="en-US" w:eastAsia="zh-CN" w:bidi="ar-SA"/>
              </w:rPr>
              <w:t>Eurizon Capital SGR S.p.A.</w:t>
            </w:r>
            <w:r>
              <w:rPr>
                <w:rFonts w:ascii="宋体" w:hAnsi="宋体" w:cs="宋体"/>
                <w:sz w:val="21"/>
                <w:szCs w:val="21"/>
                <w:lang w:val="en-US" w:eastAsia="zh-CN" w:bidi="ar-SA"/>
              </w:rPr>
              <w:t>）</w:t>
            </w:r>
          </w:p>
        </w:tc>
        <w:tc>
          <w:tcPr>
            <w:tcW w:w="1625" w:type="dxa"/>
            <w:tcBorders>
              <w:top w:val="single" w:sz="6" w:space="0" w:color="auto"/>
              <w:left w:val="single" w:sz="6" w:space="0" w:color="auto"/>
              <w:bottom w:val="single" w:sz="6" w:space="0" w:color="auto"/>
              <w:right w:val="single" w:sz="6" w:space="0" w:color="auto"/>
            </w:tcBorders>
            <w:tcMar>
              <w:top w:w="8" w:type="dxa"/>
              <w:left w:w="102" w:type="dxa"/>
              <w:bottom w:w="8" w:type="dxa"/>
              <w:right w:w="102" w:type="dxa"/>
            </w:tcMar>
            <w:vAlign w:val="center"/>
            <w:hideMark/>
          </w:tcPr>
          <w:p w:rsidR="00CC2FD8" w:rsidRDefault="00CC2FD8">
            <w:pPr>
              <w:jc w:val="center"/>
              <w:rPr>
                <w:rFonts w:eastAsia="Times New Roman"/>
                <w:sz w:val="21"/>
                <w:szCs w:val="21"/>
                <w:lang w:val="en-US" w:eastAsia="zh-CN" w:bidi="ar-SA"/>
              </w:rPr>
            </w:pPr>
            <w:r w:rsidRPr="00CC2FD8">
              <w:rPr>
                <w:sz w:val="21"/>
                <w:szCs w:val="21"/>
                <w:lang w:val="en-US" w:eastAsia="zh-CN" w:bidi="ar-SA"/>
              </w:rPr>
              <w:t>7,350</w:t>
            </w:r>
          </w:p>
        </w:tc>
        <w:tc>
          <w:tcPr>
            <w:tcW w:w="1995" w:type="dxa"/>
            <w:tcBorders>
              <w:top w:val="single" w:sz="6" w:space="0" w:color="auto"/>
              <w:left w:val="single" w:sz="6" w:space="0" w:color="auto"/>
              <w:bottom w:val="single" w:sz="6" w:space="0" w:color="auto"/>
            </w:tcBorders>
            <w:tcMar>
              <w:top w:w="8" w:type="dxa"/>
              <w:left w:w="102" w:type="dxa"/>
              <w:bottom w:w="8" w:type="dxa"/>
              <w:right w:w="102" w:type="dxa"/>
            </w:tcMar>
            <w:vAlign w:val="center"/>
            <w:hideMark/>
          </w:tcPr>
          <w:p w:rsidR="00CC2FD8" w:rsidRDefault="00CC2FD8">
            <w:pPr>
              <w:jc w:val="center"/>
              <w:rPr>
                <w:rFonts w:eastAsia="Times New Roman"/>
                <w:sz w:val="21"/>
                <w:szCs w:val="21"/>
                <w:lang w:val="en-US" w:eastAsia="zh-CN" w:bidi="ar-SA"/>
              </w:rPr>
            </w:pPr>
            <w:r w:rsidRPr="00CC2FD8">
              <w:rPr>
                <w:sz w:val="21"/>
                <w:szCs w:val="21"/>
                <w:lang w:val="en-US" w:eastAsia="zh-CN" w:bidi="ar-SA"/>
              </w:rPr>
              <w:t>49%</w:t>
            </w:r>
          </w:p>
        </w:tc>
      </w:tr>
      <w:tr w:rsidR="00CC2FD8" w:rsidRPr="00CC2FD8">
        <w:trPr>
          <w:trHeight w:val="411"/>
          <w:jc w:val="center"/>
        </w:trPr>
        <w:tc>
          <w:tcPr>
            <w:tcW w:w="3633" w:type="dxa"/>
            <w:tcBorders>
              <w:top w:val="single" w:sz="6" w:space="0" w:color="auto"/>
              <w:bottom w:val="single" w:sz="6" w:space="0" w:color="auto"/>
              <w:right w:val="single" w:sz="6" w:space="0" w:color="auto"/>
            </w:tcBorders>
            <w:tcMar>
              <w:top w:w="8" w:type="dxa"/>
              <w:left w:w="102" w:type="dxa"/>
              <w:bottom w:w="8" w:type="dxa"/>
              <w:right w:w="102" w:type="dxa"/>
            </w:tcMar>
            <w:vAlign w:val="center"/>
            <w:hideMark/>
          </w:tcPr>
          <w:p w:rsidR="00CC2FD8" w:rsidRDefault="00CC2FD8">
            <w:pPr>
              <w:jc w:val="center"/>
              <w:rPr>
                <w:rFonts w:eastAsia="Times New Roman"/>
                <w:sz w:val="21"/>
                <w:szCs w:val="21"/>
                <w:lang w:val="en-US" w:eastAsia="zh-CN" w:bidi="ar-SA"/>
              </w:rPr>
            </w:pPr>
            <w:r>
              <w:rPr>
                <w:rFonts w:ascii="宋体" w:hAnsi="宋体" w:cs="宋体"/>
                <w:sz w:val="21"/>
                <w:szCs w:val="21"/>
                <w:lang w:val="en-US" w:eastAsia="zh-CN" w:bidi="ar-SA"/>
              </w:rPr>
              <w:t>深圳市北融信投资发展有限公司</w:t>
            </w:r>
          </w:p>
        </w:tc>
        <w:tc>
          <w:tcPr>
            <w:tcW w:w="1625" w:type="dxa"/>
            <w:tcBorders>
              <w:top w:val="single" w:sz="6" w:space="0" w:color="auto"/>
              <w:left w:val="single" w:sz="6" w:space="0" w:color="auto"/>
              <w:bottom w:val="single" w:sz="6" w:space="0" w:color="auto"/>
              <w:right w:val="single" w:sz="6" w:space="0" w:color="auto"/>
            </w:tcBorders>
            <w:tcMar>
              <w:top w:w="8" w:type="dxa"/>
              <w:left w:w="102" w:type="dxa"/>
              <w:bottom w:w="8" w:type="dxa"/>
              <w:right w:w="102" w:type="dxa"/>
            </w:tcMar>
            <w:vAlign w:val="center"/>
            <w:hideMark/>
          </w:tcPr>
          <w:p w:rsidR="00CC2FD8" w:rsidRDefault="00CC2FD8">
            <w:pPr>
              <w:jc w:val="center"/>
              <w:rPr>
                <w:rFonts w:eastAsia="Times New Roman"/>
                <w:sz w:val="21"/>
                <w:szCs w:val="21"/>
                <w:lang w:val="en-US" w:eastAsia="zh-CN" w:bidi="ar-SA"/>
              </w:rPr>
            </w:pPr>
            <w:r w:rsidRPr="00CC2FD8">
              <w:rPr>
                <w:sz w:val="21"/>
                <w:szCs w:val="21"/>
                <w:lang w:val="en-US" w:eastAsia="zh-CN" w:bidi="ar-SA"/>
              </w:rPr>
              <w:t>150</w:t>
            </w:r>
          </w:p>
        </w:tc>
        <w:tc>
          <w:tcPr>
            <w:tcW w:w="1995" w:type="dxa"/>
            <w:tcBorders>
              <w:top w:val="single" w:sz="6" w:space="0" w:color="auto"/>
              <w:left w:val="single" w:sz="6" w:space="0" w:color="auto"/>
              <w:bottom w:val="single" w:sz="6" w:space="0" w:color="auto"/>
            </w:tcBorders>
            <w:tcMar>
              <w:top w:w="8" w:type="dxa"/>
              <w:left w:w="102" w:type="dxa"/>
              <w:bottom w:w="8" w:type="dxa"/>
              <w:right w:w="102" w:type="dxa"/>
            </w:tcMar>
            <w:vAlign w:val="center"/>
            <w:hideMark/>
          </w:tcPr>
          <w:p w:rsidR="00CC2FD8" w:rsidRDefault="00CC2FD8">
            <w:pPr>
              <w:jc w:val="center"/>
              <w:rPr>
                <w:rFonts w:eastAsia="Times New Roman"/>
                <w:sz w:val="21"/>
                <w:szCs w:val="21"/>
                <w:lang w:val="en-US" w:eastAsia="zh-CN" w:bidi="ar-SA"/>
              </w:rPr>
            </w:pPr>
            <w:r w:rsidRPr="00CC2FD8">
              <w:rPr>
                <w:sz w:val="21"/>
                <w:szCs w:val="21"/>
                <w:lang w:val="en-US" w:eastAsia="zh-CN" w:bidi="ar-SA"/>
              </w:rPr>
              <w:t>1%</w:t>
            </w:r>
          </w:p>
        </w:tc>
      </w:tr>
      <w:tr w:rsidR="00CC2FD8" w:rsidRPr="00CC2FD8">
        <w:trPr>
          <w:trHeight w:val="411"/>
          <w:jc w:val="center"/>
        </w:trPr>
        <w:tc>
          <w:tcPr>
            <w:tcW w:w="3633" w:type="dxa"/>
            <w:tcBorders>
              <w:top w:val="single" w:sz="6" w:space="0" w:color="auto"/>
              <w:right w:val="single" w:sz="6" w:space="0" w:color="auto"/>
            </w:tcBorders>
            <w:tcMar>
              <w:top w:w="8" w:type="dxa"/>
              <w:left w:w="102" w:type="dxa"/>
              <w:bottom w:w="8" w:type="dxa"/>
              <w:right w:w="102" w:type="dxa"/>
            </w:tcMar>
            <w:vAlign w:val="center"/>
            <w:hideMark/>
          </w:tcPr>
          <w:p w:rsidR="00CC2FD8" w:rsidRDefault="00CC2FD8">
            <w:pPr>
              <w:jc w:val="center"/>
              <w:rPr>
                <w:rFonts w:eastAsia="Times New Roman"/>
                <w:sz w:val="21"/>
                <w:szCs w:val="21"/>
                <w:lang w:val="en-US" w:eastAsia="zh-CN" w:bidi="ar-SA"/>
              </w:rPr>
            </w:pPr>
            <w:r>
              <w:rPr>
                <w:rFonts w:ascii="宋体" w:hAnsi="宋体" w:cs="宋体"/>
                <w:sz w:val="21"/>
                <w:szCs w:val="21"/>
                <w:lang w:val="en-US" w:eastAsia="zh-CN" w:bidi="ar-SA"/>
              </w:rPr>
              <w:t>总  计</w:t>
            </w:r>
          </w:p>
        </w:tc>
        <w:tc>
          <w:tcPr>
            <w:tcW w:w="1625" w:type="dxa"/>
            <w:tcBorders>
              <w:top w:val="single" w:sz="6" w:space="0" w:color="auto"/>
              <w:left w:val="single" w:sz="6" w:space="0" w:color="auto"/>
              <w:right w:val="single" w:sz="6" w:space="0" w:color="auto"/>
            </w:tcBorders>
            <w:tcMar>
              <w:top w:w="8" w:type="dxa"/>
              <w:left w:w="102" w:type="dxa"/>
              <w:bottom w:w="8" w:type="dxa"/>
              <w:right w:w="102" w:type="dxa"/>
            </w:tcMar>
            <w:vAlign w:val="center"/>
            <w:hideMark/>
          </w:tcPr>
          <w:p w:rsidR="00CC2FD8" w:rsidRDefault="00CC2FD8">
            <w:pPr>
              <w:jc w:val="center"/>
              <w:rPr>
                <w:rFonts w:eastAsia="Times New Roman"/>
                <w:sz w:val="21"/>
                <w:szCs w:val="21"/>
                <w:lang w:val="en-US" w:eastAsia="zh-CN" w:bidi="ar-SA"/>
              </w:rPr>
            </w:pPr>
            <w:r w:rsidRPr="00CC2FD8">
              <w:rPr>
                <w:sz w:val="21"/>
                <w:szCs w:val="21"/>
                <w:lang w:val="en-US" w:eastAsia="zh-CN" w:bidi="ar-SA"/>
              </w:rPr>
              <w:t>15,000</w:t>
            </w:r>
          </w:p>
        </w:tc>
        <w:tc>
          <w:tcPr>
            <w:tcW w:w="1995" w:type="dxa"/>
            <w:tcBorders>
              <w:top w:val="single" w:sz="6" w:space="0" w:color="auto"/>
              <w:left w:val="single" w:sz="6" w:space="0" w:color="auto"/>
            </w:tcBorders>
            <w:tcMar>
              <w:top w:w="8" w:type="dxa"/>
              <w:left w:w="102" w:type="dxa"/>
              <w:bottom w:w="8" w:type="dxa"/>
              <w:right w:w="102" w:type="dxa"/>
            </w:tcMar>
            <w:vAlign w:val="center"/>
            <w:hideMark/>
          </w:tcPr>
          <w:p w:rsidR="00CC2FD8" w:rsidRDefault="00CC2FD8">
            <w:pPr>
              <w:jc w:val="center"/>
              <w:rPr>
                <w:rFonts w:eastAsia="Times New Roman"/>
                <w:sz w:val="21"/>
                <w:szCs w:val="21"/>
                <w:lang w:val="en-US" w:eastAsia="zh-CN" w:bidi="ar-SA"/>
              </w:rPr>
            </w:pPr>
            <w:r w:rsidRPr="00CC2FD8">
              <w:rPr>
                <w:sz w:val="21"/>
                <w:szCs w:val="21"/>
                <w:lang w:val="en-US" w:eastAsia="zh-CN" w:bidi="ar-SA"/>
              </w:rPr>
              <w:t>100%</w:t>
            </w:r>
          </w:p>
        </w:tc>
      </w:tr>
    </w:tbl>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二、主要人员情况</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1、基金管理人董事会成员</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何如先生,董事长,硕士，高级会计师，国籍：中国。历任中国电子器件公司深圳公司副总会计师兼财务处处长、总会计师、常务副总经理、总经理、党委书记，深圳发展银行行长助理、副行长、党委委员、副董事长、行长、党委副书记等职务。现任国信证券股份有限公司董事长、党委书记。自2008年12月开始担任鹏华基金管理有限公司董事长。</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邓召明先生,党委书记、董事、总裁,经济学博士，讲师，国籍：中国。历任北京理工大学管理与经济学院讲师、中国兵器工业总公司主任科员、中国证监会处长、南方基金管理有限公司副总裁、中国证监会第六、七届发审委委员，现任鹏华基金管理有限公司董事、总裁、党委书记。自2012年12月开始担任鹏华基金管理有限公司董事。 </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杜海江先生,董事,大学本科，国籍：中国。历任国信证券股份有限公司杭州萧然东路证券营业部电子商务部经理、杭州保俶路证券营业部总经理助理、浙江营销中心总经理、浙江管理总部总经理、杭州分公司总经理、浙江分公司总经理、公司总裁助理等职务。现任国信证券股份有限公司副总裁、经纪事业部总裁。自2019年8月开始担任鹏华基金管理有限公司董事。 </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周中国先生,董事,会计学硕士，高级会计师，注册会计师，国籍：中国。历任深圳华为技术有限公司定价中心经理助理，国信证券股份有限公司资金财务总部业务经理、深圳金地证券服务部财务经理、资金财务总部高级经理、资金财务总部总经理助理、资金财务总部副总经理、人力资源总部副总经理、人力资源总部总经理等职务。现任国信证券股份有限公司财务负责人、资金财务总部总经理。自2012年12月开始担任鹏华基金管理有限公司董事。 </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Massimo Mazzini先生,董事,经济和商学学士，国籍：意大利。曾在安达信（Arthur Andersen）从事风险管理和资产管理工作，历任CA AIPG SGR投资总监、CAAM AI SGR及CA AIPG SGR首席执行官和投资总监、东方汇理资产管理股份有限公司（CAAM SGR）投资副总监、农业信贷另类投资集团（Credit Agricole Alternative Investments Group）国际执行委员会委员、意大利欧利盛资本资产管理股份公司（Eurizon Capital SGR S.p.A.）投资方案部投资总监、Epsilon 资产管理股份公司（Epsilon SGR）首席执行官，欧利盛资本股份公司（Eurizon Capital S.A.）（卢森堡）首席执行官和总经理。现任意大利欧利盛资本资产管理股份公司（Eurizon Capital SGR S.p.A.）市场及业务发展总监。自2010年11月开始担任鹏华基金管理有限公司董事。</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Andrea Vismara先生,董事,法学学士，律师，国籍：意大利。曾在意大利多家律师事务所担任律师，先后在法国农业信贷集团（Credit Agricole Group）东方汇理资产管理股份有限公司（CAAM SGR）法务部、产品开发部，欧利盛资本资产管理股份公司（Eurizon Capital SGR S.p.A.）治理与股权部工作。现任意大利欧利盛资本资产管理股份公司（Eurizon Capital SGR S.p.A）董事会秘书兼任企业事务和战略发展部总经理。自2016年2月开始担任鹏华基金管理有限公司董事。</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史际春先生,独立董事,法学博士，国籍：中国。历任安徽大学讲师、中国人民大学副教授，现任中国人民大学法学院教授、博士生导师，国务院特殊津贴专家，兼任中国法学会经济法学研究会副会长、北京市人大常委会和法制委员会委员。自2008年9月开始担任鹏华基金管理有限公司董事。 </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张元先生,独立董事,大学本科，国籍：中国。曾任新疆军区干事、秘书、编辑，甘肃省委研究室干事、副处长、处长、副主任，中央金融工作委员会研究室主任，中国银监会政策法规部（研究局）主任（局长）等职务；2005年6月至2007年12月，任中央国债登记结算有限责任公司董事长兼党委书记；2007年12月至2010年12月，任中央国债登记结算有限责任公司监事长兼党委副书记。自2012年12月开始担任鹏华基金管理有限公司董事。</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高臻女士,独立董事,工商管理硕士，国籍：中国。曾任中国进出口银行副处长，负责贷款管理和运营，项目涉及制造业、能源、电信、跨国并购；2007年加入曼达林投资顾问有限公司，现任曼达林投资顾问有限公司执行合伙人。自2012年12月开始担任鹏华基金管理有限公司董事。</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2、基金管理人监事会成员</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黄俞先生,监事会主席,管理学硕士，国籍：中国。曾在中农信公司、正大财务公司工作，曾任鹏华基金管理有限公司董事、监事，深圳市北融信投资发展有限公司董事长。自2013年11月开始担任鹏华基金管理有限公司监事会主席。</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陈冰女士,监事,管理学学士，国籍：中国。曾任国信证券股份有限公司资金财务部会计、上海营业部财务科副科长、资金财务部财务科副经理、资金财务部资金科经理、资金财务部主任会计师兼科经理、资金财务部总经理助理、资金财务总部副总经理、融资融券部总经理等职务。现任国信证券总裁助理，兼证券金融事业部总裁、资金运营部总经理。自2015年6月开始担任鹏华基金管理有限公司监事。</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SANDRO VESPRINI先生,监事,工商管理学士，国籍：意大利。先后在米兰军医院出纳部、税务师事务所、菲亚特汽车发动机和变速器平台管控管理团队工作、圣保罗IMI资产管理SGR企业经管部、圣保罗财富管理企业管控部工作、曾任欧利盛资本资产管理股份公司（Eurizon Capital SGR S.p.A.）财务管理和投资经理，现任欧利盛资本资产管理股份公司（Eurizon Capital SGR S.p.A.）财务负责人。自2016年2月开始担任鹏华基金管理有限公司监事。 </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郝文高先生,职工监事,大专学历，国籍：中国。历任深圳奥尊电脑有限公司证券基金事业部副经理、招商基金管理有限公司基金事务部总监；2011年7月加盟鹏华基金管理有限公司，现任登记结算部总经理。自2015年9月开始担任鹏华基金管理有限公司监事。</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刘嵚先生,职工监事,管理学硕士，国籍：中国。历任毕马威（中国）管理顾问公司咨询顾问，南方基金管理有限公司北京分公司副总经理；2014年10月加入鹏华基金管理有限公司，现任总裁助理、机构理财部总经理、北京分公司总经理。自2015年9月开始担任鹏华基金管理有限公司监事。</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左彬先生,职工监事,法学硕士，国籍：中国。历任中国平安保险（集团）股份有限公司法律事务部律师；2016年 4 月加盟鹏华基金管理有限公司，历任监察稽核部高级合规经理，现任监察稽核部高级合规官。自2019年9月开始担任鹏华基金管理有限公司监事。</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3、高级管理人员情况</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何如先生,董事长,硕士，高级会计师，国籍：中国。历任中国电子器件公司深圳公司副总会计师兼财务处处长、总会计师、常务副总经理、总经理、党委书记，深圳发展银行行长助理、副行长、党委委员、副董事长、行长、党委副书记等职务。现任国信证券股份有限公司董事长、党委书记。自2008年12月开始担任鹏华基金管理有限公司董事长。。</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邓召明先生,党委书记、董事、总裁,经济学博士，讲师，国籍：中国。历任北京理工大学管理与经济学院讲师、中国兵器工业总公司主任科员、中国证监会处长、南方基金管理有限公司副总裁、中国证监会第六、七届发审委委员，现任鹏华基金管理有限公司董事、总裁、党委书记。自2012年12月开始担任鹏华基金管理有限公司董事。 </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高阳先生,党委副书记、副总裁,特许金融分析师（CFA），经济学硕士，国籍：中国。历任中国国际金融有限公司经理，博时基金管理有限公司博时价值增长基金基金经理、固定收益部总经理、基金裕泽基金经理、基金裕隆基金经理、股票投资部总经理，自2008年12月起担任鹏华基金管理有限公司副总裁。</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邢彪先生,副总裁,工商管理硕士、法学硕士，国籍：中国。历任中国人民大学校办科员，中国证监会办公厅副处级秘书，全国社保基金理事会证券投资部处长、股权资产部（实业投资部）副主任，并于2014年至2015年期间担任中国证监会第16届主板发审委专职委员，自2015年10月起担任鹏华基金管理有限公司副总裁。</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高鹏先生,副总裁,经济学硕士，国籍：中国。历任博时基金管理有限公司监察法律部监察稽核经理，鹏华基金管理有限公司监察稽核部副总经理、监察稽核部总经理、职工监事、督察长，自2014年12月起担任鹏华基金管理有限公司副总裁。</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苏波先生,副总裁,管理学博士，国籍：中国。历任深圳经济特区证券公司研究所副所长、投资部经理，南方基金管理有限公司渠道服务二部总监助理，易方达基金管理有限公司信息技术部总经理助理，鹏华基金管理有限公司机构理财部总经理、职工监事、总裁助理，自2015年9月起担任鹏华基金管理有限公司副总裁。</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高永杰先生,纪委书记，督察长,法学硕士，国籍：中国。历任中共中央办公厅秘书局干部，中国证监会办公厅新闻处干部、秘书处副处级秘书、发行监管部副处长、人事教育部副处长、处长，自2015年2月担任鹏华基金管理有限公司纪委书记、督察长。</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韩亚庆先生,副总裁,经济学硕士，国籍：中国。历任国家开发银行资金局主任科员、全国社会保障基金理事会投资部副调研员、南方基金管理有限公司固定收益部基金经理、固定收益部总监，自2017年3月起担任鹏华基金管理有限公司副总裁、固定收益投资总监、固定收益总部总经理。</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4、本基金基金经理</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方昶先生，国籍中国，经济学硕士，6年证券基金从业经验。曾任中国工商银行资产管理部投资经理；2016年12月加盟鹏华基金管理有限公司，现担任公募债券投资部基金经理。2018年07月至2020年02月担任鹏华丰腾债券基金基金经理，2018年10月担任鹏华信用增利债券基金基金经理，2018年12月至2020年02月担任鹏华丰华债券基金基金经理，2019年01月担任鹏华丰恒债券基金基金经理，2019年03月担任鹏华安益增强混合基金基金经理，2019年06月担任鹏华金城混合基金基金经理，2019年09月担任鹏华3个月中短债基金基金经理，2019年09月担任鹏华丰享债券基金基金经理。方昶先生具备基金从业资格。</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本基金基金经理管理的其他基金情况：</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2018年07月至2020年02月担任鹏华丰腾债券基金基金经理</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2018年10月担任鹏华信用增利债券基金基金经理</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2018年12月至2020年02月担任鹏华丰华债券基金基金经理</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2019年01月担任鹏华丰恒债券基金基金经理</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2019年03月担任鹏华安益增强混合基金基金经理</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2019年06月担任鹏华金城混合基金基金经理</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2019年09月担任鹏华丰享债券基金基金经理</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本基金历任的基金经理：</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2018年10月至2019年09月           周恩源先生</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2018年10月至2019年11月           刘涛先生</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5、投资决策委员会成员情况</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邓召明先生,鹏华基金管理有限公司党委书记、董事、总裁。</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高阳先生,鹏华基金管理有限公司党委副书记、副总裁。</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邢彪先生,鹏华基金管理有限公司副总裁。</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高鹏先生,鹏华基金管理有限公司副总裁。</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韩亚庆先生,鹏华基金管理有限公司副总裁。</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梁浩先生,鹏华基金管理有限公司研究部总经理/董事总经理（MD）/基金经理，鹏华新兴产业混合、鹏华研究精选混合、鹏华创新驱动混合、鹏华研究智选混合、鹏华价值驱动混合基金、鹏华科技创新混合基金经理。 </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赵强先生,鹏华基金管理有限公司资产配置与基金投资部FOF投资副总监/基金经理，鹏华养老2045混合发起式（FOF）基金经理。 </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6、上述人员之间不存在近亲属关系。</w:t>
      </w:r>
    </w:p>
    <w:p w:rsidR="00CC2FD8" w:rsidRDefault="00CC2FD8">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二、基金托管人</w:t>
      </w:r>
    </w:p>
    <w:p w:rsidR="00CC2FD8" w:rsidRDefault="00CC2FD8">
      <w:pPr>
        <w:widowControl w:val="0"/>
        <w:spacing w:line="360" w:lineRule="auto"/>
        <w:ind w:firstLine="420"/>
        <w:rPr>
          <w:rFonts w:eastAsia="Times New Roman"/>
          <w:sz w:val="21"/>
          <w:szCs w:val="21"/>
          <w:lang w:val="en-US" w:eastAsia="zh-CN" w:bidi="ar-SA"/>
        </w:rPr>
      </w:pPr>
      <w:bookmarkStart w:id="0" w:name="_Toc524923153"/>
      <w:bookmarkStart w:id="1" w:name="_Toc523023964"/>
      <w:bookmarkStart w:id="2" w:name="_Toc524923147"/>
      <w:bookmarkStart w:id="3" w:name="_Toc79392634"/>
      <w:bookmarkStart w:id="4" w:name="m201"/>
      <w:bookmarkStart w:id="5" w:name="m201_01"/>
      <w:bookmarkStart w:id="6" w:name="m510_05_1678"/>
      <w:bookmarkEnd w:id="0"/>
      <w:bookmarkEnd w:id="1"/>
      <w:bookmarkEnd w:id="2"/>
      <w:bookmarkEnd w:id="3"/>
      <w:r>
        <w:rPr>
          <w:rFonts w:ascii="宋体" w:hAnsi="宋体" w:cs="宋体"/>
          <w:b/>
          <w:bCs/>
          <w:sz w:val="21"/>
          <w:szCs w:val="21"/>
          <w:lang w:val="en-US" w:eastAsia="zh-CN" w:bidi="ar-SA"/>
        </w:rPr>
        <w:t xml:space="preserve">（一）基金托管人基本情况 </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pacing w:val="6"/>
          <w:sz w:val="21"/>
          <w:szCs w:val="21"/>
          <w:lang w:val="en-US" w:eastAsia="zh-CN" w:bidi="ar-SA"/>
        </w:rPr>
        <w:t>名称：中国工商银行股份有限公司</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pacing w:val="6"/>
          <w:sz w:val="21"/>
          <w:szCs w:val="21"/>
          <w:lang w:val="en-US" w:eastAsia="zh-CN" w:bidi="ar-SA"/>
        </w:rPr>
        <w:t>注册地址：北京市西城区复兴门内大街55号</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pacing w:val="6"/>
          <w:sz w:val="21"/>
          <w:szCs w:val="21"/>
          <w:lang w:val="en-US" w:eastAsia="zh-CN" w:bidi="ar-SA"/>
        </w:rPr>
        <w:t>成立时间：1984年1月1日</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pacing w:val="6"/>
          <w:sz w:val="21"/>
          <w:szCs w:val="21"/>
          <w:lang w:val="en-US" w:eastAsia="zh-CN" w:bidi="ar-SA"/>
        </w:rPr>
        <w:t>法定代表人： 陈四清</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pacing w:val="6"/>
          <w:sz w:val="21"/>
          <w:szCs w:val="21"/>
          <w:lang w:val="en-US" w:eastAsia="zh-CN" w:bidi="ar-SA"/>
        </w:rPr>
        <w:t>注册资本：人民币35,640,625.7089万元</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pacing w:val="6"/>
          <w:sz w:val="21"/>
          <w:szCs w:val="21"/>
          <w:lang w:val="en-US" w:eastAsia="zh-CN" w:bidi="ar-SA"/>
        </w:rPr>
        <w:t>联系电话：010-66105799</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pacing w:val="6"/>
          <w:sz w:val="21"/>
          <w:szCs w:val="21"/>
          <w:lang w:val="en-US" w:eastAsia="zh-CN" w:bidi="ar-SA"/>
        </w:rPr>
        <w:t>联系人：郭明</w:t>
      </w:r>
    </w:p>
    <w:p w:rsidR="00CC2FD8" w:rsidRDefault="00CC2FD8">
      <w:pPr>
        <w:widowControl w:val="0"/>
        <w:spacing w:line="360" w:lineRule="auto"/>
        <w:ind w:firstLine="420"/>
        <w:rPr>
          <w:rFonts w:eastAsia="Times New Roman"/>
          <w:sz w:val="21"/>
          <w:szCs w:val="21"/>
          <w:lang w:val="en-US" w:eastAsia="zh-CN" w:bidi="ar-SA"/>
        </w:rPr>
      </w:pPr>
      <w:r>
        <w:rPr>
          <w:rFonts w:ascii="宋体" w:hAnsi="宋体" w:cs="宋体"/>
          <w:b/>
          <w:bCs/>
          <w:sz w:val="21"/>
          <w:szCs w:val="21"/>
          <w:lang w:val="en-US" w:eastAsia="zh-CN" w:bidi="ar-SA"/>
        </w:rPr>
        <w:t>（二）主要人员情况</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pacing w:val="6"/>
          <w:sz w:val="21"/>
          <w:szCs w:val="21"/>
          <w:lang w:val="en-US" w:eastAsia="zh-CN" w:bidi="ar-SA"/>
        </w:rPr>
        <w:t>截至2019年9月，中国工商银行资产托管部共有员工208人，平均年龄33岁，95%以上员工拥有大学本科以上学历，高管人员均拥有研究生以上学历或高级技术职称。</w:t>
      </w:r>
    </w:p>
    <w:p w:rsidR="00CC2FD8" w:rsidRDefault="00CC2FD8">
      <w:pPr>
        <w:widowControl w:val="0"/>
        <w:spacing w:line="360" w:lineRule="auto"/>
        <w:ind w:firstLine="420"/>
        <w:rPr>
          <w:rFonts w:eastAsia="Times New Roman"/>
          <w:sz w:val="21"/>
          <w:szCs w:val="21"/>
          <w:lang w:val="en-US" w:eastAsia="zh-CN" w:bidi="ar-SA"/>
        </w:rPr>
      </w:pPr>
      <w:r>
        <w:rPr>
          <w:rFonts w:ascii="宋体" w:hAnsi="宋体" w:cs="宋体"/>
          <w:b/>
          <w:bCs/>
          <w:sz w:val="21"/>
          <w:szCs w:val="21"/>
          <w:lang w:val="en-US" w:eastAsia="zh-CN" w:bidi="ar-SA"/>
        </w:rPr>
        <w:t>（三）基金托管业务经营情况</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pacing w:val="6"/>
          <w:sz w:val="21"/>
          <w:szCs w:val="21"/>
          <w:lang w:val="en-US" w:eastAsia="zh-CN" w:bidi="ar-S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2019年9月，中国工商银行共托管证券投资基金1006只。自2003年以来，本行连续十六年获得香港《亚洲货币》、英国《全球托管人》、香港《财资》、美国《环球金融》、内地《证券时报》、《上海证券报》等境内外权威财经媒体评选的68项最佳托管银行大奖；是获得奖项最多的国内托管银行，优良的服务品质获得国内外金融领域的持续认可和广泛好评。</w:t>
      </w:r>
    </w:p>
    <w:p w:rsidR="00CC2FD8" w:rsidRDefault="00CC2FD8">
      <w:pPr>
        <w:widowControl w:val="0"/>
        <w:spacing w:before="50" w:after="50" w:line="360" w:lineRule="auto"/>
        <w:ind w:firstLine="504"/>
        <w:jc w:val="both"/>
        <w:rPr>
          <w:rFonts w:eastAsia="Times New Roman"/>
          <w:sz w:val="21"/>
          <w:szCs w:val="21"/>
          <w:lang w:val="en-US" w:eastAsia="zh-CN" w:bidi="ar-SA"/>
        </w:rPr>
      </w:pPr>
      <w:r>
        <w:rPr>
          <w:rFonts w:ascii="宋体" w:hAnsi="宋体" w:cs="宋体"/>
          <w:b/>
          <w:bCs/>
          <w:spacing w:val="6"/>
          <w:sz w:val="21"/>
          <w:szCs w:val="21"/>
          <w:lang w:val="en-US" w:eastAsia="zh-CN" w:bidi="ar-SA"/>
        </w:rPr>
        <w:t>（四）基金托管人的内部控制制度</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二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1、内部风险控制目标</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2、内部风险控制组织结构</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3、内部风险控制原则</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（1）合法性原则。内控制度应当符合国家法律法规及监管机构的监管要求，并贯穿于托管业务经营管理活动的始终。</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（2）完整性原则。托管业务的各项经营管理活动都必须有相应的规范程序和监督制约；监督制约应渗透到托管业务的全过程和各个操作环节，覆盖所有的部门、岗位和人员。</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（3）及时性原则。托管业务经营活动必须在发生时能准确及时地记录；按照“内控优先”的原则，新设机构或新增业务品种时，必须做到已建立相关的规章制度。</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（4）审慎性原则。各项业务经营活动必须防范风险，审慎经营，保证基金资产和其他委托资产的安全与完整。</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（5）有效性原则。内控制度应根据国家政策、法律及经营管理的需要适时修改完善，并保证得到全面落实执行，不得有任何空间、时限及人员的例外。</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（6）独立性原则。设立专门履行托管人职责的管理部门；直接操作人员和控制人员必须相对独立，适当分离；内控制度的检查、评价部门必须独立于内控制度的制定和执行部门。</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4、内部风险控制措施实施</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（4）经营控制。资产托管部通过制定计划、编制预算等方法开展各种业务营销活动、处理各项事务，从而有效地控制和配置组织资源，达到资源利用和效益最大化目的。</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5）内部风险管理。资产托管部通过稽核监察、风险评估等方式加强内部风险管理，定期或不定期地对业务运作状况进行检查、监控，指导业务部门进行风险识别、评估，制定并实施风险控制措施，排查风险隐患。</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（6）数据安全控制。我们通过业务操作区相对独立、数据和传真加密、数据传输线路的冗余备份、监控设施的运用和保障等措施来保障数据安全。</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5、资产托管部内部风险控制情况</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（1）资产托管部内部设置专职稽核监察部门，配备专职稽核监察人员，在总经理的直接领导下，依照有关法律规章，全面贯彻落实全程监控思想，确保资产托管业务健康、稳定地发展。</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CC2FD8" w:rsidRDefault="00CC2FD8">
      <w:pPr>
        <w:widowControl w:val="0"/>
        <w:spacing w:before="50" w:after="50" w:line="360" w:lineRule="auto"/>
        <w:ind w:firstLine="504"/>
        <w:jc w:val="both"/>
        <w:rPr>
          <w:rFonts w:eastAsia="Times New Roman"/>
          <w:sz w:val="21"/>
          <w:szCs w:val="21"/>
          <w:lang w:val="en-US" w:eastAsia="zh-CN" w:bidi="ar-SA"/>
        </w:rPr>
      </w:pPr>
      <w:r>
        <w:rPr>
          <w:rFonts w:ascii="宋体" w:hAnsi="宋体" w:cs="宋体"/>
          <w:b/>
          <w:bCs/>
          <w:spacing w:val="6"/>
          <w:sz w:val="21"/>
          <w:szCs w:val="21"/>
          <w:lang w:val="en-US" w:eastAsia="zh-CN" w:bidi="ar-SA"/>
        </w:rPr>
        <w:t>（五）基金托管人对基金管理人运作基金进行监督的方法和程序</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基金托管人发现基金管理人有重大违规行为，应立即报告中国证监会，同时通知基金管理人限期纠正。</w:t>
      </w:r>
    </w:p>
    <w:p w:rsidR="00CC2FD8" w:rsidRDefault="00CC2FD8">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三、相关服务机构</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一、基金份额销售机构</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1</w:t>
      </w:r>
      <w:r>
        <w:rPr>
          <w:rFonts w:ascii="宋体" w:hAnsi="宋体" w:cs="宋体"/>
          <w:sz w:val="21"/>
          <w:szCs w:val="21"/>
          <w:lang w:val="en-US" w:eastAsia="zh-CN" w:bidi="ar-SA"/>
        </w:rPr>
        <w:t>、直销机构</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w:t>
      </w:r>
      <w:r>
        <w:rPr>
          <w:sz w:val="21"/>
          <w:szCs w:val="21"/>
          <w:lang w:val="en-US" w:eastAsia="zh-CN" w:bidi="ar-SA"/>
        </w:rPr>
        <w:t>1</w:t>
      </w:r>
      <w:r>
        <w:rPr>
          <w:rFonts w:ascii="宋体" w:hAnsi="宋体" w:cs="宋体"/>
          <w:sz w:val="21"/>
          <w:szCs w:val="21"/>
          <w:lang w:val="en-US" w:eastAsia="zh-CN" w:bidi="ar-SA"/>
        </w:rPr>
        <w:t>）鹏华基金管理有限公司直销中心</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办公地址：深圳市福田区福华三路</w:t>
      </w:r>
      <w:r>
        <w:rPr>
          <w:sz w:val="21"/>
          <w:szCs w:val="21"/>
          <w:lang w:val="en-US" w:eastAsia="zh-CN" w:bidi="ar-SA"/>
        </w:rPr>
        <w:t>168</w:t>
      </w:r>
      <w:r>
        <w:rPr>
          <w:rFonts w:ascii="宋体" w:hAnsi="宋体" w:cs="宋体"/>
          <w:sz w:val="21"/>
          <w:szCs w:val="21"/>
          <w:lang w:val="en-US" w:eastAsia="zh-CN" w:bidi="ar-SA"/>
        </w:rPr>
        <w:t>号深圳国际商会中心</w:t>
      </w:r>
      <w:r>
        <w:rPr>
          <w:sz w:val="21"/>
          <w:szCs w:val="21"/>
          <w:lang w:val="en-US" w:eastAsia="zh-CN" w:bidi="ar-SA"/>
        </w:rPr>
        <w:t>43</w:t>
      </w:r>
      <w:r>
        <w:rPr>
          <w:rFonts w:ascii="宋体" w:hAnsi="宋体" w:cs="宋体"/>
          <w:sz w:val="21"/>
          <w:szCs w:val="21"/>
          <w:lang w:val="en-US" w:eastAsia="zh-CN" w:bidi="ar-SA"/>
        </w:rPr>
        <w:t>层</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联系电话：</w:t>
      </w:r>
      <w:r>
        <w:rPr>
          <w:sz w:val="21"/>
          <w:szCs w:val="21"/>
          <w:lang w:val="en-US" w:eastAsia="zh-CN" w:bidi="ar-SA"/>
        </w:rPr>
        <w:t>0755-82021233</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传真：</w:t>
      </w:r>
      <w:r>
        <w:rPr>
          <w:sz w:val="21"/>
          <w:szCs w:val="21"/>
          <w:lang w:val="en-US" w:eastAsia="zh-CN" w:bidi="ar-SA"/>
        </w:rPr>
        <w:t>0755-82021155</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联系人：吕奇志</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网址：</w:t>
      </w:r>
      <w:r>
        <w:rPr>
          <w:sz w:val="21"/>
          <w:szCs w:val="21"/>
          <w:lang w:val="en-US" w:eastAsia="zh-CN" w:bidi="ar-SA"/>
        </w:rPr>
        <w:t>www.phfund.com</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w:t>
      </w:r>
      <w:r>
        <w:rPr>
          <w:sz w:val="21"/>
          <w:szCs w:val="21"/>
          <w:lang w:val="en-US" w:eastAsia="zh-CN" w:bidi="ar-SA"/>
        </w:rPr>
        <w:t>2</w:t>
      </w:r>
      <w:r>
        <w:rPr>
          <w:rFonts w:ascii="宋体" w:hAnsi="宋体" w:cs="宋体"/>
          <w:sz w:val="21"/>
          <w:szCs w:val="21"/>
          <w:lang w:val="en-US" w:eastAsia="zh-CN" w:bidi="ar-SA"/>
        </w:rPr>
        <w:t>）鹏华基金管理有限公司北京分公司</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办公地址：北京市西城区金融大街甲</w:t>
      </w:r>
      <w:r>
        <w:rPr>
          <w:sz w:val="21"/>
          <w:szCs w:val="21"/>
          <w:lang w:val="en-US" w:eastAsia="zh-CN" w:bidi="ar-SA"/>
        </w:rPr>
        <w:t>9</w:t>
      </w:r>
      <w:r>
        <w:rPr>
          <w:rFonts w:ascii="宋体" w:hAnsi="宋体" w:cs="宋体"/>
          <w:sz w:val="21"/>
          <w:szCs w:val="21"/>
          <w:lang w:val="en-US" w:eastAsia="zh-CN" w:bidi="ar-SA"/>
        </w:rPr>
        <w:t>号金融街中心南楼</w:t>
      </w:r>
      <w:r>
        <w:rPr>
          <w:sz w:val="21"/>
          <w:szCs w:val="21"/>
          <w:lang w:val="en-US" w:eastAsia="zh-CN" w:bidi="ar-SA"/>
        </w:rPr>
        <w:t>502</w:t>
      </w:r>
      <w:r>
        <w:rPr>
          <w:rFonts w:ascii="宋体" w:hAnsi="宋体" w:cs="宋体"/>
          <w:sz w:val="21"/>
          <w:szCs w:val="21"/>
          <w:lang w:val="en-US" w:eastAsia="zh-CN" w:bidi="ar-SA"/>
        </w:rPr>
        <w:t>房</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联系电话：</w:t>
      </w:r>
      <w:r>
        <w:rPr>
          <w:sz w:val="21"/>
          <w:szCs w:val="21"/>
          <w:lang w:val="en-US" w:eastAsia="zh-CN" w:bidi="ar-SA"/>
        </w:rPr>
        <w:t>010-88082426</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传真：</w:t>
      </w:r>
      <w:r>
        <w:rPr>
          <w:sz w:val="21"/>
          <w:szCs w:val="21"/>
          <w:lang w:val="en-US" w:eastAsia="zh-CN" w:bidi="ar-SA"/>
        </w:rPr>
        <w:t>010-88082018</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联系人：张圆圆</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w:t>
      </w:r>
      <w:r>
        <w:rPr>
          <w:sz w:val="21"/>
          <w:szCs w:val="21"/>
          <w:lang w:val="en-US" w:eastAsia="zh-CN" w:bidi="ar-SA"/>
        </w:rPr>
        <w:t>3</w:t>
      </w:r>
      <w:r>
        <w:rPr>
          <w:rFonts w:ascii="宋体" w:hAnsi="宋体" w:cs="宋体"/>
          <w:sz w:val="21"/>
          <w:szCs w:val="21"/>
          <w:lang w:val="en-US" w:eastAsia="zh-CN" w:bidi="ar-SA"/>
        </w:rPr>
        <w:t>）鹏华基金管理有限公司上海分公司</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办公地址：上海市浦东新区花园石桥路</w:t>
      </w:r>
      <w:r>
        <w:rPr>
          <w:sz w:val="21"/>
          <w:szCs w:val="21"/>
          <w:lang w:val="en-US" w:eastAsia="zh-CN" w:bidi="ar-SA"/>
        </w:rPr>
        <w:t>33</w:t>
      </w:r>
      <w:r>
        <w:rPr>
          <w:rFonts w:ascii="宋体" w:hAnsi="宋体" w:cs="宋体"/>
          <w:sz w:val="21"/>
          <w:szCs w:val="21"/>
          <w:lang w:val="en-US" w:eastAsia="zh-CN" w:bidi="ar-SA"/>
        </w:rPr>
        <w:t>号花旗集团大厦</w:t>
      </w:r>
      <w:r>
        <w:rPr>
          <w:sz w:val="21"/>
          <w:szCs w:val="21"/>
          <w:lang w:val="en-US" w:eastAsia="zh-CN" w:bidi="ar-SA"/>
        </w:rPr>
        <w:t>801B</w:t>
      </w:r>
      <w:r>
        <w:rPr>
          <w:rFonts w:ascii="宋体" w:hAnsi="宋体" w:cs="宋体"/>
          <w:sz w:val="21"/>
          <w:szCs w:val="21"/>
          <w:lang w:val="en-US" w:eastAsia="zh-CN" w:bidi="ar-SA"/>
        </w:rPr>
        <w:t>室</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联系电话：</w:t>
      </w:r>
      <w:r>
        <w:rPr>
          <w:sz w:val="21"/>
          <w:szCs w:val="21"/>
          <w:lang w:val="en-US" w:eastAsia="zh-CN" w:bidi="ar-SA"/>
        </w:rPr>
        <w:t>021-68876878</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传真：</w:t>
      </w:r>
      <w:r>
        <w:rPr>
          <w:sz w:val="21"/>
          <w:szCs w:val="21"/>
          <w:lang w:val="en-US" w:eastAsia="zh-CN" w:bidi="ar-SA"/>
        </w:rPr>
        <w:t>021-68876821</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联系人：李化怡</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w:t>
      </w:r>
      <w:r>
        <w:rPr>
          <w:sz w:val="21"/>
          <w:szCs w:val="21"/>
          <w:lang w:val="en-US" w:eastAsia="zh-CN" w:bidi="ar-SA"/>
        </w:rPr>
        <w:t>4</w:t>
      </w:r>
      <w:r>
        <w:rPr>
          <w:rFonts w:ascii="宋体" w:hAnsi="宋体" w:cs="宋体"/>
          <w:sz w:val="21"/>
          <w:szCs w:val="21"/>
          <w:lang w:val="en-US" w:eastAsia="zh-CN" w:bidi="ar-SA"/>
        </w:rPr>
        <w:t>）鹏华基金管理有限公司武汉分公司</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办公地址：武汉市江汉区建设大道</w:t>
      </w:r>
      <w:r>
        <w:rPr>
          <w:sz w:val="21"/>
          <w:szCs w:val="21"/>
          <w:lang w:val="en-US" w:eastAsia="zh-CN" w:bidi="ar-SA"/>
        </w:rPr>
        <w:t>568</w:t>
      </w:r>
      <w:r>
        <w:rPr>
          <w:rFonts w:ascii="宋体" w:hAnsi="宋体" w:cs="宋体"/>
          <w:sz w:val="21"/>
          <w:szCs w:val="21"/>
          <w:lang w:val="en-US" w:eastAsia="zh-CN" w:bidi="ar-SA"/>
        </w:rPr>
        <w:t>号新世界国贸大厦</w:t>
      </w:r>
      <w:r>
        <w:rPr>
          <w:sz w:val="21"/>
          <w:szCs w:val="21"/>
          <w:lang w:val="en-US" w:eastAsia="zh-CN" w:bidi="ar-SA"/>
        </w:rPr>
        <w:t>I</w:t>
      </w:r>
      <w:r>
        <w:rPr>
          <w:rFonts w:ascii="宋体" w:hAnsi="宋体" w:cs="宋体"/>
          <w:sz w:val="21"/>
          <w:szCs w:val="21"/>
          <w:lang w:val="en-US" w:eastAsia="zh-CN" w:bidi="ar-SA"/>
        </w:rPr>
        <w:t>座</w:t>
      </w:r>
      <w:r>
        <w:rPr>
          <w:sz w:val="21"/>
          <w:szCs w:val="21"/>
          <w:lang w:val="en-US" w:eastAsia="zh-CN" w:bidi="ar-SA"/>
        </w:rPr>
        <w:t>3305</w:t>
      </w:r>
      <w:r>
        <w:rPr>
          <w:rFonts w:ascii="宋体" w:hAnsi="宋体" w:cs="宋体"/>
          <w:sz w:val="21"/>
          <w:szCs w:val="21"/>
          <w:lang w:val="en-US" w:eastAsia="zh-CN" w:bidi="ar-SA"/>
        </w:rPr>
        <w:t>室</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联系电话：</w:t>
      </w:r>
      <w:r>
        <w:rPr>
          <w:sz w:val="21"/>
          <w:szCs w:val="21"/>
          <w:lang w:val="en-US" w:eastAsia="zh-CN" w:bidi="ar-SA"/>
        </w:rPr>
        <w:t>027-85557881</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传真：</w:t>
      </w:r>
      <w:r>
        <w:rPr>
          <w:sz w:val="21"/>
          <w:szCs w:val="21"/>
          <w:lang w:val="en-US" w:eastAsia="zh-CN" w:bidi="ar-SA"/>
        </w:rPr>
        <w:t>027-85557973</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联系人：祁明兵</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w:t>
      </w:r>
      <w:r>
        <w:rPr>
          <w:sz w:val="21"/>
          <w:szCs w:val="21"/>
          <w:lang w:val="en-US" w:eastAsia="zh-CN" w:bidi="ar-SA"/>
        </w:rPr>
        <w:t>5</w:t>
      </w:r>
      <w:r>
        <w:rPr>
          <w:rFonts w:ascii="宋体" w:hAnsi="宋体" w:cs="宋体"/>
          <w:sz w:val="21"/>
          <w:szCs w:val="21"/>
          <w:lang w:val="en-US" w:eastAsia="zh-CN" w:bidi="ar-SA"/>
        </w:rPr>
        <w:t>）鹏华基金管理有限公司广州分公司</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办公地址：广州市天河区珠江新城华夏路</w:t>
      </w:r>
      <w:r>
        <w:rPr>
          <w:sz w:val="21"/>
          <w:szCs w:val="21"/>
          <w:lang w:val="en-US" w:eastAsia="zh-CN" w:bidi="ar-SA"/>
        </w:rPr>
        <w:t>10</w:t>
      </w:r>
      <w:r>
        <w:rPr>
          <w:rFonts w:ascii="宋体" w:hAnsi="宋体" w:cs="宋体"/>
          <w:sz w:val="21"/>
          <w:szCs w:val="21"/>
          <w:lang w:val="en-US" w:eastAsia="zh-CN" w:bidi="ar-SA"/>
        </w:rPr>
        <w:t>号富力中心</w:t>
      </w:r>
      <w:r>
        <w:rPr>
          <w:sz w:val="21"/>
          <w:szCs w:val="21"/>
          <w:lang w:val="en-US" w:eastAsia="zh-CN" w:bidi="ar-SA"/>
        </w:rPr>
        <w:t>24</w:t>
      </w:r>
      <w:r>
        <w:rPr>
          <w:rFonts w:ascii="宋体" w:hAnsi="宋体" w:cs="宋体"/>
          <w:sz w:val="21"/>
          <w:szCs w:val="21"/>
          <w:lang w:val="en-US" w:eastAsia="zh-CN" w:bidi="ar-SA"/>
        </w:rPr>
        <w:t>楼</w:t>
      </w:r>
      <w:r>
        <w:rPr>
          <w:sz w:val="21"/>
          <w:szCs w:val="21"/>
          <w:lang w:val="en-US" w:eastAsia="zh-CN" w:bidi="ar-SA"/>
        </w:rPr>
        <w:t>07</w:t>
      </w:r>
      <w:r>
        <w:rPr>
          <w:rFonts w:ascii="宋体" w:hAnsi="宋体" w:cs="宋体"/>
          <w:sz w:val="21"/>
          <w:szCs w:val="21"/>
          <w:lang w:val="en-US" w:eastAsia="zh-CN" w:bidi="ar-SA"/>
        </w:rPr>
        <w:t>单元</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联系电话：</w:t>
      </w:r>
      <w:r>
        <w:rPr>
          <w:sz w:val="21"/>
          <w:szCs w:val="21"/>
          <w:lang w:val="en-US" w:eastAsia="zh-CN" w:bidi="ar-SA"/>
        </w:rPr>
        <w:t>020-38927993</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传真：</w:t>
      </w:r>
      <w:r>
        <w:rPr>
          <w:sz w:val="21"/>
          <w:szCs w:val="21"/>
          <w:lang w:val="en-US" w:eastAsia="zh-CN" w:bidi="ar-SA"/>
        </w:rPr>
        <w:t>020-38927990</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联系人：周樱</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2、其他销售机构</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（1）银行销售机构</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1）东莞农村商业银行股份有限公司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注册地址：广东省东莞市城区南城路2号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办公地址：广东省东莞市城区南城路2号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法定代表人：王耀球</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联系人：杨亢</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客户服务电话：0769-961122</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网址：www.drcbank.com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2）福建海峡银行股份有限公司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注册地址：福建省福州市台江区江滨中大道358号海峡银行大厦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办公地址：福建省福州市台江区江滨中大道358号海峡银行大厦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法定代表人：俞敏</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联系人：黄钰雯</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客户服务电话：400-893-9999</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网址：www.fjhxbank.com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3）广发银行股份有限公司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注册地址：广州市东风东路713号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办公地址：北京市东城区东长安街甲2号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法定代表人：杨明生</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联系人：陈泾渭</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客户服务电话：4008308003</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网址：www.cgbchina.com.cn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4）徽商银行股份有限公司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注册地址：合肥市安庆路79号天徽大厦A座</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办公地址：合肥市安庆路79号天徽大厦A座</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法定代表人：吴学民</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联系人：叶卓伟</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客户服务电话：4008896588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网址：www.hsbank.com.cn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5）江苏江南农村商业银行股份有限公司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注册地址：江苏省常州市和平中路413号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办公地址：江苏省常州市和平中路413号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法定代表人：陆向阳</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联系人：蒋娇</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客户服务电话：0519-96005</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网址：www.jnbank.com.cn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6）江苏张家港农村商业银行股份有限公司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注册地址：江苏省张家港市人民中路66号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办公地址：江苏省张家港市人民中路66号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法定代表人：季颖</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联系人：朱芳</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客户服务电话：0512-96065</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网址：www.zrcbank.com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7）交通银行股份有限公司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注册地址：上海市浦东新区银城中路188号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办公地址：上海市浦东新区银城中路188号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法定代表人：任德奇</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联系人：王菁</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客户服务电话：95559</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网址：www.bankcomm.com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8）晋城银行股份有限公司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注册地址：山西省太原市小店区高新街15号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办公地址：山西省太原市小店区高新街15号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法定代表人：贾沁林</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客户服务电话：0356-96517</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网址：www.jccbank.com.cn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9）平安银行股份有限公司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注册地址：深圳市深南东路5047号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办公地址：深圳市深南东路5047号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法定代表人：谢永林</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联系人：张莉</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客户服务电话：95511-3</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网址：bank.pingan.com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10）青岛银行股份有限公司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注册地址：青岛市香港中路68号华普大厦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办公地址：青岛市香港中路68号华普大厦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法定代表人：郭少泉</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客户服务电话：96588（青岛） 400-66-96588（全国）</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网址：www.qdccb.com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11）上海浦东发展银行股份有限公司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注册地址：上海市中山东一路12号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办公地址：上海市中山东一路12号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法定代表人：高国富</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联系人：唐苑</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客户服务电话：95528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网址：www.spdb.com.cn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12）上海银行股份有限公司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注册地址：中国（上海）自由贸易试验区银城中路168号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办公地址：中国（上海）自由贸易试验区银城中路168号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法定代表人：金煜</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联系人：汤征程</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客户服务电话：95594</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网址：www.bosc.cn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13）深圳前海微众银行股份有限公司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注册地址：深圳市南山区桃园路田厦国际中心A36楼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办公地址：深圳市南山区桃园路田厦国际中心A36楼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法定代表人：顾敏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客户服务电话：400-999-8800</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网址：www.webank.com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14）西安银行股份有限公司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注册地址：陕西省西安市高新路60号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办公地址：陕西省西安市高新路60号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法定代表人：郭军</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客户服务电话：40086-96779</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网址：www.xacbank.com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15）招商银行股份有限公司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注册地址：深圳市深南大道7088号招商银行大厦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办公地址：深圳市深南大道7088号招商银行大厦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法定代表人：李建红</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联系人：邓炯鹏</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客户服务电话：95555</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网址：www.cmbchina.com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16）浙江绍兴瑞丰农村商业银行股份有限公司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注册地址：浙江省绍兴市柯桥区笛扬路1363号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办公地址：浙江省绍兴市柯桥区笛扬路1363号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法定代表人：俞俊海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客户服务电话：4008896596</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网址：www.borf.cn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17）中国工商银行股份有限公司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注册地址：北京复兴门内大街55号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办公地址：北京复兴门内大街55号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法定代表人：陈四清</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联系人：刘秀宇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客户服务电话：95588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网址：www.icbc.com.cn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18）中国建设银行股份有限公司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注册地址：北京市西城区金融大街25号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办公地址：北京市西城区金融大街25号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法定代表人：田国立</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联系人：王未雨</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客户服务电话：95533</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网址：www.ccb.com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19）中国民生银行股份有限公司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注册地址：北京市西城区复兴门内大街2号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办公地址：北京市西城区复兴门内大街2号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法定代表人：洪崎</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联系人：穆婷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客户服务电话：95568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网址：www.cmbc.com.cn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20）中国银行股份有限公司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注册地址：北京市复兴门内大街1号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办公地址：北京市复兴门内大街1 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法定代表人：陈四清</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联系人：陈洪源</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客户服务电话：95566</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网址：www.boc.cn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21）珠海华润银行股份有限公司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注册地址：中国广东珠海市吉大九洲大道东1346号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办公地址：中国广东珠海市吉大九洲大道东1346号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法定代表人：刘晓勇</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联系人：李阳</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客户服务电话：400-880-0338或96588（广东省外请加拨0756）</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网址：www.crbank.com.cn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（2）证券公司销售机构</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1）爱建证券有限责任公司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注册地址：中国（上海）自由贸易试验区世纪大道1600号1幢32楼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办公地址：中国（上海）自由贸易试验区世纪大道1600号1幢32楼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法定代表人：祝健</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联系人：王冠昌</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客户服务电话：4001-962-502</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网址：www.ajzq.com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2）安信证券股份有限公司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注册地址：深圳市福田区金田路4018号安联大厦35层、28层A02单元</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办公地址：深圳市福田区金田路4018号安联大厦35层、28层A02单元</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法定代表人：王连志</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联系人：陈剑虹</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客户服务电话：95517或4008-001-001</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网址：www.essence.com.cn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3）渤海证券股份有限公司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注册地址：天津市经济技术开发区第二大街42号写字楼101室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办公地址：天津市南开区宾水西道8号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法定代表人：王春峰</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联系人：蔡霆</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客户服务电话：400-651-5988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网址：www.ewww.com.cn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4）财达证券股份有限公司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注册地址：河北省石家庄市桥西区自强路35号庄家金融大厦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办公地址：河北省石家庄市桥西区自强路35号庄家金融大厦23-26层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法定代表人：翟建强</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联系人：马辉</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客户服务电话：河北省内：95363 、河北省外：0311-95363</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网址：www.s10000.com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5）长城证券股份有限公司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注册地址：深圳市福田区深南大道6008号特区报业大厦16楼-17楼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办公地址：深圳市福田区深南大道6008号特区报业大厦14楼、16楼、17楼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法定代表人：曹宏</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联系人：金夏</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客户服务电话：400-666-6888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网址：www.cgws.com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6）长江证券股份有限公司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注册地址：武汉市新华路特8号长江证券大厦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办公地址：武汉市新华路特8号长江证券大厦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法定代表人：尤习贵</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联系人：奚博宇</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客户服务电话：95579/4008-888-999</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网址：www.95579.com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7）大同证券有限责任公司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注册地址：山西省大同市城区迎宾街15号桐城中央21层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办公地址：山西省太原市小店区长治路世贸中心12层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法定代表人：董祥</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联系人：薛津</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客户服务电话：4007-121212</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网址：www.dtsbc.com.cn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8）第一创业证券股份有限公司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注册地址：深圳市福田区福华一路115号投行大厦20楼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办公地址：深圳市福田区福华一路115号投行大厦20楼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法定代表人：刘学民</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联系人：毛诗莉</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客户服务电话：95358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网址：www.firstcapital.com.cn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9）东北证券股份有限公司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注册地址：长春市生态大街6666号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办公地址：长春市生态大街6666号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法定代表人：李福春</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联系人：安岩岩</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客户服务电话：95360</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网址：www.nesc.cn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10）东方财富证券股份有限公司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注册地址：西藏自治区拉萨市柳梧新区国际总部城10栋楼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办公地址：上海市徐汇区宛平南路88号金座东方财富大厦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法定代表人：徐伟琴</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联系人：付佳</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客户服务电话：95357</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网址：www.18.cn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11）东海证券股份有限公司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注册地址：江苏省常州延陵西路23号投资广场18层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办公地址：上海市浦东新区东方路1928号东海证券大厦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法定代表人：钱俊文</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联系人：王一彦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客户服务电话：95531；400-8888-588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网址：www.longone.com.cn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12）东吴证券股份有限公司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注册地址：苏州工业园区星阳街5号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办公地址：苏州工业园区星阳街5号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法定代表人：范力</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联系人：陆晓</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客户服务电话：95330</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网址：www.dwzq.com.cn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13）光大证券股份有限公司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注册地址：上海市新闸路1508号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办公地址：上海市新闸路1508号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法定代表人：周健男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联系人：龚俊涛</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客户服务电话：95525</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网址：www.ebscn.com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14）广发证券股份有限公司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注册地址：广州市黄埔区中新广州知识城腾飞一街2号618室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办公地址：广州市天河区马场路26号广发证券大厦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法定代表人：孙树明</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联系人：黄岚</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客户服务电话：95575或（020）95575</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网址：www.gf.com.cn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15）国都证券股份有限公司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注册地址：北京市东城区东直门南大街3号国华投资大厦9层10层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办公地址：北京市东城区东直门南大街3号国华投资大厦9层10层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法定代表人：王少华</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联系人：黄静</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客户服务电话：400-818-8118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网址：www.guodu.com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16）国海证券股份有限公司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注册地址：广西桂林市辅星路13号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办公地址：广西南宁市滨湖路46号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法定代表人：何春梅</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联系人：牛孟宇</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客户服务电话：95563</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网址：www.ghzq.com.cn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17）国金证券股份有限公司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注册地址：四川省成都市东城根上街95号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办公地址：四川省成都市东城根上街95号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法定代表人：冉云</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联系人：贾鹏</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客户服务电话：95310</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网址：www.gjzq.com.cn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18）国联证券股份有限公司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注册地址：无锡市金融一街8号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办公地址：无锡市金融一街8号国联大厦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法定代表人：姚志勇</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联系人：祁昊</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客户服务电话：95570</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网址：www.glsc.com.cn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19）国盛证券有限责任公司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注册地址：江西省南昌市新建区子实路1589号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办公地址：江西省南昌市红谷滩新区凤凰中大道1115号北京银行南昌分行营业大楼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法定代表人：徐丽峰</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联系人：占文驰</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客户服务电话：956080</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网址：www.gszq.com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20）国泰君安证券股份有限公司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注册地址：中国（上海）自由贸易试验区商城路618号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办公地址：上海市静安区南京西路768号国泰君安大厦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法定代表人：贺青</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联系人：钟伟镇</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客户服务电话：95521/400-8888-666</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网址：www.gtja.com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21）国信证券股份有限公司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注册地址：深圳市罗湖区红岭中路1012号国信证券大厦十六层至二十六层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办公地址：深圳市罗湖区红岭中路1012号国信证券大厦十六层至二十六层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法定代表人：何如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联系人：李颖</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客户服务电话：95536</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网址：www.guosen.com.cn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22）国元证券股份有限公司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注册地址：中国安徽省合肥市梅山路18号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办公地址：安徽省合肥市梅山路18号安徽国际金融中心A座国元证券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法定代表人：蔡咏</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联系人：米硕</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客户服务电话：95578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网址：www.gyzq.com.cn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23）华安证券股份有限公司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注册地址：安徽省合肥市政务文化新区天鹅湖路198号财智中心B</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办公地址：安徽省合肥市政务文化新区天鹅湖路198号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法定代表人：章宏韬</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联系人：范超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客户服务电话：95318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网址：www.hazq.com/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24）华林证券股份有限公司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注册地址：西藏自治区拉萨市柳梧新区察古大道1-1君泰国际B栋一层3号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办公地址：深圳市福田区民田路178号华融大厦6楼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法定代表人：林立</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联系人：胡倩</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客户服务电话：400-188-3888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网址：www.chinalin.com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25）华龙证券股份有限公司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注册地址：兰州市城关区东岗西路638号兰州财富中心21楼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办公地址：兰州市城关区东岗西路638号19楼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法定代表人：李晓安</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联系人：范坤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客户服务电话：95368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网址：www.hlzq.com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26）华融证券股份有限公司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注册地址：北京市西城区金融大街8号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办公地址：北京市朝阳区朝阳门北大街18号中国人保寿险大厦11至18层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法定代表人：祝献忠</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联系人：孙燕波</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客户服务电话：95390</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网址：www.hrsec.com.cn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27）华泰证券股份有限公司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注册地址：南京市江东中路228号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办公地址：南京市建邺区江东中路228号华泰证券广场、广东省深圳市福田区莲花街道益田路5999号基金大厦10楼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法定代表人：周易</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联系人：胡子豪</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客户服务电话：95597</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网址：www.htsc.com.cn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28）华西证券股份有限公司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注册地址：四川省成都市高新区天府二街198号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办公地址：四川省成都市高新区天府二街198号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法定代表人：杨炯洋</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联系人：谢国梅</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客户服务电话：95584</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网址：www.hx168.com.cn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29）华鑫证券有限责任公司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注册地址：深圳市福田区莲花街道福中社区深南大道2008号中国凤凰大厦1栋20C-1房</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办公地址：上海市徐汇区宛平南路8号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法定代表人：俞洋</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联系人：杨莉娟</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客户服务电话：021-32109999；029-68918888；4001099918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网址：www.cfsc.com.cn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30）江海证券有限公司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注册地址：黑龙江省哈尔滨市香坊区赣水路56号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办公地址：黑龙江省哈尔滨市松北区创新三路833号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法定代表人：孙名扬</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联系人：姜志伟</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客户服务电话：956007</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网址：www.jhzq.com.cn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31）金元证券股份有限公司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注册地址：海口市南宝路36号证券大厦4楼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办公地址：深圳市福田区深南大道4001号时代金融中心17层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法定代表人：王作义</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联系人：马贤清</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客户服务电话：95372</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网址：www.jyzq.cn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32）开源证券股份有限公司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注册地址：西安市高新区锦业路1号都市之门B座5层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办公地址：西安市高新区锦业路1号都市之门B座5层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法定代表人：李刚</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联系人：袁伟涛</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客户服务电话：95325/400-860-8866</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网址：www.kysec.cn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33）民生证券股份有限公司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注册地址：北京市东城区建国门内大街28号民生金融中心A座16-20层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办公地址：北京市东城区建国门内大街28号民生金融中心A座16-20层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法定代表人：冯鹤年</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联系人：韩秀萍</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客户服务电话：95376</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网址：www.mszq.com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34）平安证券股份有限公司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注册地址：深圳市福田区益田路5033号平安金融中心61层-64层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办公地址：深圳市福田区益田路5033号平安金融中心61层-64层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法定代表人：何之江</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联系人：周一涵</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客户服务电话：95511-8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网址：stock.pingan.com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35）上海证券有限责任公司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注册地址：上海市黄浦区四川中路213号7楼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办公地址：上海市黄浦区四川中路213号7楼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法定代表人：李俊杰</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联系人：魏熠珲</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客户服务电话：4008918918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网址：www.shzq.com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36）申万宏源证券有限公司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注册地址：上海市徐汇区长乐路989号45层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办公地址：上海市徐汇区长乐路989号45层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法定代表人：李梅</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联系人：李玉婷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客户服务电话：95523/4008895523</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网址：www.swhysc.com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37）世纪证券有限责任公司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注册地址：深圳市福田区深南大道招商银行大厦40/42层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办公地址：深圳市福田区深南大道招商银行大厦40/42层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法定代表人：李强</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联系人：王雯</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客户服务电话：4008323000</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网址：www.csco.com.cn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38）首创证券有限责任公司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注册地址：北京市西城区德胜门外大街115号德胜尚城E座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办公地址：北京市西城区德胜门外大街115号德胜尚城E座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法定代表人：毕劲松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联系人：刘宇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客户服务电话：4006200620</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网址：www.sczq.com.cn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39）天风证券股份有限公司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注册地址：湖北省武汉市东湖新技术开发区关东园路2号高科大厦4楼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办公地址：湖北省武汉市武昌区中南路99号保利广场A座37楼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法定代表人：余磊</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联系人：夏旻</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客户服务电话：95391/4008005000</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网址：www.tfzq.com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40）万联证券股份有限公司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注册地址：广东省广州市天河区珠江东路11号高德置地广场F座18、19层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办公地址：广东省广州市天河区珠江东路13号高德置地广场E座12层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法定代表人：张建军</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联系人：甘蕾</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客户服务电话：95322</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网址：www.wlzq.com.cn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41）西部证券股份有限公司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注册地址：西安市新城区东新街232号陕西信托大厦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办公地址：西安市新城区东新街232号陕西信托大厦16-17层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法定代表人：刘建武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联系人：梁承华</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客户服务电话：95582</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网址：www.westsecu.com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42）西南证券股份有限公司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注册地址：重庆市江北区桥北苑8号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办公地址：重庆市江北区桥北苑8号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法定代表人：廖庆轩</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联系人：周青</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客户服务电话：4008096096/95355</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网址：www.swsc.com.cn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43）新时代证券股份有限公司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注册地址：北京市海淀区北三环西路99号院1号楼15层1501</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办公地址：北京市海淀区北三环西路99号院1号楼15层1501</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法定代表人：叶顺德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联系人：田芳芳</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客户服务电话：95399</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网址：www.xsdzq.cn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44）信达证券股份有限公司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注册地址：北京市西城区闹市口大街9号院1号楼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办公地址：北京市西城区闹市口大街9号院1号楼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法定代表人：张志刚</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联系人：尹旭航</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客户服务电话：95321</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网址：www.cindasc.com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45）兴业证券股份有限公司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注册地址：福州市湖东路268号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办公地址：上海市浦东新区长柳路36号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法定代表人：杨华辉</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联系人：乔琳雪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客户服务电话：95562</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网址：www.xyzq.com.cn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46）英大证券有限责任公司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注册地址：深圳市福田区深南中路华能大厦三十、三十一层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办公地址：深圳市福田区深南中路华能大厦三十、三十一层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法定代表人：吴骏</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联系人：王晓静</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客户服务电话：4000-188-688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网址：www.ydsc.com.cn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47）粤开证券股份有限公司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注册地址：惠州市江北东江三路55号广播电视新闻中心西面一层大堂和三、四层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办公地址：深圳市福田区深南中路2002号中广核大厦北楼10层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法定代表人：严亦斌</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联系人：彭莲</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客户服务电话：95564</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网址：www.ykzq.com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48）招商证券股份有限公司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注册地址：深圳市福田区益田路江苏大厦A座38—45层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办公地址：深圳市福田区益田路江苏大厦A座38—45层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法定代表人：宫少林</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联系人：林生迎</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客户服务电话：95565</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网址：www.newone.com.cn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49）浙商证券股份有限公司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注册地址：浙江省杭州市西湖区杭大路1号黄龙世纪广场A座</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办公地址：杭州市江干区五星路201号浙商证券大楼8楼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法定代表人：吴承根</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联系人：陈姗姗</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客户服务电话：95345</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网址：www.stocke.com.cn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50）中国银河证券股份有限公司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注册地址：北京市西城区金融大街35号2-6层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办公地址：北京市西城区金融大街35号国际企业大厦C座</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法定代表人：陈共炎</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联系人：辛国政</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客户服务电话：4008-888-888或95551</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网址：www.chinastock.com.cn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51）中国中金财富证券有限公司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注册地址：深圳市福田区益田路与福中路交界处荣超商务中心A栋第18-21层及第04层01.02.03.05.11.12.13.15.16.18.19.20.21.22.23单元</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办公地址：深圳市福田区益田路6003号荣超商务中心A栋第4、18层至21层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法定代表人：高涛</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联系人：万玉琳</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客户服务电话：95532</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网址：www.ciccwm.com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52）中泰证券股份有限公司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注册地址：济南市市中区经七路86号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办公地址：上海市花园石桥路66号东亚银行金融大厦18层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法定代表人：李玮</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联系人：朱琴</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客户服务电话：95538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网址：www.zts.com.cn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53）中信建投证券股份有限公司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注册地址：北京市朝阳区安立路66号4号楼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办公地址：北京市朝阳门内大街188号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法定代表人：王常青</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联系人：刘畅</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客户服务电话：95587/4008-888-108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网址：www.csc108.com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54）中信证券股份有限公司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注册地址：广东省深圳市福田区中心三路8号卓越时代广场（二期）北座</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办公地址：北京市朝阳区亮马桥路48号中信证券大厦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法定代表人：张佑君</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联系人：郑慧</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客户服务电话：95548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网址：www.cs.ecitic.com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55）中信证券华南股份有限公司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注册地址：广州市天河区珠江西路5号广州国际金融中心主塔19层、20层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办公地址：广州市天河区珠江西路5号广州国际金融中心主塔19层、20层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法定代表人：胡伏云</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联系人：梁微</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客户服务电话：95396</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网址：www.gzs.com.cn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56）中信证券（山东）有限责任公司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注册地址：青岛市崂山区深圳路222号1号楼2001</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办公地址：青岛市市南区东海西路28号龙翔广场东座5层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法定代表人：姜晓林</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联系人：焦刚</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客户服务电话：95548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网址：sd.citics.com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57）中原证券股份有限公司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注册地址：郑州市郑东新区商务外环路10号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办公地址：郑州市郑东新区商务外环路10号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法定代表人：菅明军</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联系人：程月艳</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客户服务电话：95377</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网址：www.ccnew.com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（3）期货公司销售机构</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1）中信建投期货有限公司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注册地址：重庆市渝中区中山三路107号上站大楼平街11-B，名义层11-A，8-B4，9-B、C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办公地址：重庆市渝中区中山三路107号皇冠大厦11楼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法定代表人：王广学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联系人：刘芸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客户服务电话：4008877780</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网址：www.cfc108.com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2）中信期货有限公司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注册地址：广东省深圳市福田区中心三路8号卓越时代广场（二期）北座13层1301-1305、14层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办公地址：广东省深圳市福田区中心三路8号卓越时代广场（二期）北座13层1301-1305、14层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法定代表人：张皓</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联系人：刘宏莹</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客户服务电话：400-990-8826</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网址：www.citicsf.com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（4）第三方销售机构</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1）北京百度百盈基金销售有限公司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注册地址：北京市海淀区上地十街10号百度大厦2层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办公地址：北京市海淀区上地十街10号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法定代表人：梁志祥</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联系人：王笑宇</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客户服务电话：95055</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网址：www.baiyingfund.com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2）北京创金启富基金销售有限公司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注册地址：北京市西城区白纸坊东街2号院6号楼712室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办公地址：北京市西城区白纸坊东街2号院6号楼712室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法定代表人：梁蓉</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联系人：马浩</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客户服务电话：400-6262-818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网址：www.5irich.com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3）北京蛋卷基金销售有限公司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注册地址：北京市朝阳区阜通东大街1号院6号楼2单元21层222507</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办公地址：北京市朝阳区望京SOHO T3 A座19层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法定代表人：钟斐斐</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联系人：戚晓强</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客户服务电话：400-159-9288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网址：danjuanapp.com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4）北京恒天明泽基金销售有限公司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注册地址：北京市北京经济技术开发区宏达北路10号5层5122室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办公地址：北京市北京经济技术开发区宏达北路10号5层5122室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法定代表人：黄永伟</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联系人：侯仁凤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客户服务电话：400-8980-618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网址：www.chtfund.com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5）北京虹点基金销售有限公司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注册地址：北京市朝阳区工人体育场北路甲2号盈科中心东门2层222单元</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办公地址：北京市朝阳区工人体育场北路甲2号盈科中心东门2层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法定代表人：胡伟</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联系人：陈铭洲</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客户服务电话：400-618-0707</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网址：www.hongdianfund.com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6）北京汇成基金销售有限公司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注册地址：北京市海淀区中关村大街11号11层1108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办公地址：北京市海淀区中关村大街11号11层1108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法定代表人：王伟刚</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联系人：王晓晓</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客户服务电话：400-619-9059</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网址：www.hcjijin.com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7）北京肯特瑞基金销售有限公司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注册地址：北京市海淀区西三旗建材城中路12号17号平房157</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办公地址：北京市通州区亦庄经济技术开发区科创十一街18号院京东集团总部A座15层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 王苏宁</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联系人：韩锦星</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客户服务电话：95118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网址：kenterui.jd.com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8）北京唐鼎耀华基金销售有限公司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注册地址：北京市延庆县延庆经济开发区百泉街10号2栋236室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办公地址：北京市朝阳区建国门外大街19号A座1505室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法定代表人：张冠宇</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联系人：王国壮</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客户服务电话：400-819-9868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网址：www.tdyhfund.com/Index</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9）北京新浪仓石基金销售有限公司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注册地址：北京市海淀区东北旺西路中关村软件园二期(西扩)N-1、N-2地块新浪总部科研楼5层518室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办公地址：北京市海淀区东北旺西路中关村软件园二期(西扩)N-1、N-2地块新浪总部科研楼5层518室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法定代表人：李昭琛</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联系人：吴翠</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客户服务电话：010-62675369</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网址：www.xincai.com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10）北京植信基金销售有限公司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注册地址：北京市密云县兴盛南路8号院2号楼106室-67</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办公地址：北京市朝阳区惠河南路盛世龙源10号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法定代表人：于龙</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联系人：张喆</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客户服务电话：4006-802-123</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网址：www.zhixin-inv.com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11）成都华羿恒信基金销售有限公司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注册地址：中国（四川）自由贸易试验区成都高新区蜀锦路88号1号楼32楼2号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办公地址：中国（四川）自由贸易试验区成都高新区蜀锦路88号1号楼32楼2号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法定代表人：赵壁</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联系人：徐莉</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客户服务电话：028-87326832</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网址：www.huayihengxin.com/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12）大连网金基金销售有限公司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注册地址：辽宁省大连市沙河口区体坛路22号诺德大厦2层202室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办公地址：辽宁省大连市沙河口区体坛路22号诺德大厦2层202室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法定代表人：樊怀东</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联系人：王清臣</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客户服务电话：4000-899-100</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网址：www.yibaijin.com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13）海银基金销售有限公司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注册地址：中国（上海）自由贸易试验区银城中路8号402室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办公地址：上海市浦东新区银城中路8号4楼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法定代表人：刘惠</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联系人：刘晖</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客户服务电话：400-808-1016</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网址：www.fundhaiyin.com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14）和耕传承基金销售有限公司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注册地址：河南自贸试验区郑州片区（郑东）东风南路东康宁街北6号楼5楼503</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办公地址：河南自贸试验区郑州片区（郑东）东风南路东康宁街北6号楼5楼503</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法定代表人：王旋</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联系人：董亚芳</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客户服务电话：400-0555-671</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网址：www.hgccpb.com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15）江苏汇林保大基金销售有限公司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注册地址：南京市高淳区经济开发区古檀大道47号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法定代表人：吴言林</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客户服务电话：025-66046166</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网址：www.huilinbd.com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16）蚂蚁（杭州）基金销售有限公司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注册地址：浙江省杭州市余杭区五常街道文一西路969号3幢5层599室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办公地址：浙江省杭州市西湖区万塘路18号黄龙时代广场B座6F</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法定代表人：祖国明</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联系人：韩爱彬</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客户服务电话：4000-766-123</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网址：www.fund123.cn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17）南京苏宁基金销售有限公司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注册地址：南京市玄武区苏宁大道1-5号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办公地址：南京市玄武区苏宁大道1-5号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法定代表人：王锋</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联系人：张云飞</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客户服务电话：95177</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网址：www.snjijin.com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18）诺亚正行基金销售有限公司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注册地址：上海市虹口区飞虹路360弄9号3724室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办公地址：上海市杨浦区秦皇岛路32号c栋</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法定代表人：汪静波</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联系人：朱了</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客户服务电话：400-821-5399</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网址：www.noah-fund.com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19）浦领基金销售有限公司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注册地址：北京市朝阳区望京东园四区13号楼A座9层908室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办公地址：北京市朝阳区望京浦项中心A座9层04-08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法定代表人：李招弟</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联系人：李艳</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客户服务电话：400-012-5899</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网址：www.zscffund.com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20）上海长量基金销售投资顾问有限公司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注册地址：上海市浦东新区高翔路526号2幢220室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办公地址：上海市浦东新区东方路1267号11层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法定代表人：张跃伟</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联系人：张佳琳</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客户服务电话：400-820-2899</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网址：www.erichfund.com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21）上海大智慧基金销售有限公司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注册地址：上海市浦东新区杨高南路428号1号楼1102单元</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办公地址：中国（上海）自由贸易试验区杨高南路428号1号楼1102、1103单元</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法定代表人：申健</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联系人：张蜓</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客户服务电话：021-20292031</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网址：www.wg.com.cn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22）上海好买基金销售有限公司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注册地址：上海市虹口区欧阳路196号26号楼2楼41号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办公地址：上海市浦东南路1118号鄂尔多斯大厦903～906室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法定代表人：杨文斌</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联系人：王诗玙</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客户服务电话：400-700-9665</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网址：www.howbuy.com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23）上海基煜基金销售有限公司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注册地址：上海市崇明县长兴镇潘园公路1800号2号楼6153室（上海泰和经济发展区）</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办公地址：上海市浦东新区银城中路488号太平金融大厦1503室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法定代表人：王翔</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联系人：吴鸿飞</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客户服务电话：400-820-5369</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网址：www.jiyufund.com.cn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24）上海利得基金销售有限公司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注册地址：上海市宝山区蕴川路5475号1033室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办公地址：上海浦东新区峨山路91弄61号陆家嘴软件园10号楼12楼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法定代表人：李兴春</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联系人：陈孜明</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客户服务电话：95733</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网址：www.leadfund.com.cn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25）上海联泰基金销售有限公司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注册地址：中国（上海）自由贸易试验区富特北路277号3层310室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办公地址：上海市长宁区福泉北路 518 号 8 座 3 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法定代表人：尹彬彬</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联系人：兰敏</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客户服务电话：400-118-1188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网址：www.66liantai.com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26）上海陆金所基金销售有限公司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注册地址：上海市浦东新区陆家嘴环路1333号14楼09单元</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办公地址：上海市浦东新区陆家嘴环路1333号</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法定代表人：王之广</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联系人：宁博宇</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客户服务电话：400-821-9031</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网址：www.lufunds.com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27）上海天天基金销售有限公司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注册地址：上海市徐汇区龙田路190号2号楼2层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办公地址：上海市徐汇区龙田路195号3C座10楼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法定代表人：其实</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联系人：高莉莉</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客户服务电话：400-1818-188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网址：www.1234567.com.cn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28）上海挖财基金销售有限公司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注册地址：中国（上海）自由贸易试验区杨高南路799号5层04室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办公地址：中国（上海）自由贸易试验区杨高南路799号5层04室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法定代表人：吕柳霞</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联系人：曾芸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客户服务电话：021-50810673</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网址：www.wacaijijin.com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29）上海中正达广基金销售有限公司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注册地址：上海市徐汇区龙腾大道2815号302室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办公地址：上海市徐汇区龙腾大道2815号302室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法定代表人：黄欣</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联系人：戴珉微</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客户服务电话：400-6767-523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网址：www.zzwealth.cn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30）深圳市新兰德证券投资咨询有限公司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注册地址：深圳市福田区福田街道民田路178号华融大厦27层2704</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办公地址：北京市西城区宣武门外大街28号富卓大厦A座7层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法定代表人：马勇</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联系人：文雯</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客户服务电话：400-166-1188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网址：8.jrj.com.cn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31）深圳众禄基金销售股份有限公司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注册地址：深圳市罗湖区梨园路物资控股置地大厦8楼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办公地址：深圳市罗湖区笋岗街道梨园路物资控股置地大厦8楼801 </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法定代表人：薛峰</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联系人：邓爱萍</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客户服务电话：4006-788-887</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网址：www.zlfund.cn、 www.jjmmw.com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32）腾安基金销售（深圳）有限公司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注册地址：深圳市南山区高新科技园科技中一路腾讯大厦11层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办公地址：深圳市前海深港合作区前湾一路1号A栋201室（入驻深圳市前海商务秘书有限公司）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法定代表人：刘明军</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联系人：郑骏锋</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客户服务电话：95017</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网址：www.tenganxinxi.com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33）喜鹊财富基金销售有限公司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注册地址：西藏拉萨市柳梧新区柳梧大厦1513室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办公地址：西藏拉萨市柳梧新区柳梧大厦1513室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法定代表人：王舰正</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联系人：张萌</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客户服务电话：400-699-7719</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网址：www.xiquefund.com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34）阳光人寿保险股份有限公司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注册地址：海南省三亚市迎宾路360-1号三亚阳光金融广场16层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办公地址：北京市朝阳区朝阳门外大街乙12号院1号昆泰国际大厦12层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法定代表人：李科</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联系人：王超</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客户服务电话：95510</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网址：fund.sinosig.com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35）宜信普泽（北京）基金销售有限公司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注册地址：北京市朝阳区建国路88号9号楼15层1809</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办公地址：北京市朝阳区建国路88号SOHO现代城C1809</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法定代表人：戎兵</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联系人：魏晨</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客户服务电话：400-6099-200</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网址：www.yixinfund.com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36）奕丰基金销售有限公司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注册地址：深圳市前海深港合作区前湾一号1号A栋201室（入驻深圳市前海商务秘书有限公司）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办公地址：深圳市南山区海德三道航天科技广场A座17楼1704室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法定代表人：TEO WEE HOWE</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联系人：叶健</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客户服务电话：400-684-0500</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网址：www.ifastps.com.cn</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37）浙江同花顺基金销售有限公司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注册地址：浙江省杭州市文二西路一号元茂大厦903</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办公地址：杭州市余杭区五常街道同顺路18号同花顺大楼</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法定代表人：吴强</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联系人：洪泓</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客户服务电话：4008773772</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网址：www.5ifund.com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38）中证金牛（北京）投资咨询有限公司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注册地址：北京市丰台区东管头1号2号楼2-45室</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办公地址：北京市西城区宣武门外大街甲1号环球财讯中心A座5层</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法定代表人：钱昊旻</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联系人：沈晨</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客户服务电话：4008-909-998</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网址：www.jnlc.com</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39）珠海盈米基金销售有限公司</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注册地址：珠海市横琴新区宝华路6号105室-3491</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办公地址：广州市海珠区琶洲大道东1号保利国际广场南塔12楼B1201-1203</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法定代表人：肖雯</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联系人：黄敏嫦</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客户服务电话：020-89629066</w:t>
      </w:r>
    </w:p>
    <w:p w:rsidR="00CC2FD8" w:rsidRDefault="00CC2FD8">
      <w:pPr>
        <w:pStyle w:val="MsoNormal0"/>
        <w:spacing w:line="360" w:lineRule="auto"/>
        <w:ind w:firstLine="420"/>
        <w:jc w:val="both"/>
        <w:rPr>
          <w:rFonts w:ascii="宋体" w:hAnsi="宋体" w:cs="宋体"/>
          <w:sz w:val="21"/>
          <w:szCs w:val="21"/>
          <w:lang w:val="en-US" w:eastAsia="zh-CN" w:bidi="ar-SA"/>
        </w:rPr>
      </w:pPr>
      <w:r>
        <w:rPr>
          <w:rFonts w:ascii="宋体" w:hAnsi="宋体" w:cs="宋体"/>
          <w:sz w:val="21"/>
          <w:szCs w:val="21"/>
          <w:lang w:val="en-US" w:eastAsia="zh-CN" w:bidi="ar-SA"/>
        </w:rPr>
        <w:t xml:space="preserve">网址：www.yingmi.cn </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基金管理人可根据有关法律法规要求，根据实情，选择其他符合要求的机构销售本基金或变更上述销售机构，并在基金管理人网站公示。</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二、登记机构</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名称：鹏华基金管理有限公司</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住所：深圳市福田区福华三路168 号深圳国际商会中心43 层</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法定代表人：何如</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办公室地址：深圳市福田区福华三路168 号深圳国际商会中心43 层</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联系电话：（0755）82021877</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传真：（0755）82021165</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负责人：范伟强</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三、出具法律意见书的律师事务所</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名称：上海通力律师事务所</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住所：上海市银城中路68号时代金融中心19楼</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法定代表人：俞卫锋</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办公室地址：上海市银城中路68号时代金融中心19楼</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联系电话：021-31358666</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传真：021-31358600</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联系人：陈颖华</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经办律师：黎明、陈颖华</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四、会计师事务所</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名称：普华永道中天会计师事务所（特殊普通合伙）</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住所：上海市浦东新区陆家嘴环路1318号星展银行大厦6楼</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执行事务合伙人：李丹</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办公室地址：上海市湖滨路202号领展企业广场2座普华永道中心11楼</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联系电话：（021）23238888</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传真：（021）23238800</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联系人：潘晓怡</w:t>
      </w:r>
    </w:p>
    <w:p w:rsidR="00CC2FD8" w:rsidRDefault="00CC2FD8">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经办会计师：单峰、潘晓怡</w:t>
      </w:r>
    </w:p>
    <w:p w:rsidR="00CC2FD8" w:rsidRDefault="00CC2FD8">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四、基金的名称</w:t>
      </w:r>
    </w:p>
    <w:p w:rsidR="00CC2FD8" w:rsidRPr="001C45E9" w:rsidRDefault="00CC2FD8" w:rsidP="001C45E9">
      <w:pPr>
        <w:spacing w:line="360" w:lineRule="auto"/>
        <w:ind w:firstLine="420"/>
        <w:rPr>
          <w:rFonts w:ascii="宋体" w:hAnsi="宋体" w:cs="宋体"/>
          <w:sz w:val="21"/>
          <w:szCs w:val="21"/>
          <w:lang w:val="en-US" w:eastAsia="zh-CN" w:bidi="ar-SA"/>
        </w:rPr>
      </w:pPr>
      <w:r w:rsidRPr="001C45E9">
        <w:rPr>
          <w:rFonts w:ascii="宋体" w:hAnsi="宋体" w:cs="宋体"/>
          <w:sz w:val="21"/>
          <w:szCs w:val="21"/>
          <w:lang w:val="en-US" w:eastAsia="zh-CN" w:bidi="ar-SA"/>
        </w:rPr>
        <w:t>本基金名称：鹏华中短债3个月定期开放债券型证券投资基金</w:t>
      </w:r>
    </w:p>
    <w:p w:rsidR="00CC2FD8" w:rsidRDefault="00CC2FD8">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五、基金运作方式及类型</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契约型开放式，债券型基金</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本基金以定期开放方式运作，即采用封闭运作和开放运作交替循环的方式。本基金自基金合同生效之日（含）起或自每一开放期结束之日次日（含）起至</w:t>
      </w:r>
      <w:r>
        <w:rPr>
          <w:sz w:val="21"/>
          <w:szCs w:val="21"/>
          <w:lang w:val="en-US" w:eastAsia="zh-CN" w:bidi="ar-SA"/>
        </w:rPr>
        <w:t>3</w:t>
      </w:r>
      <w:r>
        <w:rPr>
          <w:rFonts w:ascii="宋体" w:hAnsi="宋体" w:cs="宋体"/>
          <w:sz w:val="21"/>
          <w:szCs w:val="21"/>
          <w:lang w:val="en-US" w:eastAsia="zh-CN" w:bidi="ar-SA"/>
        </w:rPr>
        <w:t>个月后的对应日的前一日止的期间封闭运作，不办理申购与赎回业务，也不上市交易。如该对应日不存在对应日期或为非工作日，则顺延至下一工作日。</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自封闭期结束之后第一个工作日（含）起进入开放期，每个开放期原则上不少于一个工作日、不超过二十个工作日，开放期的具体时间以基金管理人届时公告为准。如发生不可抗力或其他情形致使基金无法按时开放或需依据基金合同暂停申购与赎回业务的，基金管理人有权合理调整申购或赎回业务的办理期间并予以公告。</w:t>
      </w:r>
    </w:p>
    <w:p w:rsidR="00CC2FD8" w:rsidRDefault="00CC2FD8">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六、基金的投资目标</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本基金主要通过重点投资中短期债券，在严格控制风险和保持较高流动性的基础上，力求获得超越业绩比较基准的投资回报。</w:t>
      </w:r>
    </w:p>
    <w:p w:rsidR="00CC2FD8" w:rsidRDefault="00CC2FD8">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七、基金的投资方向</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的投资范围主要为具有良好流动性的金融工具，包括国债、金融债、企业债、公司债、央行票据、地方政府债、中期票据、短期融资券、超短期融资券、次级债、资产支持证券、债券回购、同业存单、银行存款、国债期货等法律法规或中国证监会允许基金投资的其他金融工具（但须符合中国证监会的相关规定）。本基金不投资于股票、权证等权益类资产，也不投资于可转换债券、可交换债券。</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如法律法规或监管机构以后允许基金投资其他品种，基金管理人在履行适当程序后，可以将其纳入投资范围。</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基金的投资组合比例为：本基金对债券的投资比例不低于基金资产的</w:t>
      </w:r>
      <w:r>
        <w:rPr>
          <w:sz w:val="21"/>
          <w:szCs w:val="21"/>
          <w:lang w:val="en-US" w:eastAsia="zh-CN" w:bidi="ar-SA"/>
        </w:rPr>
        <w:t>80%</w:t>
      </w:r>
      <w:r>
        <w:rPr>
          <w:rFonts w:ascii="宋体" w:hAnsi="宋体" w:cs="宋体"/>
          <w:sz w:val="21"/>
          <w:szCs w:val="21"/>
          <w:lang w:val="en-US" w:eastAsia="zh-CN" w:bidi="ar-SA"/>
        </w:rPr>
        <w:t>，其中投资于中短期债券的比例不低于非现金基金资产的</w:t>
      </w:r>
      <w:r>
        <w:rPr>
          <w:sz w:val="21"/>
          <w:szCs w:val="21"/>
          <w:lang w:val="en-US" w:eastAsia="zh-CN" w:bidi="ar-SA"/>
        </w:rPr>
        <w:t>80%</w:t>
      </w:r>
      <w:r>
        <w:rPr>
          <w:rFonts w:ascii="宋体" w:hAnsi="宋体" w:cs="宋体"/>
          <w:sz w:val="21"/>
          <w:szCs w:val="21"/>
          <w:lang w:val="en-US" w:eastAsia="zh-CN" w:bidi="ar-SA"/>
        </w:rPr>
        <w:t>；但在开放期开始前</w:t>
      </w:r>
      <w:r>
        <w:rPr>
          <w:sz w:val="21"/>
          <w:szCs w:val="21"/>
          <w:lang w:val="en-US" w:eastAsia="zh-CN" w:bidi="ar-SA"/>
        </w:rPr>
        <w:t>10</w:t>
      </w:r>
      <w:r>
        <w:rPr>
          <w:rFonts w:ascii="宋体" w:hAnsi="宋体" w:cs="宋体"/>
          <w:sz w:val="21"/>
          <w:szCs w:val="21"/>
          <w:lang w:val="en-US" w:eastAsia="zh-CN" w:bidi="ar-SA"/>
        </w:rPr>
        <w:t>个工作日、开放期以及开放期结束后的</w:t>
      </w:r>
      <w:r>
        <w:rPr>
          <w:sz w:val="21"/>
          <w:szCs w:val="21"/>
          <w:lang w:val="en-US" w:eastAsia="zh-CN" w:bidi="ar-SA"/>
        </w:rPr>
        <w:t>10</w:t>
      </w:r>
      <w:r>
        <w:rPr>
          <w:rFonts w:ascii="宋体" w:hAnsi="宋体" w:cs="宋体"/>
          <w:sz w:val="21"/>
          <w:szCs w:val="21"/>
          <w:lang w:val="en-US" w:eastAsia="zh-CN" w:bidi="ar-SA"/>
        </w:rPr>
        <w:t>个工作日内，本基金债券资产的投资比例不受上述比例限制。本基金所指的中短期债券是指剩余期限不超过三年的债券资产，主要包括国债、金融债、企业债、公司债、央行票据、地方政府债、中期票据、短期融资券、超短期融资券、次级债等金融工具。</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开放期内每个交易日日终，在扣除国债期货合约需缴纳的交易保证金后，本基金保留的现金或到期日在一年以内的政府债券的投资比例不低于基金资产净值的5%；在封闭期内本基金不受上述5%的限制，但封闭期内每个交易日日终，在扣除国债期货合约需缴纳的交易保证金后，应当保持不低于交易保证金一倍的现金。前述现金不包括结算备付金、存出保证金、应收申购款等。</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如法律法规或中国证监会变更投资品种的投资比例限制，基金管理人在履行适当程序后，可以调整上述投资品种的投资比例。</w:t>
      </w:r>
    </w:p>
    <w:p w:rsidR="00CC2FD8" w:rsidRDefault="00CC2FD8">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八、基金的投资策略</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1</w:t>
      </w:r>
      <w:r>
        <w:rPr>
          <w:rFonts w:ascii="宋体" w:hAnsi="宋体" w:cs="宋体"/>
          <w:sz w:val="21"/>
          <w:szCs w:val="21"/>
          <w:lang w:val="en-US" w:eastAsia="zh-CN" w:bidi="ar-SA"/>
        </w:rPr>
        <w:t>、资产配置策略</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本基金将通过跟踪考量通常的宏观经济变量（包括</w:t>
      </w:r>
      <w:r>
        <w:rPr>
          <w:sz w:val="21"/>
          <w:szCs w:val="21"/>
          <w:lang w:val="en-US" w:eastAsia="zh-CN" w:bidi="ar-SA"/>
        </w:rPr>
        <w:t>GDP</w:t>
      </w:r>
      <w:r>
        <w:rPr>
          <w:rFonts w:ascii="宋体" w:hAnsi="宋体" w:cs="宋体"/>
          <w:sz w:val="21"/>
          <w:szCs w:val="21"/>
          <w:lang w:val="en-US" w:eastAsia="zh-CN" w:bidi="ar-SA"/>
        </w:rPr>
        <w:t>增长率、</w:t>
      </w:r>
      <w:r>
        <w:rPr>
          <w:sz w:val="21"/>
          <w:szCs w:val="21"/>
          <w:lang w:val="en-US" w:eastAsia="zh-CN" w:bidi="ar-SA"/>
        </w:rPr>
        <w:t>CPI</w:t>
      </w:r>
      <w:r>
        <w:rPr>
          <w:rFonts w:ascii="宋体" w:hAnsi="宋体" w:cs="宋体"/>
          <w:sz w:val="21"/>
          <w:szCs w:val="21"/>
          <w:lang w:val="en-US" w:eastAsia="zh-CN" w:bidi="ar-SA"/>
        </w:rPr>
        <w:t>走势、</w:t>
      </w:r>
      <w:r>
        <w:rPr>
          <w:sz w:val="21"/>
          <w:szCs w:val="21"/>
          <w:lang w:val="en-US" w:eastAsia="zh-CN" w:bidi="ar-SA"/>
        </w:rPr>
        <w:t>M2</w:t>
      </w:r>
      <w:r>
        <w:rPr>
          <w:rFonts w:ascii="宋体" w:hAnsi="宋体" w:cs="宋体"/>
          <w:sz w:val="21"/>
          <w:szCs w:val="21"/>
          <w:lang w:val="en-US" w:eastAsia="zh-CN" w:bidi="ar-SA"/>
        </w:rPr>
        <w:t xml:space="preserve">的绝对水平和增长率、利率水平与走势等）以及各项国家政策（包括财政、货币、税收、汇率政策等）来判断经济周期目前的位置以及未来将发展的方向，在此基础上对各大类资产的风险和预期收益率进行分析评估，制定债券、现金等大类资产之间的配置比例、调整原则和调整范围。 </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2</w:t>
      </w:r>
      <w:r>
        <w:rPr>
          <w:rFonts w:ascii="宋体" w:hAnsi="宋体" w:cs="宋体"/>
          <w:sz w:val="21"/>
          <w:szCs w:val="21"/>
          <w:lang w:val="en-US" w:eastAsia="zh-CN" w:bidi="ar-SA"/>
        </w:rPr>
        <w:t>、债券投资策略</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本基金以中短期债券为主要投资标的。本基金债券投资将采取久期策略、收益率曲线策略、骑乘策略、息差策略、个券选择策略、信用策略等积极投资策略。</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w:t>
      </w:r>
      <w:r>
        <w:rPr>
          <w:sz w:val="21"/>
          <w:szCs w:val="21"/>
          <w:lang w:val="en-US" w:eastAsia="zh-CN" w:bidi="ar-SA"/>
        </w:rPr>
        <w:t>1</w:t>
      </w:r>
      <w:r>
        <w:rPr>
          <w:rFonts w:ascii="宋体" w:hAnsi="宋体" w:cs="宋体"/>
          <w:sz w:val="21"/>
          <w:szCs w:val="21"/>
          <w:lang w:val="en-US" w:eastAsia="zh-CN" w:bidi="ar-SA"/>
        </w:rPr>
        <w:t>）久期策略</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久期管理是债券投资的重要考量因素，本基金将采用以“目标久期”为中心、自上而下的组合久期管理策略。如果预期利率下降，本基金将增加组合的久期，直至接近目标久期上限，以较多地获得债券价格上升带来的收益；反之，如果预期利率上升，本基金将缩短组合的久期，直至目标久期下限，以减小债券价格下降带来的风险 。</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w:t>
      </w:r>
      <w:r>
        <w:rPr>
          <w:sz w:val="21"/>
          <w:szCs w:val="21"/>
          <w:lang w:val="en-US" w:eastAsia="zh-CN" w:bidi="ar-SA"/>
        </w:rPr>
        <w:t>2</w:t>
      </w:r>
      <w:r>
        <w:rPr>
          <w:rFonts w:ascii="宋体" w:hAnsi="宋体" w:cs="宋体"/>
          <w:sz w:val="21"/>
          <w:szCs w:val="21"/>
          <w:lang w:val="en-US" w:eastAsia="zh-CN" w:bidi="ar-SA"/>
        </w:rPr>
        <w:t>）收益率曲线策略</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收益率曲线的形状变化是判断市场整体走向的一个重要依据，本基金将据此调整组合长、中、短期债券的搭配，即通过对收益率曲线形状变化的预测</w:t>
      </w:r>
      <w:r>
        <w:rPr>
          <w:sz w:val="21"/>
          <w:szCs w:val="21"/>
          <w:lang w:val="en-US" w:eastAsia="zh-CN" w:bidi="ar-SA"/>
        </w:rPr>
        <w:t xml:space="preserve">, </w:t>
      </w:r>
      <w:r>
        <w:rPr>
          <w:rFonts w:ascii="宋体" w:hAnsi="宋体" w:cs="宋体"/>
          <w:sz w:val="21"/>
          <w:szCs w:val="21"/>
          <w:lang w:val="en-US" w:eastAsia="zh-CN" w:bidi="ar-SA"/>
        </w:rPr>
        <w:t>适时采用子弹式、杠铃或梯形策略构造组合，并进行动态调整。</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w:t>
      </w:r>
      <w:r>
        <w:rPr>
          <w:sz w:val="21"/>
          <w:szCs w:val="21"/>
          <w:lang w:val="en-US" w:eastAsia="zh-CN" w:bidi="ar-SA"/>
        </w:rPr>
        <w:t>3</w:t>
      </w:r>
      <w:r>
        <w:rPr>
          <w:rFonts w:ascii="宋体" w:hAnsi="宋体" w:cs="宋体"/>
          <w:sz w:val="21"/>
          <w:szCs w:val="21"/>
          <w:lang w:val="en-US" w:eastAsia="zh-CN" w:bidi="ar-SA"/>
        </w:rPr>
        <w:t>）骑乘策略</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将采用基于收益率曲线分析对债券组合进行适时调整的骑乘策略，以达到增强组合的持有期收益的目的。该策略是指通过对收益率曲线的分析，在可选的目标久期区间买入期限位于收益率曲线较陡峭处右侧的债券。在收益率曲线不变动的情况下，随着其剩余期限的衰减，债券收益率将沿着陡峭的收益率曲线有较大幅的下滑，从而获得较高的资本收益；即使收益率曲线上升或进一步变陡，这一策略也能够提供更多的安全边际。</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w:t>
      </w:r>
      <w:r>
        <w:rPr>
          <w:sz w:val="21"/>
          <w:szCs w:val="21"/>
          <w:lang w:val="en-US" w:eastAsia="zh-CN" w:bidi="ar-SA"/>
        </w:rPr>
        <w:t>4</w:t>
      </w:r>
      <w:r>
        <w:rPr>
          <w:rFonts w:ascii="宋体" w:hAnsi="宋体" w:cs="宋体"/>
          <w:sz w:val="21"/>
          <w:szCs w:val="21"/>
          <w:lang w:val="en-US" w:eastAsia="zh-CN" w:bidi="ar-SA"/>
        </w:rPr>
        <w:t>）息差策略</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本基金将采用息差策略，以达到更好地利用杠杆放大债券投资的收益的目的。该策略是指在回购利率低于债券收益率的情形下，通过正回购将所获得的资金投资于债券，利用杠杆放大债券投资的收益。</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w:t>
      </w:r>
      <w:r>
        <w:rPr>
          <w:sz w:val="21"/>
          <w:szCs w:val="21"/>
          <w:lang w:val="en-US" w:eastAsia="zh-CN" w:bidi="ar-SA"/>
        </w:rPr>
        <w:t>5</w:t>
      </w:r>
      <w:r>
        <w:rPr>
          <w:rFonts w:ascii="宋体" w:hAnsi="宋体" w:cs="宋体"/>
          <w:sz w:val="21"/>
          <w:szCs w:val="21"/>
          <w:lang w:val="en-US" w:eastAsia="zh-CN" w:bidi="ar-SA"/>
        </w:rPr>
        <w:t>）个券选择策略</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本基金将根据单个债券到期收益率相对于市场收益率曲线的偏离程度，结合信用等级、流动性、选择权条款、税赋特点等因素</w:t>
      </w:r>
      <w:r>
        <w:rPr>
          <w:sz w:val="21"/>
          <w:szCs w:val="21"/>
          <w:lang w:val="en-US" w:eastAsia="zh-CN" w:bidi="ar-SA"/>
        </w:rPr>
        <w:t>,</w:t>
      </w:r>
      <w:r>
        <w:rPr>
          <w:rFonts w:ascii="宋体" w:hAnsi="宋体" w:cs="宋体"/>
          <w:sz w:val="21"/>
          <w:szCs w:val="21"/>
          <w:lang w:val="en-US" w:eastAsia="zh-CN" w:bidi="ar-SA"/>
        </w:rPr>
        <w:t>确定其投资价值</w:t>
      </w:r>
      <w:r>
        <w:rPr>
          <w:sz w:val="21"/>
          <w:szCs w:val="21"/>
          <w:lang w:val="en-US" w:eastAsia="zh-CN" w:bidi="ar-SA"/>
        </w:rPr>
        <w:t>,</w:t>
      </w:r>
      <w:r>
        <w:rPr>
          <w:rFonts w:ascii="宋体" w:hAnsi="宋体" w:cs="宋体"/>
          <w:sz w:val="21"/>
          <w:szCs w:val="21"/>
          <w:lang w:val="en-US" w:eastAsia="zh-CN" w:bidi="ar-SA"/>
        </w:rPr>
        <w:t>选择定价合理或价值被低估的债券进行投资。</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w:t>
      </w:r>
      <w:r>
        <w:rPr>
          <w:sz w:val="21"/>
          <w:szCs w:val="21"/>
          <w:lang w:val="en-US" w:eastAsia="zh-CN" w:bidi="ar-SA"/>
        </w:rPr>
        <w:t>6</w:t>
      </w:r>
      <w:r>
        <w:rPr>
          <w:rFonts w:ascii="宋体" w:hAnsi="宋体" w:cs="宋体"/>
          <w:sz w:val="21"/>
          <w:szCs w:val="21"/>
          <w:lang w:val="en-US" w:eastAsia="zh-CN" w:bidi="ar-SA"/>
        </w:rPr>
        <w:t>）信用策略</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本基金通过主动承担适度的信用风险来获取信用溢价。本基金主要关注信用债收益率受信用利差曲线变动趋势和信用变化两方面影响，相应地采用以下两种投资策略： </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1</w:t>
      </w:r>
      <w:r>
        <w:rPr>
          <w:rFonts w:ascii="宋体" w:hAnsi="宋体" w:cs="宋体"/>
          <w:sz w:val="21"/>
          <w:szCs w:val="21"/>
          <w:lang w:val="en-US" w:eastAsia="zh-CN" w:bidi="ar-SA"/>
        </w:rPr>
        <w:t>）信用利差曲线变化策略：首先分析经济周期和相关市场变化情况，其次分析标的债券市场容量、结构、流动性等变化趋势，最后综合分析信用利差曲线整体及分行业走势，确定本基金信用债分行业投资比例。</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2</w:t>
      </w:r>
      <w:r>
        <w:rPr>
          <w:rFonts w:ascii="宋体" w:hAnsi="宋体" w:cs="宋体"/>
          <w:sz w:val="21"/>
          <w:szCs w:val="21"/>
          <w:lang w:val="en-US" w:eastAsia="zh-CN" w:bidi="ar-SA"/>
        </w:rPr>
        <w:t>）信用变化策略：信用债信用等级发生变化后，本基金将采用最新信用级别所对应的信用利差曲线对债券进行重新定价。</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本基金将根据内、外部信用评级结果，结合对类似债券信用利差的分析以及对未来信用利差走势的判断，选择信用利差被高估、未来信用利差可能下降的信用债进行投资。</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3</w:t>
      </w:r>
      <w:r>
        <w:rPr>
          <w:rFonts w:ascii="宋体" w:hAnsi="宋体" w:cs="宋体"/>
          <w:sz w:val="21"/>
          <w:szCs w:val="21"/>
          <w:lang w:val="en-US" w:eastAsia="zh-CN" w:bidi="ar-SA"/>
        </w:rPr>
        <w:t>、资产支持证券投资策略</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4</w:t>
      </w:r>
      <w:r>
        <w:rPr>
          <w:rFonts w:ascii="宋体" w:hAnsi="宋体" w:cs="宋体"/>
          <w:sz w:val="21"/>
          <w:szCs w:val="21"/>
          <w:lang w:val="en-US" w:eastAsia="zh-CN" w:bidi="ar-SA"/>
        </w:rPr>
        <w:t>、国债期货投资策略</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根据风险管理的原则，在风险可控的前提下，以套期保值为目的，投资国债期货。本基金将充分考虑国债期货的流动性和风险收益特征，结合对宏观经济形势和政策趋势的判断、对债券市场进行定性和定量分析，对国债期货和现货的基差、国债期货的流动性、波动水平等指标进行跟踪监控，在最大限度保证基金资产安全的基础上，力求实现委托财产的长期稳定增值。</w:t>
      </w:r>
    </w:p>
    <w:p w:rsidR="00CC2FD8" w:rsidRDefault="00CC2FD8">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九、基金的业绩比较基准</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中债综合财富</w:t>
      </w:r>
      <w:r>
        <w:rPr>
          <w:sz w:val="21"/>
          <w:szCs w:val="21"/>
          <w:lang w:val="en-US" w:eastAsia="zh-CN" w:bidi="ar-SA"/>
        </w:rPr>
        <w:t>(1-3</w:t>
      </w:r>
      <w:r>
        <w:rPr>
          <w:rFonts w:ascii="宋体" w:hAnsi="宋体" w:cs="宋体"/>
          <w:sz w:val="21"/>
          <w:szCs w:val="21"/>
          <w:lang w:val="en-US" w:eastAsia="zh-CN" w:bidi="ar-SA"/>
        </w:rPr>
        <w:t>年</w:t>
      </w:r>
      <w:r>
        <w:rPr>
          <w:sz w:val="21"/>
          <w:szCs w:val="21"/>
          <w:lang w:val="en-US" w:eastAsia="zh-CN" w:bidi="ar-SA"/>
        </w:rPr>
        <w:t>)</w:t>
      </w:r>
      <w:r>
        <w:rPr>
          <w:rFonts w:ascii="宋体" w:hAnsi="宋体" w:cs="宋体"/>
          <w:sz w:val="21"/>
          <w:szCs w:val="21"/>
          <w:lang w:val="en-US" w:eastAsia="zh-CN" w:bidi="ar-SA"/>
        </w:rPr>
        <w:t>指数收益率</w:t>
      </w:r>
      <w:r>
        <w:rPr>
          <w:sz w:val="21"/>
          <w:szCs w:val="21"/>
          <w:lang w:val="en-US" w:eastAsia="zh-CN" w:bidi="ar-SA"/>
        </w:rPr>
        <w:t>*20%+</w:t>
      </w:r>
      <w:r>
        <w:rPr>
          <w:rFonts w:ascii="宋体" w:hAnsi="宋体" w:cs="宋体"/>
          <w:sz w:val="21"/>
          <w:szCs w:val="21"/>
          <w:lang w:val="en-US" w:eastAsia="zh-CN" w:bidi="ar-SA"/>
        </w:rPr>
        <w:t>中债综合财富</w:t>
      </w:r>
      <w:r>
        <w:rPr>
          <w:sz w:val="21"/>
          <w:szCs w:val="21"/>
          <w:lang w:val="en-US" w:eastAsia="zh-CN" w:bidi="ar-SA"/>
        </w:rPr>
        <w:t>(1</w:t>
      </w:r>
      <w:r>
        <w:rPr>
          <w:rFonts w:ascii="宋体" w:hAnsi="宋体" w:cs="宋体"/>
          <w:sz w:val="21"/>
          <w:szCs w:val="21"/>
          <w:lang w:val="en-US" w:eastAsia="zh-CN" w:bidi="ar-SA"/>
        </w:rPr>
        <w:t>年以下</w:t>
      </w:r>
      <w:r>
        <w:rPr>
          <w:sz w:val="21"/>
          <w:szCs w:val="21"/>
          <w:lang w:val="en-US" w:eastAsia="zh-CN" w:bidi="ar-SA"/>
        </w:rPr>
        <w:t>)</w:t>
      </w:r>
      <w:r>
        <w:rPr>
          <w:rFonts w:ascii="宋体" w:hAnsi="宋体" w:cs="宋体"/>
          <w:sz w:val="21"/>
          <w:szCs w:val="21"/>
          <w:lang w:val="en-US" w:eastAsia="zh-CN" w:bidi="ar-SA"/>
        </w:rPr>
        <w:t>指数收益率</w:t>
      </w:r>
      <w:r>
        <w:rPr>
          <w:sz w:val="21"/>
          <w:szCs w:val="21"/>
          <w:lang w:val="en-US" w:eastAsia="zh-CN" w:bidi="ar-SA"/>
        </w:rPr>
        <w:t>*60%+</w:t>
      </w:r>
      <w:r>
        <w:rPr>
          <w:rFonts w:ascii="宋体" w:hAnsi="宋体" w:cs="宋体"/>
          <w:sz w:val="21"/>
          <w:szCs w:val="21"/>
          <w:lang w:val="en-US" w:eastAsia="zh-CN" w:bidi="ar-SA"/>
        </w:rPr>
        <w:t>一年期定期存款利率</w:t>
      </w:r>
      <w:r>
        <w:rPr>
          <w:sz w:val="21"/>
          <w:szCs w:val="21"/>
          <w:lang w:val="en-US" w:eastAsia="zh-CN" w:bidi="ar-SA"/>
        </w:rPr>
        <w:t>(</w:t>
      </w:r>
      <w:r>
        <w:rPr>
          <w:rFonts w:ascii="宋体" w:hAnsi="宋体" w:cs="宋体"/>
          <w:sz w:val="21"/>
          <w:szCs w:val="21"/>
          <w:lang w:val="en-US" w:eastAsia="zh-CN" w:bidi="ar-SA"/>
        </w:rPr>
        <w:t>税后</w:t>
      </w:r>
      <w:r>
        <w:rPr>
          <w:sz w:val="21"/>
          <w:szCs w:val="21"/>
          <w:lang w:val="en-US" w:eastAsia="zh-CN" w:bidi="ar-SA"/>
        </w:rPr>
        <w:t>)*20%</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中债综合财富</w:t>
      </w:r>
      <w:r>
        <w:rPr>
          <w:sz w:val="21"/>
          <w:szCs w:val="21"/>
          <w:lang w:val="en-US" w:eastAsia="zh-CN" w:bidi="ar-SA"/>
        </w:rPr>
        <w:t>(1-3</w:t>
      </w:r>
      <w:r>
        <w:rPr>
          <w:rFonts w:ascii="宋体" w:hAnsi="宋体" w:cs="宋体"/>
          <w:sz w:val="21"/>
          <w:szCs w:val="21"/>
          <w:lang w:val="en-US" w:eastAsia="zh-CN" w:bidi="ar-SA"/>
        </w:rPr>
        <w:t>年</w:t>
      </w:r>
      <w:r>
        <w:rPr>
          <w:sz w:val="21"/>
          <w:szCs w:val="21"/>
          <w:lang w:val="en-US" w:eastAsia="zh-CN" w:bidi="ar-SA"/>
        </w:rPr>
        <w:t>)</w:t>
      </w:r>
      <w:r>
        <w:rPr>
          <w:rFonts w:ascii="宋体" w:hAnsi="宋体" w:cs="宋体"/>
          <w:sz w:val="21"/>
          <w:szCs w:val="21"/>
          <w:lang w:val="en-US" w:eastAsia="zh-CN" w:bidi="ar-SA"/>
        </w:rPr>
        <w:t>指数是由中央国债登记结算有限责任公司编制的中债综合财富细分指数之一。该指数成分券包含除资产支持证券、美元债券、可转债以外剩余的所有公开发行且上市流通的待偿期限在</w:t>
      </w:r>
      <w:r>
        <w:rPr>
          <w:sz w:val="21"/>
          <w:szCs w:val="21"/>
          <w:lang w:val="en-US" w:eastAsia="zh-CN" w:bidi="ar-SA"/>
        </w:rPr>
        <w:t>1-3</w:t>
      </w:r>
      <w:r>
        <w:rPr>
          <w:rFonts w:ascii="宋体" w:hAnsi="宋体" w:cs="宋体"/>
          <w:sz w:val="21"/>
          <w:szCs w:val="21"/>
          <w:lang w:val="en-US" w:eastAsia="zh-CN" w:bidi="ar-SA"/>
        </w:rPr>
        <w:t>年（含</w:t>
      </w:r>
      <w:r>
        <w:rPr>
          <w:sz w:val="21"/>
          <w:szCs w:val="21"/>
          <w:lang w:val="en-US" w:eastAsia="zh-CN" w:bidi="ar-SA"/>
        </w:rPr>
        <w:t>1</w:t>
      </w:r>
      <w:r>
        <w:rPr>
          <w:rFonts w:ascii="宋体" w:hAnsi="宋体" w:cs="宋体"/>
          <w:sz w:val="21"/>
          <w:szCs w:val="21"/>
          <w:lang w:val="en-US" w:eastAsia="zh-CN" w:bidi="ar-SA"/>
        </w:rPr>
        <w:t>年）的债券，是一个反映境内人民币债券市场价格走势情况的宽基指数，能较好的反映本基金的投资策略</w:t>
      </w:r>
      <w:r>
        <w:rPr>
          <w:sz w:val="21"/>
          <w:szCs w:val="21"/>
          <w:lang w:val="en-US" w:eastAsia="zh-CN" w:bidi="ar-SA"/>
        </w:rPr>
        <w:t xml:space="preserve">, </w:t>
      </w:r>
      <w:r>
        <w:rPr>
          <w:rFonts w:ascii="宋体" w:hAnsi="宋体" w:cs="宋体"/>
          <w:sz w:val="21"/>
          <w:szCs w:val="21"/>
          <w:lang w:val="en-US" w:eastAsia="zh-CN" w:bidi="ar-SA"/>
        </w:rPr>
        <w:t>较为科学、合理的评价本基金的业绩表现。</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中债综合财富</w:t>
      </w:r>
      <w:r>
        <w:rPr>
          <w:sz w:val="21"/>
          <w:szCs w:val="21"/>
          <w:lang w:val="en-US" w:eastAsia="zh-CN" w:bidi="ar-SA"/>
        </w:rPr>
        <w:t>(1</w:t>
      </w:r>
      <w:r>
        <w:rPr>
          <w:rFonts w:ascii="宋体" w:hAnsi="宋体" w:cs="宋体"/>
          <w:sz w:val="21"/>
          <w:szCs w:val="21"/>
          <w:lang w:val="en-US" w:eastAsia="zh-CN" w:bidi="ar-SA"/>
        </w:rPr>
        <w:t>年以下</w:t>
      </w:r>
      <w:r>
        <w:rPr>
          <w:sz w:val="21"/>
          <w:szCs w:val="21"/>
          <w:lang w:val="en-US" w:eastAsia="zh-CN" w:bidi="ar-SA"/>
        </w:rPr>
        <w:t>)</w:t>
      </w:r>
      <w:r>
        <w:rPr>
          <w:rFonts w:ascii="宋体" w:hAnsi="宋体" w:cs="宋体"/>
          <w:sz w:val="21"/>
          <w:szCs w:val="21"/>
          <w:lang w:val="en-US" w:eastAsia="zh-CN" w:bidi="ar-SA"/>
        </w:rPr>
        <w:t>指数是由中央国债登记结算有限责任公司编制的中债综合财富细分指数之一。该指数成分券包含除资产支持证券、美元债券、可转债以外剩余的所有公开发行且上市流通的待偿期限</w:t>
      </w:r>
      <w:r>
        <w:rPr>
          <w:sz w:val="21"/>
          <w:szCs w:val="21"/>
          <w:lang w:val="en-US" w:eastAsia="zh-CN" w:bidi="ar-SA"/>
        </w:rPr>
        <w:t>1</w:t>
      </w:r>
      <w:r>
        <w:rPr>
          <w:rFonts w:ascii="宋体" w:hAnsi="宋体" w:cs="宋体"/>
          <w:sz w:val="21"/>
          <w:szCs w:val="21"/>
          <w:lang w:val="en-US" w:eastAsia="zh-CN" w:bidi="ar-SA"/>
        </w:rPr>
        <w:t>年以下的债券，是一个反映境内人民币债券市场价格走势情况的宽基指数，能较好的反映本基金的投资策略</w:t>
      </w:r>
      <w:r>
        <w:rPr>
          <w:sz w:val="21"/>
          <w:szCs w:val="21"/>
          <w:lang w:val="en-US" w:eastAsia="zh-CN" w:bidi="ar-SA"/>
        </w:rPr>
        <w:t xml:space="preserve">, </w:t>
      </w:r>
      <w:r>
        <w:rPr>
          <w:rFonts w:ascii="宋体" w:hAnsi="宋体" w:cs="宋体"/>
          <w:sz w:val="21"/>
          <w:szCs w:val="21"/>
          <w:lang w:val="en-US" w:eastAsia="zh-CN" w:bidi="ar-SA"/>
        </w:rPr>
        <w:t>较为科学、合理的评价本基金的业绩表现。</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如果今后法律法规发生变化，或者有更适当的、更能为市场普遍接受的业绩比较基准推出，或者是市场上出现更加适合用于本基金的业绩比较基准时，本基金管理人与基金托管人协商一致后可以在报中国证监会备案以后变更业绩比较基准并及时公告，但不需要召开基金份额持有人大会。</w:t>
      </w:r>
    </w:p>
    <w:p w:rsidR="00CC2FD8" w:rsidRDefault="00CC2FD8">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十、基金的风险收益特征</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本基金属于债券型基金，其预期的收益与风险低于股票型基金、混合型基金，高于货币市场基金。</w:t>
      </w:r>
    </w:p>
    <w:p w:rsidR="00CC2FD8" w:rsidRDefault="00CC2FD8">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十一、基金的投资组合报告</w:t>
      </w:r>
    </w:p>
    <w:p w:rsidR="00CC2FD8" w:rsidRDefault="00CC2FD8">
      <w:pPr>
        <w:widowControl w:val="0"/>
        <w:spacing w:line="360" w:lineRule="auto"/>
        <w:ind w:firstLine="420"/>
        <w:jc w:val="both"/>
        <w:rPr>
          <w:rFonts w:eastAsia="Times New Roman"/>
          <w:sz w:val="21"/>
          <w:szCs w:val="21"/>
          <w:lang w:val="en-US" w:eastAsia="zh-CN" w:bidi="ar-SA"/>
        </w:rPr>
      </w:pPr>
      <w:bookmarkStart w:id="7" w:name="m101"/>
      <w:bookmarkStart w:id="8" w:name="m01_01"/>
      <w:bookmarkStart w:id="9" w:name="_Toc194311890"/>
      <w:bookmarkEnd w:id="8"/>
      <w:bookmarkEnd w:id="9"/>
      <w:r>
        <w:rPr>
          <w:rFonts w:ascii="宋体" w:hAnsi="宋体" w:cs="宋体"/>
          <w:color w:val="404040"/>
          <w:sz w:val="21"/>
          <w:szCs w:val="21"/>
          <w:lang w:val="en-US" w:eastAsia="zh-CN" w:bidi="ar-SA"/>
        </w:rPr>
        <w:t>基金管理人的董事会及董事保证本报告所载资料不存在虚假记载、误导性陈述或重大遗漏，并对其内容的真实性、准确性和完整性承担个别及连带责任。 </w:t>
      </w:r>
      <w:bookmarkEnd w:id="7"/>
    </w:p>
    <w:p w:rsidR="00CC2FD8" w:rsidRDefault="00CC2FD8">
      <w:pPr>
        <w:widowControl w:val="0"/>
        <w:spacing w:line="360" w:lineRule="auto"/>
        <w:jc w:val="both"/>
        <w:rPr>
          <w:rFonts w:eastAsia="Times New Roman"/>
          <w:sz w:val="21"/>
          <w:szCs w:val="21"/>
          <w:lang w:val="en-US" w:eastAsia="zh-CN" w:bidi="ar-SA"/>
        </w:rPr>
      </w:pPr>
      <w:r>
        <w:rPr>
          <w:rFonts w:ascii="宋体" w:hAnsi="宋体" w:cs="宋体"/>
          <w:color w:val="404040"/>
          <w:sz w:val="21"/>
          <w:szCs w:val="21"/>
          <w:lang w:val="en-US" w:eastAsia="zh-CN" w:bidi="ar-SA"/>
        </w:rPr>
        <w:t xml:space="preserve">　 基金托管人中国工商银行股份有限公司根据本基金合同规定，于2020年01月17日复核了本报告中的财务指标、净值表现和投资组合报告等内容，保证复核内容不存在虚假记载、误导性陈述或者重大遗漏。</w:t>
      </w:r>
    </w:p>
    <w:p w:rsidR="00CC2FD8" w:rsidRDefault="00CC2FD8">
      <w:pPr>
        <w:widowControl w:val="0"/>
        <w:spacing w:line="360" w:lineRule="auto"/>
        <w:jc w:val="both"/>
        <w:rPr>
          <w:rFonts w:eastAsia="Times New Roman"/>
          <w:sz w:val="21"/>
          <w:szCs w:val="21"/>
          <w:lang w:val="en-US" w:eastAsia="zh-CN" w:bidi="ar-SA"/>
        </w:rPr>
      </w:pPr>
      <w:r>
        <w:rPr>
          <w:rFonts w:ascii="宋体" w:hAnsi="宋体" w:cs="宋体"/>
          <w:color w:val="404040"/>
          <w:sz w:val="21"/>
          <w:szCs w:val="21"/>
          <w:lang w:val="en-US" w:eastAsia="zh-CN" w:bidi="ar-SA"/>
        </w:rPr>
        <w:t xml:space="preserve">　 本报告中财务资料未经审计。</w:t>
      </w:r>
    </w:p>
    <w:p w:rsidR="00CC2FD8" w:rsidRDefault="00CC2FD8">
      <w:pPr>
        <w:widowControl w:val="0"/>
        <w:spacing w:line="360" w:lineRule="auto"/>
        <w:jc w:val="both"/>
        <w:rPr>
          <w:rFonts w:eastAsia="Times New Roman"/>
          <w:lang w:val="en-US" w:eastAsia="zh-CN" w:bidi="ar-SA"/>
        </w:rPr>
      </w:pPr>
      <w:r>
        <w:rPr>
          <w:rFonts w:ascii="宋体" w:hAnsi="宋体" w:cs="宋体"/>
          <w:color w:val="404040"/>
          <w:sz w:val="21"/>
          <w:szCs w:val="21"/>
          <w:lang w:val="en-US" w:eastAsia="zh-CN" w:bidi="ar-SA"/>
        </w:rPr>
        <w:t xml:space="preserve">　 本报告期自2019年10月01日起至12月31日止。</w:t>
      </w:r>
      <w:r>
        <w:rPr>
          <w:rFonts w:ascii="宋体" w:hAnsi="宋体" w:cs="宋体"/>
          <w:color w:val="404040"/>
          <w:lang w:val="en-US" w:eastAsia="zh-CN" w:bidi="ar-SA"/>
        </w:rPr>
        <w:t xml:space="preserve"> </w:t>
      </w:r>
      <w:bookmarkStart w:id="10" w:name="m401_tab"/>
      <w:bookmarkStart w:id="11" w:name="m401"/>
      <w:bookmarkStart w:id="12" w:name="m07_04_07_09"/>
      <w:bookmarkStart w:id="13" w:name="m07_04_07_09_tab"/>
      <w:bookmarkEnd w:id="4"/>
      <w:bookmarkEnd w:id="5"/>
      <w:bookmarkEnd w:id="10"/>
      <w:bookmarkEnd w:id="11"/>
      <w:bookmarkEnd w:id="12"/>
      <w:bookmarkEnd w:id="13"/>
    </w:p>
    <w:p w:rsidR="00CC2FD8" w:rsidRDefault="00CC2FD8">
      <w:pPr>
        <w:widowControl w:val="0"/>
        <w:spacing w:line="360" w:lineRule="auto"/>
        <w:rPr>
          <w:rFonts w:eastAsia="Times New Roman"/>
          <w:sz w:val="21"/>
          <w:szCs w:val="21"/>
          <w:lang w:val="en-US" w:eastAsia="zh-CN" w:bidi="ar-SA"/>
        </w:rPr>
      </w:pPr>
      <w:bookmarkStart w:id="14" w:name="_Toc17898196"/>
      <w:bookmarkStart w:id="15" w:name="_Toc17897950"/>
      <w:bookmarkStart w:id="16" w:name="_Toc481075065"/>
      <w:bookmarkStart w:id="17" w:name="_Toc438646467"/>
      <w:bookmarkStart w:id="18" w:name="_Toc490050018"/>
      <w:bookmarkStart w:id="19" w:name="_Toc512519497"/>
      <w:bookmarkStart w:id="20" w:name="_Toc513295859"/>
      <w:bookmarkStart w:id="21" w:name="_Toc513295909"/>
      <w:bookmarkStart w:id="22" w:name="m501"/>
      <w:bookmarkEnd w:id="14"/>
      <w:bookmarkEnd w:id="15"/>
      <w:bookmarkEnd w:id="16"/>
      <w:bookmarkEnd w:id="17"/>
      <w:bookmarkEnd w:id="18"/>
      <w:bookmarkEnd w:id="19"/>
      <w:bookmarkEnd w:id="20"/>
      <w:bookmarkEnd w:id="21"/>
      <w:r>
        <w:rPr>
          <w:rFonts w:ascii="宋体" w:hAnsi="宋体" w:cs="宋体"/>
          <w:b/>
          <w:bCs/>
          <w:sz w:val="21"/>
          <w:szCs w:val="21"/>
          <w:lang w:val="en-US" w:eastAsia="zh-CN" w:bidi="ar-SA"/>
        </w:rPr>
        <w:t>1、报告期末基金资产组合情况</w:t>
      </w:r>
      <w:r>
        <w:rPr>
          <w:rFonts w:ascii="宋体" w:hAnsi="宋体" w:cs="宋体"/>
          <w:sz w:val="21"/>
          <w:szCs w:val="21"/>
          <w:lang w:val="en-US" w:eastAsia="zh-CN" w:bidi="ar-SA"/>
        </w:rPr>
        <w:t xml:space="preserve"> </w:t>
      </w:r>
      <w:bookmarkEnd w:id="22"/>
    </w:p>
    <w:tbl>
      <w:tblPr>
        <w:tblW w:w="5000" w:type="pct"/>
        <w:tblInd w:w="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606"/>
        <w:gridCol w:w="3426"/>
        <w:gridCol w:w="2316"/>
        <w:gridCol w:w="2308"/>
      </w:tblGrid>
      <w:tr w:rsidR="00CC2FD8" w:rsidRPr="00CC2FD8">
        <w:trPr>
          <w:trHeight w:val="20"/>
        </w:trPr>
        <w:tc>
          <w:tcPr>
            <w:tcW w:w="350" w:type="pct"/>
            <w:tcBorders>
              <w:bottom w:val="single" w:sz="6" w:space="0" w:color="auto"/>
              <w:right w:val="single" w:sz="6" w:space="0" w:color="auto"/>
            </w:tcBorders>
            <w:shd w:val="clear" w:color="auto" w:fill="D9D9D9"/>
            <w:tcMar>
              <w:top w:w="8" w:type="dxa"/>
              <w:left w:w="8" w:type="dxa"/>
              <w:bottom w:w="8" w:type="dxa"/>
              <w:right w:w="8" w:type="dxa"/>
            </w:tcMar>
            <w:vAlign w:val="center"/>
            <w:hideMark/>
          </w:tcPr>
          <w:p w:rsidR="00CC2FD8" w:rsidRDefault="00CC2FD8">
            <w:pPr>
              <w:widowControl w:val="0"/>
              <w:jc w:val="center"/>
              <w:rPr>
                <w:rFonts w:eastAsia="Times New Roman"/>
                <w:sz w:val="21"/>
                <w:szCs w:val="21"/>
                <w:lang w:val="en-US" w:eastAsia="zh-CN" w:bidi="ar-SA"/>
              </w:rPr>
            </w:pPr>
            <w:bookmarkStart w:id="23" w:name="m08QD_01_tab"/>
            <w:bookmarkEnd w:id="23"/>
            <w:r>
              <w:rPr>
                <w:rFonts w:ascii="宋体" w:hAnsi="宋体" w:cs="宋体"/>
                <w:sz w:val="21"/>
                <w:szCs w:val="21"/>
                <w:lang w:val="en-US" w:eastAsia="zh-CN" w:bidi="ar-SA"/>
              </w:rPr>
              <w:t xml:space="preserve">序号 </w:t>
            </w:r>
          </w:p>
        </w:tc>
        <w:tc>
          <w:tcPr>
            <w:tcW w:w="1979" w:type="pct"/>
            <w:tcBorders>
              <w:bottom w:val="single" w:sz="6" w:space="0" w:color="auto"/>
              <w:right w:val="single" w:sz="6" w:space="0" w:color="auto"/>
            </w:tcBorders>
            <w:shd w:val="clear" w:color="auto" w:fill="D9D9D9"/>
            <w:tcMar>
              <w:top w:w="8" w:type="dxa"/>
              <w:left w:w="5" w:type="dxa"/>
              <w:bottom w:w="8" w:type="dxa"/>
              <w:right w:w="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项目 </w:t>
            </w:r>
          </w:p>
        </w:tc>
        <w:tc>
          <w:tcPr>
            <w:tcW w:w="1338" w:type="pct"/>
            <w:tcBorders>
              <w:bottom w:val="single" w:sz="6" w:space="0" w:color="auto"/>
              <w:right w:val="single" w:sz="6" w:space="0" w:color="auto"/>
            </w:tcBorders>
            <w:shd w:val="clear" w:color="auto" w:fill="D9D9D9"/>
            <w:tcMar>
              <w:top w:w="8" w:type="dxa"/>
              <w:left w:w="5" w:type="dxa"/>
              <w:bottom w:w="8" w:type="dxa"/>
              <w:right w:w="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金额（元） </w:t>
            </w:r>
          </w:p>
        </w:tc>
        <w:tc>
          <w:tcPr>
            <w:tcW w:w="1333" w:type="pct"/>
            <w:tcBorders>
              <w:bottom w:val="single" w:sz="6" w:space="0" w:color="auto"/>
            </w:tcBorders>
            <w:shd w:val="clear" w:color="auto" w:fill="D9D9D9"/>
            <w:tcMar>
              <w:top w:w="8" w:type="dxa"/>
              <w:left w:w="5" w:type="dxa"/>
              <w:bottom w:w="8" w:type="dxa"/>
              <w:right w:w="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占基金总资产的比例（%） </w:t>
            </w:r>
          </w:p>
        </w:tc>
      </w:tr>
      <w:tr w:rsidR="00CC2FD8" w:rsidRPr="00CC2FD8">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1 </w:t>
            </w: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权益投资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CC2FD8" w:rsidRPr="00CC2FD8">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tcPr>
          <w:p w:rsidR="00CC2FD8" w:rsidRDefault="00CC2FD8">
            <w:pPr>
              <w:widowControl w:val="0"/>
              <w:jc w:val="center"/>
              <w:rPr>
                <w:rFonts w:eastAsia="Times New Roman"/>
                <w:sz w:val="21"/>
                <w:szCs w:val="21"/>
                <w:lang w:val="en-US" w:eastAsia="zh-CN" w:bidi="ar-SA"/>
              </w:rPr>
            </w:pP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其中：股票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CC2FD8" w:rsidRPr="00CC2FD8">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2</w:t>
            </w: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基金投资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CC2FD8" w:rsidRPr="00CC2FD8">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3 </w:t>
            </w: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固定收益投资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1,691,900,000.00</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97.23</w:t>
            </w:r>
          </w:p>
        </w:tc>
      </w:tr>
      <w:tr w:rsidR="00CC2FD8" w:rsidRPr="00CC2FD8">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tcPr>
          <w:p w:rsidR="00CC2FD8" w:rsidRDefault="00CC2FD8">
            <w:pPr>
              <w:widowControl w:val="0"/>
              <w:jc w:val="center"/>
              <w:rPr>
                <w:rFonts w:eastAsia="Times New Roman"/>
                <w:sz w:val="21"/>
                <w:szCs w:val="21"/>
                <w:lang w:val="en-US" w:eastAsia="zh-CN" w:bidi="ar-SA"/>
              </w:rPr>
            </w:pP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其中：债券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1,571,900,000.00</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90.33</w:t>
            </w:r>
          </w:p>
        </w:tc>
      </w:tr>
      <w:tr w:rsidR="00CC2FD8" w:rsidRPr="00CC2FD8">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tcPr>
          <w:p w:rsidR="00CC2FD8" w:rsidRDefault="00CC2FD8">
            <w:pPr>
              <w:widowControl w:val="0"/>
              <w:jc w:val="center"/>
              <w:rPr>
                <w:rFonts w:eastAsia="Times New Roman"/>
                <w:sz w:val="21"/>
                <w:szCs w:val="21"/>
                <w:lang w:val="en-US" w:eastAsia="zh-CN" w:bidi="ar-SA"/>
              </w:rPr>
            </w:pP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      资产支持证券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120,000,000.00</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6.90</w:t>
            </w:r>
          </w:p>
        </w:tc>
      </w:tr>
      <w:tr w:rsidR="00CC2FD8" w:rsidRPr="00CC2FD8">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4 </w:t>
            </w: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贵金属投资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CC2FD8" w:rsidRPr="00CC2FD8">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5 </w:t>
            </w: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金融衍生品投资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CC2FD8" w:rsidRPr="00CC2FD8">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6 </w:t>
            </w: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买入返售金融资产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10,000,125.00</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0.57</w:t>
            </w:r>
          </w:p>
        </w:tc>
      </w:tr>
      <w:tr w:rsidR="00CC2FD8" w:rsidRPr="00CC2FD8">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tcPr>
          <w:p w:rsidR="00CC2FD8" w:rsidRDefault="00CC2FD8">
            <w:pPr>
              <w:widowControl w:val="0"/>
              <w:jc w:val="center"/>
              <w:rPr>
                <w:rFonts w:eastAsia="Times New Roman"/>
                <w:sz w:val="21"/>
                <w:szCs w:val="21"/>
                <w:lang w:val="en-US" w:eastAsia="zh-CN" w:bidi="ar-SA"/>
              </w:rPr>
            </w:pP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其中：买断式回购的买入返售金融资产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CC2FD8" w:rsidRPr="00CC2FD8">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7 </w:t>
            </w: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银行存款和结算备付金合计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6,873,081.29</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0.39</w:t>
            </w:r>
          </w:p>
        </w:tc>
      </w:tr>
      <w:tr w:rsidR="00CC2FD8" w:rsidRPr="00CC2FD8">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8</w:t>
            </w: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其他资产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31,386,235.25</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1.80</w:t>
            </w:r>
          </w:p>
        </w:tc>
      </w:tr>
      <w:tr w:rsidR="00CC2FD8" w:rsidRPr="00CC2FD8">
        <w:trPr>
          <w:trHeight w:val="20"/>
        </w:trPr>
        <w:tc>
          <w:tcPr>
            <w:tcW w:w="350" w:type="pct"/>
            <w:tcBorders>
              <w:top w:val="single" w:sz="6" w:space="0" w:color="auto"/>
              <w:right w:val="single" w:sz="6" w:space="0" w:color="auto"/>
            </w:tcBorders>
            <w:tcMar>
              <w:top w:w="8" w:type="dxa"/>
              <w:left w:w="8" w:type="dxa"/>
              <w:bottom w:w="8" w:type="dxa"/>
              <w:right w:w="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9</w:t>
            </w:r>
          </w:p>
        </w:tc>
        <w:tc>
          <w:tcPr>
            <w:tcW w:w="1979" w:type="pct"/>
            <w:tcBorders>
              <w:top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合计 </w:t>
            </w:r>
          </w:p>
        </w:tc>
        <w:tc>
          <w:tcPr>
            <w:tcW w:w="1338" w:type="pct"/>
            <w:tcBorders>
              <w:top w:val="single" w:sz="6" w:space="0" w:color="auto"/>
              <w:right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1,740,159,441.54</w:t>
            </w:r>
          </w:p>
        </w:tc>
        <w:tc>
          <w:tcPr>
            <w:tcW w:w="1333" w:type="pct"/>
            <w:tcBorders>
              <w:top w:val="single" w:sz="6" w:space="0" w:color="auto"/>
            </w:tcBorders>
            <w:tcMar>
              <w:top w:w="8" w:type="dxa"/>
              <w:left w:w="5" w:type="dxa"/>
              <w:bottom w:w="8" w:type="dxa"/>
              <w:right w:w="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100.00</w:t>
            </w:r>
          </w:p>
        </w:tc>
      </w:tr>
    </w:tbl>
    <w:p w:rsidR="00CC2FD8" w:rsidRDefault="00CC2FD8">
      <w:pPr>
        <w:widowControl w:val="0"/>
        <w:spacing w:line="360" w:lineRule="auto"/>
        <w:rPr>
          <w:rFonts w:eastAsia="Times New Roman"/>
          <w:sz w:val="21"/>
          <w:szCs w:val="21"/>
          <w:lang w:val="en-US" w:eastAsia="zh-CN" w:bidi="ar-SA"/>
        </w:rPr>
      </w:pPr>
      <w:bookmarkStart w:id="24" w:name="_Toc17898197"/>
      <w:bookmarkStart w:id="25" w:name="_Toc17897951"/>
      <w:bookmarkStart w:id="26" w:name="_Toc512519498"/>
      <w:bookmarkStart w:id="27" w:name="_Toc481075066"/>
      <w:bookmarkStart w:id="28" w:name="_Toc438646468"/>
      <w:bookmarkStart w:id="29" w:name="_Toc490050019"/>
      <w:bookmarkStart w:id="30" w:name="_Toc513295860"/>
      <w:bookmarkStart w:id="31" w:name="_Toc513295910"/>
      <w:bookmarkStart w:id="32" w:name="m502"/>
      <w:bookmarkStart w:id="33" w:name="_Toc438646470"/>
      <w:bookmarkStart w:id="34" w:name="m504"/>
      <w:bookmarkEnd w:id="24"/>
      <w:bookmarkEnd w:id="25"/>
      <w:bookmarkEnd w:id="26"/>
      <w:bookmarkEnd w:id="27"/>
      <w:bookmarkEnd w:id="28"/>
      <w:bookmarkEnd w:id="29"/>
      <w:bookmarkEnd w:id="30"/>
      <w:bookmarkEnd w:id="31"/>
      <w:bookmarkEnd w:id="32"/>
      <w:bookmarkEnd w:id="33"/>
      <w:r>
        <w:rPr>
          <w:rFonts w:ascii="宋体" w:hAnsi="宋体" w:cs="宋体"/>
          <w:b/>
          <w:bCs/>
          <w:sz w:val="21"/>
          <w:szCs w:val="21"/>
          <w:lang w:val="en-US" w:eastAsia="zh-CN" w:bidi="ar-SA"/>
        </w:rPr>
        <w:t xml:space="preserve">2、报告期末按行业分类的股票投资组合 </w:t>
      </w:r>
      <w:bookmarkEnd w:id="34"/>
    </w:p>
    <w:p w:rsidR="00CC2FD8" w:rsidRDefault="00CC2FD8">
      <w:pPr>
        <w:widowControl w:val="0"/>
        <w:spacing w:line="360" w:lineRule="auto"/>
        <w:rPr>
          <w:rFonts w:eastAsia="Times New Roman"/>
          <w:sz w:val="21"/>
          <w:szCs w:val="21"/>
          <w:lang w:val="en-US" w:eastAsia="zh-CN" w:bidi="ar-SA"/>
        </w:rPr>
      </w:pPr>
      <w:bookmarkStart w:id="35" w:name="_Toc17898198"/>
      <w:bookmarkStart w:id="36" w:name="_Toc481075067"/>
      <w:bookmarkStart w:id="37" w:name="_Toc490050020"/>
      <w:bookmarkStart w:id="38" w:name="_Toc512519499"/>
      <w:bookmarkStart w:id="39" w:name="_Toc513295911"/>
      <w:bookmarkEnd w:id="35"/>
      <w:bookmarkEnd w:id="36"/>
      <w:bookmarkEnd w:id="37"/>
      <w:bookmarkEnd w:id="38"/>
      <w:r>
        <w:rPr>
          <w:rFonts w:ascii="宋体" w:hAnsi="宋体" w:cs="宋体"/>
          <w:b/>
          <w:bCs/>
          <w:sz w:val="21"/>
          <w:szCs w:val="21"/>
          <w:lang w:val="en-US" w:eastAsia="zh-CN" w:bidi="ar-SA"/>
        </w:rPr>
        <w:t>（1）报告期末按行业分类的境内股票投资组合</w:t>
      </w:r>
      <w:bookmarkEnd w:id="39"/>
      <w:r>
        <w:rPr>
          <w:rFonts w:ascii="宋体" w:hAnsi="宋体" w:cs="宋体"/>
          <w:b/>
          <w:bCs/>
          <w:sz w:val="21"/>
          <w:szCs w:val="21"/>
          <w:lang w:val="en-US" w:eastAsia="zh-CN" w:bidi="ar-SA"/>
        </w:rPr>
        <w:t xml:space="preserve"> </w:t>
      </w:r>
    </w:p>
    <w:p w:rsidR="00CC2FD8" w:rsidRDefault="00CC2FD8">
      <w:pPr>
        <w:widowControl w:val="0"/>
        <w:spacing w:line="360" w:lineRule="auto"/>
        <w:jc w:val="both"/>
        <w:rPr>
          <w:rFonts w:eastAsia="Times New Roman"/>
          <w:sz w:val="21"/>
          <w:szCs w:val="21"/>
          <w:lang w:val="en-US" w:eastAsia="zh-CN" w:bidi="ar-SA"/>
        </w:rPr>
      </w:pPr>
      <w:r>
        <w:rPr>
          <w:rFonts w:ascii="宋体" w:hAnsi="宋体" w:cs="宋体"/>
          <w:sz w:val="21"/>
          <w:szCs w:val="21"/>
          <w:lang w:val="en-US" w:eastAsia="zh-CN" w:bidi="ar-SA"/>
        </w:rPr>
        <w:t>注:无。</w:t>
      </w:r>
    </w:p>
    <w:p w:rsidR="00CC2FD8" w:rsidRDefault="00CC2FD8">
      <w:pPr>
        <w:widowControl w:val="0"/>
        <w:spacing w:line="360" w:lineRule="auto"/>
        <w:rPr>
          <w:rFonts w:eastAsia="Times New Roman"/>
          <w:sz w:val="21"/>
          <w:szCs w:val="21"/>
          <w:lang w:val="en-US" w:eastAsia="zh-CN" w:bidi="ar-SA"/>
        </w:rPr>
      </w:pPr>
      <w:bookmarkStart w:id="40" w:name="m502_tab"/>
      <w:bookmarkStart w:id="41" w:name="_Toc17898199"/>
      <w:bookmarkStart w:id="42" w:name="_Toc481075068"/>
      <w:bookmarkStart w:id="43" w:name="_Toc490050021"/>
      <w:bookmarkStart w:id="44" w:name="_Toc512519500"/>
      <w:bookmarkStart w:id="45" w:name="_Toc513295912"/>
      <w:bookmarkEnd w:id="40"/>
      <w:bookmarkEnd w:id="41"/>
      <w:bookmarkEnd w:id="42"/>
      <w:bookmarkEnd w:id="43"/>
      <w:bookmarkEnd w:id="44"/>
      <w:r>
        <w:rPr>
          <w:rFonts w:ascii="宋体" w:hAnsi="宋体" w:cs="宋体"/>
          <w:b/>
          <w:bCs/>
          <w:sz w:val="21"/>
          <w:szCs w:val="21"/>
          <w:lang w:val="en-US" w:eastAsia="zh-CN" w:bidi="ar-SA"/>
        </w:rPr>
        <w:t>（2）报告期末按行业分类的港股通投资股票投资组合</w:t>
      </w:r>
      <w:bookmarkEnd w:id="45"/>
      <w:r>
        <w:rPr>
          <w:rFonts w:ascii="宋体" w:hAnsi="宋体" w:cs="宋体"/>
          <w:b/>
          <w:bCs/>
          <w:sz w:val="21"/>
          <w:szCs w:val="21"/>
          <w:lang w:val="en-US" w:eastAsia="zh-CN" w:bidi="ar-SA"/>
        </w:rPr>
        <w:t xml:space="preserve"> </w:t>
      </w:r>
    </w:p>
    <w:p w:rsidR="00CC2FD8" w:rsidRDefault="00CC2FD8">
      <w:pPr>
        <w:widowControl w:val="0"/>
        <w:spacing w:line="360" w:lineRule="auto"/>
        <w:jc w:val="both"/>
        <w:rPr>
          <w:rFonts w:eastAsia="Times New Roman"/>
          <w:lang w:val="en-US" w:eastAsia="zh-CN" w:bidi="ar-SA"/>
        </w:rPr>
      </w:pPr>
      <w:r>
        <w:rPr>
          <w:rFonts w:ascii="宋体" w:hAnsi="宋体" w:cs="宋体"/>
          <w:lang w:val="en-US" w:eastAsia="zh-CN" w:bidi="ar-SA"/>
        </w:rPr>
        <w:t>注:</w:t>
      </w:r>
      <w:r>
        <w:rPr>
          <w:rFonts w:ascii="宋体" w:hAnsi="宋体" w:cs="宋体"/>
          <w:sz w:val="21"/>
          <w:szCs w:val="21"/>
          <w:lang w:val="en-US" w:eastAsia="zh-CN" w:bidi="ar-SA"/>
        </w:rPr>
        <w:t>无。</w:t>
      </w:r>
    </w:p>
    <w:p w:rsidR="00CC2FD8" w:rsidRDefault="00CC2FD8">
      <w:pPr>
        <w:widowControl w:val="0"/>
        <w:spacing w:line="360" w:lineRule="auto"/>
        <w:rPr>
          <w:rFonts w:eastAsia="Times New Roman"/>
          <w:sz w:val="21"/>
          <w:szCs w:val="21"/>
          <w:lang w:val="en-US" w:eastAsia="zh-CN" w:bidi="ar-SA"/>
        </w:rPr>
      </w:pPr>
      <w:bookmarkStart w:id="46" w:name="_Toc17898200"/>
      <w:bookmarkStart w:id="47" w:name="_Toc17897952"/>
      <w:bookmarkStart w:id="48" w:name="_Toc481075069"/>
      <w:bookmarkStart w:id="49" w:name="_Toc490050022"/>
      <w:bookmarkStart w:id="50" w:name="_Toc512519501"/>
      <w:bookmarkStart w:id="51" w:name="_Toc513295861"/>
      <w:bookmarkStart w:id="52" w:name="_Toc513295913"/>
      <w:bookmarkEnd w:id="46"/>
      <w:bookmarkEnd w:id="47"/>
      <w:bookmarkEnd w:id="48"/>
      <w:bookmarkEnd w:id="49"/>
      <w:bookmarkEnd w:id="50"/>
      <w:bookmarkEnd w:id="51"/>
      <w:r>
        <w:rPr>
          <w:rFonts w:ascii="宋体" w:hAnsi="宋体" w:cs="宋体"/>
          <w:b/>
          <w:bCs/>
          <w:sz w:val="21"/>
          <w:szCs w:val="21"/>
          <w:lang w:val="en-US" w:eastAsia="zh-CN" w:bidi="ar-SA"/>
        </w:rPr>
        <w:t>3、报告期末按公允价值占基金资产净值比例大小排序的前十名股票投资明细</w:t>
      </w:r>
      <w:bookmarkEnd w:id="52"/>
      <w:r>
        <w:rPr>
          <w:rFonts w:ascii="宋体" w:hAnsi="宋体" w:cs="宋体"/>
          <w:b/>
          <w:bCs/>
          <w:sz w:val="21"/>
          <w:szCs w:val="21"/>
          <w:lang w:val="en-US" w:eastAsia="zh-CN" w:bidi="ar-SA"/>
        </w:rPr>
        <w:t xml:space="preserve"> </w:t>
      </w:r>
    </w:p>
    <w:p w:rsidR="00CC2FD8" w:rsidRDefault="00CC2FD8">
      <w:pPr>
        <w:widowControl w:val="0"/>
        <w:spacing w:line="360" w:lineRule="auto"/>
        <w:rPr>
          <w:rFonts w:eastAsia="Times New Roman"/>
          <w:sz w:val="21"/>
          <w:szCs w:val="21"/>
          <w:lang w:val="en-US" w:eastAsia="zh-CN" w:bidi="ar-SA"/>
        </w:rPr>
      </w:pPr>
      <w:r>
        <w:rPr>
          <w:rFonts w:ascii="宋体" w:hAnsi="宋体" w:cs="宋体"/>
          <w:sz w:val="21"/>
          <w:szCs w:val="21"/>
          <w:lang w:val="en-US" w:eastAsia="zh-CN" w:bidi="ar-SA"/>
        </w:rPr>
        <w:t>注:无。</w:t>
      </w:r>
    </w:p>
    <w:p w:rsidR="00CC2FD8" w:rsidRDefault="00CC2FD8">
      <w:pPr>
        <w:widowControl w:val="0"/>
        <w:spacing w:line="360" w:lineRule="auto"/>
        <w:rPr>
          <w:rFonts w:eastAsia="Times New Roman"/>
          <w:sz w:val="21"/>
          <w:szCs w:val="21"/>
          <w:lang w:val="en-US" w:eastAsia="zh-CN" w:bidi="ar-SA"/>
        </w:rPr>
      </w:pPr>
      <w:bookmarkStart w:id="53" w:name="_Toc17898201"/>
      <w:bookmarkStart w:id="54" w:name="_Toc17897953"/>
      <w:bookmarkStart w:id="55" w:name="_Toc481075070"/>
      <w:bookmarkStart w:id="56" w:name="_Toc438646471"/>
      <w:bookmarkStart w:id="57" w:name="_Toc490050023"/>
      <w:bookmarkStart w:id="58" w:name="_Toc512519502"/>
      <w:bookmarkStart w:id="59" w:name="_Toc513295862"/>
      <w:bookmarkStart w:id="60" w:name="_Toc513295914"/>
      <w:bookmarkStart w:id="61" w:name="m505"/>
      <w:bookmarkEnd w:id="53"/>
      <w:bookmarkEnd w:id="54"/>
      <w:bookmarkEnd w:id="55"/>
      <w:bookmarkEnd w:id="56"/>
      <w:bookmarkEnd w:id="57"/>
      <w:bookmarkEnd w:id="58"/>
      <w:bookmarkEnd w:id="59"/>
      <w:bookmarkEnd w:id="60"/>
      <w:r>
        <w:rPr>
          <w:rFonts w:ascii="宋体" w:hAnsi="宋体" w:cs="宋体"/>
          <w:b/>
          <w:bCs/>
          <w:sz w:val="21"/>
          <w:szCs w:val="21"/>
          <w:lang w:val="en-US" w:eastAsia="zh-CN" w:bidi="ar-SA"/>
        </w:rPr>
        <w:t xml:space="preserve">4、报告期末按债券品种分类的债券投资组合 </w:t>
      </w:r>
      <w:bookmarkEnd w:id="61"/>
    </w:p>
    <w:tbl>
      <w:tblPr>
        <w:tblW w:w="5000" w:type="pct"/>
        <w:tblInd w:w="38"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720"/>
        <w:gridCol w:w="3477"/>
        <w:gridCol w:w="2859"/>
        <w:gridCol w:w="1644"/>
      </w:tblGrid>
      <w:tr w:rsidR="00CC2FD8" w:rsidRPr="00CC2FD8">
        <w:trPr>
          <w:trHeight w:val="315"/>
        </w:trPr>
        <w:tc>
          <w:tcPr>
            <w:tcW w:w="414" w:type="pct"/>
            <w:tcBorders>
              <w:bottom w:val="single" w:sz="6" w:space="0" w:color="auto"/>
              <w:right w:val="single" w:sz="6" w:space="0" w:color="auto"/>
            </w:tcBorders>
            <w:shd w:val="clear" w:color="auto" w:fill="D9D9D9"/>
            <w:tcMar>
              <w:top w:w="8" w:type="dxa"/>
              <w:left w:w="30" w:type="dxa"/>
              <w:bottom w:w="8" w:type="dxa"/>
              <w:right w:w="30"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序号 </w:t>
            </w:r>
          </w:p>
        </w:tc>
        <w:tc>
          <w:tcPr>
            <w:tcW w:w="1748" w:type="pct"/>
            <w:tcBorders>
              <w:left w:val="single" w:sz="6" w:space="0" w:color="auto"/>
              <w:bottom w:val="single" w:sz="6" w:space="0" w:color="auto"/>
              <w:right w:val="single" w:sz="6" w:space="0" w:color="auto"/>
            </w:tcBorders>
            <w:shd w:val="clear" w:color="auto" w:fill="D9D9D9"/>
            <w:tcMar>
              <w:top w:w="8" w:type="dxa"/>
              <w:left w:w="30" w:type="dxa"/>
              <w:bottom w:w="8" w:type="dxa"/>
              <w:right w:w="30"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债券品种 </w:t>
            </w:r>
          </w:p>
        </w:tc>
        <w:tc>
          <w:tcPr>
            <w:tcW w:w="1643" w:type="pct"/>
            <w:tcBorders>
              <w:left w:val="single" w:sz="6" w:space="0" w:color="auto"/>
              <w:bottom w:val="single" w:sz="6" w:space="0" w:color="auto"/>
              <w:right w:val="single" w:sz="6" w:space="0" w:color="auto"/>
            </w:tcBorders>
            <w:shd w:val="clear" w:color="auto" w:fill="D9D9D9"/>
            <w:tcMar>
              <w:top w:w="8" w:type="dxa"/>
              <w:left w:w="30" w:type="dxa"/>
              <w:bottom w:w="8" w:type="dxa"/>
              <w:right w:w="30"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公允价值（元） </w:t>
            </w:r>
          </w:p>
        </w:tc>
        <w:tc>
          <w:tcPr>
            <w:tcW w:w="1194" w:type="pct"/>
            <w:tcBorders>
              <w:left w:val="single" w:sz="6" w:space="0" w:color="auto"/>
              <w:bottom w:val="single" w:sz="6" w:space="0" w:color="auto"/>
            </w:tcBorders>
            <w:shd w:val="clear" w:color="auto" w:fill="D9D9D9"/>
            <w:tcMar>
              <w:top w:w="8" w:type="dxa"/>
              <w:left w:w="30" w:type="dxa"/>
              <w:bottom w:w="8" w:type="dxa"/>
              <w:right w:w="30"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占基金资产净值比例（%） </w:t>
            </w:r>
          </w:p>
        </w:tc>
      </w:tr>
      <w:tr w:rsidR="00CC2FD8" w:rsidRPr="00CC2FD8">
        <w:trPr>
          <w:trHeight w:val="315"/>
        </w:trPr>
        <w:tc>
          <w:tcPr>
            <w:tcW w:w="414" w:type="pct"/>
            <w:tcBorders>
              <w:top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1 </w:t>
            </w:r>
          </w:p>
        </w:tc>
        <w:tc>
          <w:tcPr>
            <w:tcW w:w="1748"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ind w:left="105"/>
              <w:rPr>
                <w:rFonts w:eastAsia="Times New Roman"/>
                <w:sz w:val="21"/>
                <w:szCs w:val="21"/>
                <w:lang w:val="en-US" w:eastAsia="zh-CN" w:bidi="ar-SA"/>
              </w:rPr>
            </w:pPr>
            <w:r>
              <w:rPr>
                <w:rFonts w:ascii="宋体" w:hAnsi="宋体" w:cs="宋体"/>
                <w:sz w:val="21"/>
                <w:szCs w:val="21"/>
                <w:lang w:val="en-US" w:eastAsia="zh-CN" w:bidi="ar-SA"/>
              </w:rPr>
              <w:t xml:space="preserve">国家债券 </w:t>
            </w:r>
          </w:p>
        </w:tc>
        <w:tc>
          <w:tcPr>
            <w:tcW w:w="1643"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194" w:type="pct"/>
            <w:tcBorders>
              <w:top w:val="single" w:sz="6" w:space="0" w:color="auto"/>
              <w:left w:val="single" w:sz="6" w:space="0" w:color="auto"/>
              <w:bottom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CC2FD8" w:rsidRPr="00CC2FD8">
        <w:trPr>
          <w:trHeight w:val="315"/>
        </w:trPr>
        <w:tc>
          <w:tcPr>
            <w:tcW w:w="414" w:type="pct"/>
            <w:tcBorders>
              <w:top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2 </w:t>
            </w:r>
          </w:p>
        </w:tc>
        <w:tc>
          <w:tcPr>
            <w:tcW w:w="1998"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ind w:left="105"/>
              <w:rPr>
                <w:rFonts w:eastAsia="Times New Roman"/>
                <w:sz w:val="21"/>
                <w:szCs w:val="21"/>
                <w:lang w:val="en-US" w:eastAsia="zh-CN" w:bidi="ar-SA"/>
              </w:rPr>
            </w:pPr>
            <w:r>
              <w:rPr>
                <w:rFonts w:ascii="宋体" w:hAnsi="宋体" w:cs="宋体"/>
                <w:sz w:val="21"/>
                <w:szCs w:val="21"/>
                <w:lang w:val="en-US" w:eastAsia="zh-CN" w:bidi="ar-SA"/>
              </w:rPr>
              <w:t xml:space="preserve">央行票据 </w:t>
            </w:r>
          </w:p>
        </w:tc>
        <w:tc>
          <w:tcPr>
            <w:tcW w:w="1143"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444" w:type="pct"/>
            <w:tcBorders>
              <w:top w:val="single" w:sz="6" w:space="0" w:color="auto"/>
              <w:left w:val="single" w:sz="6" w:space="0" w:color="auto"/>
              <w:bottom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CC2FD8" w:rsidRPr="00CC2FD8">
        <w:trPr>
          <w:trHeight w:val="315"/>
        </w:trPr>
        <w:tc>
          <w:tcPr>
            <w:tcW w:w="414" w:type="pct"/>
            <w:tcBorders>
              <w:top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3 </w:t>
            </w:r>
          </w:p>
        </w:tc>
        <w:tc>
          <w:tcPr>
            <w:tcW w:w="1998"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ind w:left="105"/>
              <w:rPr>
                <w:rFonts w:eastAsia="Times New Roman"/>
                <w:sz w:val="21"/>
                <w:szCs w:val="21"/>
                <w:lang w:val="en-US" w:eastAsia="zh-CN" w:bidi="ar-SA"/>
              </w:rPr>
            </w:pPr>
            <w:r>
              <w:rPr>
                <w:rFonts w:ascii="宋体" w:hAnsi="宋体" w:cs="宋体"/>
                <w:sz w:val="21"/>
                <w:szCs w:val="21"/>
                <w:lang w:val="en-US" w:eastAsia="zh-CN" w:bidi="ar-SA"/>
              </w:rPr>
              <w:t xml:space="preserve">金融债券 </w:t>
            </w:r>
          </w:p>
        </w:tc>
        <w:tc>
          <w:tcPr>
            <w:tcW w:w="1143"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444" w:type="pct"/>
            <w:tcBorders>
              <w:top w:val="single" w:sz="6" w:space="0" w:color="auto"/>
              <w:left w:val="single" w:sz="6" w:space="0" w:color="auto"/>
              <w:bottom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CC2FD8" w:rsidRPr="00CC2FD8">
        <w:trPr>
          <w:trHeight w:val="315"/>
        </w:trPr>
        <w:tc>
          <w:tcPr>
            <w:tcW w:w="414" w:type="pct"/>
            <w:tcBorders>
              <w:top w:val="single" w:sz="6" w:space="0" w:color="auto"/>
              <w:bottom w:val="single" w:sz="6" w:space="0" w:color="auto"/>
              <w:right w:val="single" w:sz="6" w:space="0" w:color="auto"/>
            </w:tcBorders>
            <w:tcMar>
              <w:top w:w="8" w:type="dxa"/>
              <w:left w:w="30" w:type="dxa"/>
              <w:bottom w:w="8" w:type="dxa"/>
              <w:right w:w="30" w:type="dxa"/>
            </w:tcMar>
            <w:vAlign w:val="center"/>
          </w:tcPr>
          <w:p w:rsidR="00CC2FD8" w:rsidRDefault="00CC2FD8">
            <w:pPr>
              <w:widowControl w:val="0"/>
              <w:jc w:val="center"/>
              <w:rPr>
                <w:rFonts w:eastAsia="Times New Roman"/>
                <w:sz w:val="21"/>
                <w:szCs w:val="21"/>
                <w:lang w:val="en-US" w:eastAsia="zh-CN" w:bidi="ar-SA"/>
              </w:rPr>
            </w:pPr>
          </w:p>
        </w:tc>
        <w:tc>
          <w:tcPr>
            <w:tcW w:w="1998"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ind w:left="105"/>
              <w:rPr>
                <w:rFonts w:eastAsia="Times New Roman"/>
                <w:sz w:val="21"/>
                <w:szCs w:val="21"/>
                <w:lang w:val="en-US" w:eastAsia="zh-CN" w:bidi="ar-SA"/>
              </w:rPr>
            </w:pPr>
            <w:r>
              <w:rPr>
                <w:rFonts w:ascii="宋体" w:hAnsi="宋体" w:cs="宋体"/>
                <w:sz w:val="21"/>
                <w:szCs w:val="21"/>
                <w:lang w:val="en-US" w:eastAsia="zh-CN" w:bidi="ar-SA"/>
              </w:rPr>
              <w:t xml:space="preserve">其中：政策性金融债 </w:t>
            </w:r>
          </w:p>
        </w:tc>
        <w:tc>
          <w:tcPr>
            <w:tcW w:w="1143"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444" w:type="pct"/>
            <w:tcBorders>
              <w:top w:val="single" w:sz="6" w:space="0" w:color="auto"/>
              <w:left w:val="single" w:sz="6" w:space="0" w:color="auto"/>
              <w:bottom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CC2FD8" w:rsidRPr="00CC2FD8">
        <w:trPr>
          <w:trHeight w:val="315"/>
        </w:trPr>
        <w:tc>
          <w:tcPr>
            <w:tcW w:w="414" w:type="pct"/>
            <w:tcBorders>
              <w:top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4 </w:t>
            </w:r>
          </w:p>
        </w:tc>
        <w:tc>
          <w:tcPr>
            <w:tcW w:w="1998"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ind w:left="105"/>
              <w:rPr>
                <w:rFonts w:eastAsia="Times New Roman"/>
                <w:sz w:val="21"/>
                <w:szCs w:val="21"/>
                <w:lang w:val="en-US" w:eastAsia="zh-CN" w:bidi="ar-SA"/>
              </w:rPr>
            </w:pPr>
            <w:r>
              <w:rPr>
                <w:rFonts w:ascii="宋体" w:hAnsi="宋体" w:cs="宋体"/>
                <w:sz w:val="21"/>
                <w:szCs w:val="21"/>
                <w:lang w:val="en-US" w:eastAsia="zh-CN" w:bidi="ar-SA"/>
              </w:rPr>
              <w:t xml:space="preserve">企业债券 </w:t>
            </w:r>
          </w:p>
        </w:tc>
        <w:tc>
          <w:tcPr>
            <w:tcW w:w="1143"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190,026,700.00</w:t>
            </w:r>
          </w:p>
        </w:tc>
        <w:tc>
          <w:tcPr>
            <w:tcW w:w="1444" w:type="pct"/>
            <w:tcBorders>
              <w:top w:val="single" w:sz="6" w:space="0" w:color="auto"/>
              <w:left w:val="single" w:sz="6" w:space="0" w:color="auto"/>
              <w:bottom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15.55</w:t>
            </w:r>
          </w:p>
        </w:tc>
      </w:tr>
      <w:tr w:rsidR="00CC2FD8" w:rsidRPr="00CC2FD8">
        <w:trPr>
          <w:trHeight w:val="315"/>
        </w:trPr>
        <w:tc>
          <w:tcPr>
            <w:tcW w:w="414" w:type="pct"/>
            <w:tcBorders>
              <w:top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5 </w:t>
            </w:r>
          </w:p>
        </w:tc>
        <w:tc>
          <w:tcPr>
            <w:tcW w:w="1998"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ind w:left="105"/>
              <w:rPr>
                <w:rFonts w:eastAsia="Times New Roman"/>
                <w:sz w:val="21"/>
                <w:szCs w:val="21"/>
                <w:lang w:val="en-US" w:eastAsia="zh-CN" w:bidi="ar-SA"/>
              </w:rPr>
            </w:pPr>
            <w:r>
              <w:rPr>
                <w:rFonts w:ascii="宋体" w:hAnsi="宋体" w:cs="宋体"/>
                <w:sz w:val="21"/>
                <w:szCs w:val="21"/>
                <w:lang w:val="en-US" w:eastAsia="zh-CN" w:bidi="ar-SA"/>
              </w:rPr>
              <w:t xml:space="preserve">企业短期融资券 </w:t>
            </w:r>
          </w:p>
        </w:tc>
        <w:tc>
          <w:tcPr>
            <w:tcW w:w="1143"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1,102,349,200.00</w:t>
            </w:r>
          </w:p>
        </w:tc>
        <w:tc>
          <w:tcPr>
            <w:tcW w:w="1444" w:type="pct"/>
            <w:tcBorders>
              <w:top w:val="single" w:sz="6" w:space="0" w:color="auto"/>
              <w:left w:val="single" w:sz="6" w:space="0" w:color="auto"/>
              <w:bottom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90.22</w:t>
            </w:r>
          </w:p>
        </w:tc>
      </w:tr>
      <w:tr w:rsidR="00CC2FD8" w:rsidRPr="00CC2FD8">
        <w:trPr>
          <w:trHeight w:val="315"/>
        </w:trPr>
        <w:tc>
          <w:tcPr>
            <w:tcW w:w="414" w:type="pct"/>
            <w:tcBorders>
              <w:top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6 </w:t>
            </w:r>
          </w:p>
        </w:tc>
        <w:tc>
          <w:tcPr>
            <w:tcW w:w="1998"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ind w:left="105"/>
              <w:rPr>
                <w:rFonts w:eastAsia="Times New Roman"/>
                <w:sz w:val="21"/>
                <w:szCs w:val="21"/>
                <w:lang w:val="en-US" w:eastAsia="zh-CN" w:bidi="ar-SA"/>
              </w:rPr>
            </w:pPr>
            <w:r>
              <w:rPr>
                <w:rFonts w:ascii="宋体" w:hAnsi="宋体" w:cs="宋体"/>
                <w:sz w:val="21"/>
                <w:szCs w:val="21"/>
                <w:lang w:val="en-US" w:eastAsia="zh-CN" w:bidi="ar-SA"/>
              </w:rPr>
              <w:t xml:space="preserve">中期票据 </w:t>
            </w:r>
          </w:p>
        </w:tc>
        <w:tc>
          <w:tcPr>
            <w:tcW w:w="1143"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279,524,100.00</w:t>
            </w:r>
          </w:p>
        </w:tc>
        <w:tc>
          <w:tcPr>
            <w:tcW w:w="1444" w:type="pct"/>
            <w:tcBorders>
              <w:top w:val="single" w:sz="6" w:space="0" w:color="auto"/>
              <w:left w:val="single" w:sz="6" w:space="0" w:color="auto"/>
              <w:bottom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22.88</w:t>
            </w:r>
          </w:p>
        </w:tc>
      </w:tr>
      <w:tr w:rsidR="00CC2FD8" w:rsidRPr="00CC2FD8">
        <w:trPr>
          <w:trHeight w:val="315"/>
        </w:trPr>
        <w:tc>
          <w:tcPr>
            <w:tcW w:w="414" w:type="pct"/>
            <w:tcBorders>
              <w:top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7 </w:t>
            </w:r>
          </w:p>
        </w:tc>
        <w:tc>
          <w:tcPr>
            <w:tcW w:w="1998"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ind w:left="105"/>
              <w:rPr>
                <w:rFonts w:eastAsia="Times New Roman"/>
                <w:sz w:val="21"/>
                <w:szCs w:val="21"/>
                <w:lang w:val="en-US" w:eastAsia="zh-CN" w:bidi="ar-SA"/>
              </w:rPr>
            </w:pPr>
            <w:r>
              <w:rPr>
                <w:rFonts w:ascii="宋体" w:hAnsi="宋体" w:cs="宋体"/>
                <w:sz w:val="21"/>
                <w:szCs w:val="21"/>
                <w:lang w:val="en-US" w:eastAsia="zh-CN" w:bidi="ar-SA"/>
              </w:rPr>
              <w:t xml:space="preserve">可转债（可交换债） </w:t>
            </w:r>
          </w:p>
        </w:tc>
        <w:tc>
          <w:tcPr>
            <w:tcW w:w="1143"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444" w:type="pct"/>
            <w:tcBorders>
              <w:top w:val="single" w:sz="6" w:space="0" w:color="auto"/>
              <w:left w:val="single" w:sz="6" w:space="0" w:color="auto"/>
              <w:bottom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CC2FD8" w:rsidRPr="00CC2FD8">
        <w:trPr>
          <w:trHeight w:val="315"/>
        </w:trPr>
        <w:tc>
          <w:tcPr>
            <w:tcW w:w="414" w:type="pct"/>
            <w:tcBorders>
              <w:top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8 </w:t>
            </w:r>
          </w:p>
        </w:tc>
        <w:tc>
          <w:tcPr>
            <w:tcW w:w="1998"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ind w:left="105"/>
              <w:rPr>
                <w:rFonts w:eastAsia="Times New Roman"/>
                <w:sz w:val="21"/>
                <w:szCs w:val="21"/>
                <w:lang w:val="en-US" w:eastAsia="zh-CN" w:bidi="ar-SA"/>
              </w:rPr>
            </w:pPr>
            <w:r>
              <w:rPr>
                <w:rFonts w:ascii="宋体" w:hAnsi="宋体" w:cs="宋体"/>
                <w:sz w:val="21"/>
                <w:szCs w:val="21"/>
                <w:lang w:val="en-US" w:eastAsia="zh-CN" w:bidi="ar-SA"/>
              </w:rPr>
              <w:t xml:space="preserve">同业存单 </w:t>
            </w:r>
          </w:p>
        </w:tc>
        <w:tc>
          <w:tcPr>
            <w:tcW w:w="1143"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444" w:type="pct"/>
            <w:tcBorders>
              <w:top w:val="single" w:sz="6" w:space="0" w:color="auto"/>
              <w:left w:val="single" w:sz="6" w:space="0" w:color="auto"/>
              <w:bottom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CC2FD8" w:rsidRPr="00CC2FD8">
        <w:trPr>
          <w:trHeight w:val="315"/>
        </w:trPr>
        <w:tc>
          <w:tcPr>
            <w:tcW w:w="414" w:type="pct"/>
            <w:tcBorders>
              <w:top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9</w:t>
            </w:r>
          </w:p>
        </w:tc>
        <w:tc>
          <w:tcPr>
            <w:tcW w:w="1998"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ind w:left="105"/>
              <w:rPr>
                <w:rFonts w:eastAsia="Times New Roman"/>
                <w:sz w:val="21"/>
                <w:szCs w:val="21"/>
                <w:lang w:val="en-US" w:eastAsia="zh-CN" w:bidi="ar-SA"/>
              </w:rPr>
            </w:pPr>
            <w:r>
              <w:rPr>
                <w:rFonts w:ascii="宋体" w:hAnsi="宋体" w:cs="宋体"/>
                <w:sz w:val="21"/>
                <w:szCs w:val="21"/>
                <w:lang w:val="en-US" w:eastAsia="zh-CN" w:bidi="ar-SA"/>
              </w:rPr>
              <w:t xml:space="preserve">其他 </w:t>
            </w:r>
          </w:p>
        </w:tc>
        <w:tc>
          <w:tcPr>
            <w:tcW w:w="1143" w:type="pct"/>
            <w:tcBorders>
              <w:top w:val="single" w:sz="6" w:space="0" w:color="auto"/>
              <w:left w:val="single" w:sz="6" w:space="0" w:color="auto"/>
              <w:bottom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444" w:type="pct"/>
            <w:tcBorders>
              <w:top w:val="single" w:sz="6" w:space="0" w:color="auto"/>
              <w:left w:val="single" w:sz="6" w:space="0" w:color="auto"/>
              <w:bottom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CC2FD8" w:rsidRPr="00CC2FD8">
        <w:trPr>
          <w:trHeight w:val="315"/>
        </w:trPr>
        <w:tc>
          <w:tcPr>
            <w:tcW w:w="414" w:type="pct"/>
            <w:tcBorders>
              <w:top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10</w:t>
            </w:r>
          </w:p>
        </w:tc>
        <w:tc>
          <w:tcPr>
            <w:tcW w:w="1998" w:type="pct"/>
            <w:tcBorders>
              <w:top w:val="single" w:sz="6" w:space="0" w:color="auto"/>
              <w:left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ind w:left="105"/>
              <w:rPr>
                <w:rFonts w:eastAsia="Times New Roman"/>
                <w:sz w:val="21"/>
                <w:szCs w:val="21"/>
                <w:lang w:val="en-US" w:eastAsia="zh-CN" w:bidi="ar-SA"/>
              </w:rPr>
            </w:pPr>
            <w:r>
              <w:rPr>
                <w:rFonts w:ascii="宋体" w:hAnsi="宋体" w:cs="宋体"/>
                <w:sz w:val="21"/>
                <w:szCs w:val="21"/>
                <w:lang w:val="en-US" w:eastAsia="zh-CN" w:bidi="ar-SA"/>
              </w:rPr>
              <w:t xml:space="preserve">合计 </w:t>
            </w:r>
          </w:p>
        </w:tc>
        <w:tc>
          <w:tcPr>
            <w:tcW w:w="1143" w:type="pct"/>
            <w:tcBorders>
              <w:top w:val="single" w:sz="6" w:space="0" w:color="auto"/>
              <w:left w:val="single" w:sz="6" w:space="0" w:color="auto"/>
              <w:right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1,571,900,000.00</w:t>
            </w:r>
          </w:p>
        </w:tc>
        <w:tc>
          <w:tcPr>
            <w:tcW w:w="1444" w:type="pct"/>
            <w:tcBorders>
              <w:top w:val="single" w:sz="6" w:space="0" w:color="auto"/>
              <w:left w:val="single" w:sz="6" w:space="0" w:color="auto"/>
            </w:tcBorders>
            <w:tcMar>
              <w:top w:w="8" w:type="dxa"/>
              <w:left w:w="30" w:type="dxa"/>
              <w:bottom w:w="8" w:type="dxa"/>
              <w:right w:w="30"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128.65</w:t>
            </w:r>
          </w:p>
        </w:tc>
      </w:tr>
    </w:tbl>
    <w:p w:rsidR="00CC2FD8" w:rsidRDefault="00CC2FD8">
      <w:pPr>
        <w:widowControl w:val="0"/>
        <w:spacing w:line="360" w:lineRule="auto"/>
        <w:rPr>
          <w:rFonts w:eastAsia="Times New Roman"/>
          <w:sz w:val="21"/>
          <w:szCs w:val="21"/>
          <w:lang w:val="en-US" w:eastAsia="zh-CN" w:bidi="ar-SA"/>
        </w:rPr>
      </w:pPr>
      <w:bookmarkStart w:id="62" w:name="m08QD_06"/>
      <w:bookmarkStart w:id="63" w:name="_Toc17898202"/>
      <w:bookmarkStart w:id="64" w:name="_Toc17897954"/>
      <w:bookmarkStart w:id="65" w:name="_Toc481075071"/>
      <w:bookmarkStart w:id="66" w:name="_Toc438646472"/>
      <w:bookmarkStart w:id="67" w:name="_Toc490050024"/>
      <w:bookmarkStart w:id="68" w:name="_Toc512519503"/>
      <w:bookmarkStart w:id="69" w:name="_Toc513295863"/>
      <w:bookmarkStart w:id="70" w:name="_Toc513295915"/>
      <w:bookmarkStart w:id="71" w:name="m506"/>
      <w:bookmarkEnd w:id="62"/>
      <w:bookmarkEnd w:id="63"/>
      <w:bookmarkEnd w:id="64"/>
      <w:bookmarkEnd w:id="65"/>
      <w:bookmarkEnd w:id="66"/>
      <w:bookmarkEnd w:id="67"/>
      <w:bookmarkEnd w:id="68"/>
      <w:bookmarkEnd w:id="69"/>
      <w:bookmarkEnd w:id="70"/>
      <w:r>
        <w:rPr>
          <w:rFonts w:ascii="宋体" w:hAnsi="宋体" w:cs="宋体"/>
          <w:b/>
          <w:bCs/>
          <w:sz w:val="21"/>
          <w:szCs w:val="21"/>
          <w:lang w:val="en-US" w:eastAsia="zh-CN" w:bidi="ar-SA"/>
        </w:rPr>
        <w:t>5、报告期末按公允价值占基金资产净值比例大小排序的前五名债券投资明细</w:t>
      </w:r>
      <w:r>
        <w:rPr>
          <w:rFonts w:ascii="宋体" w:hAnsi="宋体" w:cs="宋体"/>
          <w:sz w:val="21"/>
          <w:szCs w:val="21"/>
          <w:lang w:val="en-US" w:eastAsia="zh-CN" w:bidi="ar-SA"/>
        </w:rPr>
        <w:t xml:space="preserve"> </w:t>
      </w:r>
      <w:bookmarkEnd w:id="71"/>
    </w:p>
    <w:tbl>
      <w:tblPr>
        <w:tblW w:w="5000" w:type="pct"/>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848"/>
        <w:gridCol w:w="1713"/>
        <w:gridCol w:w="1371"/>
        <w:gridCol w:w="1371"/>
        <w:gridCol w:w="2175"/>
        <w:gridCol w:w="1378"/>
      </w:tblGrid>
      <w:tr w:rsidR="00CC2FD8" w:rsidRPr="00CC2FD8">
        <w:tc>
          <w:tcPr>
            <w:tcW w:w="479" w:type="pct"/>
            <w:tcBorders>
              <w:bottom w:val="single" w:sz="6" w:space="0" w:color="auto"/>
              <w:right w:val="single" w:sz="6" w:space="0" w:color="auto"/>
            </w:tcBorders>
            <w:shd w:val="clear" w:color="auto" w:fill="D9D9D9"/>
            <w:tcMar>
              <w:top w:w="8" w:type="dxa"/>
              <w:left w:w="108"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序号 </w:t>
            </w:r>
          </w:p>
        </w:tc>
        <w:tc>
          <w:tcPr>
            <w:tcW w:w="967" w:type="pct"/>
            <w:tcBorders>
              <w:bottom w:val="single" w:sz="6" w:space="0" w:color="auto"/>
              <w:right w:val="single" w:sz="6" w:space="0" w:color="auto"/>
            </w:tcBorders>
            <w:shd w:val="clear" w:color="auto" w:fill="D9D9D9"/>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债券代码 </w:t>
            </w:r>
          </w:p>
        </w:tc>
        <w:tc>
          <w:tcPr>
            <w:tcW w:w="774" w:type="pct"/>
            <w:tcBorders>
              <w:bottom w:val="single" w:sz="6" w:space="0" w:color="auto"/>
              <w:right w:val="single" w:sz="6" w:space="0" w:color="auto"/>
            </w:tcBorders>
            <w:shd w:val="clear" w:color="auto" w:fill="D9D9D9"/>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债券名称 </w:t>
            </w:r>
          </w:p>
        </w:tc>
        <w:tc>
          <w:tcPr>
            <w:tcW w:w="774" w:type="pct"/>
            <w:tcBorders>
              <w:bottom w:val="single" w:sz="6" w:space="0" w:color="auto"/>
              <w:right w:val="single" w:sz="6" w:space="0" w:color="auto"/>
            </w:tcBorders>
            <w:shd w:val="clear" w:color="auto" w:fill="D9D9D9"/>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数量（张） </w:t>
            </w:r>
          </w:p>
        </w:tc>
        <w:tc>
          <w:tcPr>
            <w:tcW w:w="1228" w:type="pct"/>
            <w:tcBorders>
              <w:bottom w:val="single" w:sz="6" w:space="0" w:color="auto"/>
              <w:right w:val="single" w:sz="6" w:space="0" w:color="auto"/>
            </w:tcBorders>
            <w:shd w:val="clear" w:color="auto" w:fill="D9D9D9"/>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公允价值（元） </w:t>
            </w:r>
          </w:p>
        </w:tc>
        <w:tc>
          <w:tcPr>
            <w:tcW w:w="778" w:type="pct"/>
            <w:tcBorders>
              <w:bottom w:val="single" w:sz="6" w:space="0" w:color="auto"/>
            </w:tcBorders>
            <w:shd w:val="clear" w:color="auto" w:fill="D9D9D9"/>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占基金资产净值比例（%） </w:t>
            </w:r>
          </w:p>
        </w:tc>
      </w:tr>
      <w:tr w:rsidR="00CC2FD8" w:rsidRPr="00CC2FD8">
        <w:tc>
          <w:tcPr>
            <w:tcW w:w="479" w:type="pct"/>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1</w:t>
            </w:r>
          </w:p>
        </w:tc>
        <w:tc>
          <w:tcPr>
            <w:tcW w:w="967"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011901020</w:t>
            </w:r>
          </w:p>
        </w:tc>
        <w:tc>
          <w:tcPr>
            <w:tcW w:w="774"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19海国鑫泰SCP008</w:t>
            </w:r>
          </w:p>
        </w:tc>
        <w:tc>
          <w:tcPr>
            <w:tcW w:w="774"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1,000,000</w:t>
            </w:r>
          </w:p>
        </w:tc>
        <w:tc>
          <w:tcPr>
            <w:tcW w:w="1228"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100,570,000.00</w:t>
            </w:r>
          </w:p>
        </w:tc>
        <w:tc>
          <w:tcPr>
            <w:tcW w:w="778" w:type="pct"/>
            <w:tcBorders>
              <w:top w:val="single" w:sz="6" w:space="0" w:color="auto"/>
              <w:bottom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8.23</w:t>
            </w:r>
          </w:p>
        </w:tc>
      </w:tr>
      <w:tr w:rsidR="00CC2FD8" w:rsidRPr="00CC2FD8">
        <w:tc>
          <w:tcPr>
            <w:tcW w:w="479" w:type="pct"/>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2</w:t>
            </w:r>
          </w:p>
        </w:tc>
        <w:tc>
          <w:tcPr>
            <w:tcW w:w="967"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101569004</w:t>
            </w:r>
          </w:p>
        </w:tc>
        <w:tc>
          <w:tcPr>
            <w:tcW w:w="774"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15清控MTN002</w:t>
            </w:r>
          </w:p>
        </w:tc>
        <w:tc>
          <w:tcPr>
            <w:tcW w:w="774"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900,000</w:t>
            </w:r>
          </w:p>
        </w:tc>
        <w:tc>
          <w:tcPr>
            <w:tcW w:w="1228"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90,261,000.00</w:t>
            </w:r>
          </w:p>
        </w:tc>
        <w:tc>
          <w:tcPr>
            <w:tcW w:w="778" w:type="pct"/>
            <w:tcBorders>
              <w:top w:val="single" w:sz="6" w:space="0" w:color="auto"/>
              <w:bottom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7.39</w:t>
            </w:r>
          </w:p>
        </w:tc>
      </w:tr>
      <w:tr w:rsidR="00CC2FD8" w:rsidRPr="00CC2FD8">
        <w:tc>
          <w:tcPr>
            <w:tcW w:w="479" w:type="pct"/>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3</w:t>
            </w:r>
          </w:p>
        </w:tc>
        <w:tc>
          <w:tcPr>
            <w:tcW w:w="967"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011901831</w:t>
            </w:r>
          </w:p>
        </w:tc>
        <w:tc>
          <w:tcPr>
            <w:tcW w:w="774"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19冀中能源SCP009</w:t>
            </w:r>
          </w:p>
        </w:tc>
        <w:tc>
          <w:tcPr>
            <w:tcW w:w="774"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700,000</w:t>
            </w:r>
          </w:p>
        </w:tc>
        <w:tc>
          <w:tcPr>
            <w:tcW w:w="1228"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70,231,000.00</w:t>
            </w:r>
          </w:p>
        </w:tc>
        <w:tc>
          <w:tcPr>
            <w:tcW w:w="778" w:type="pct"/>
            <w:tcBorders>
              <w:top w:val="single" w:sz="6" w:space="0" w:color="auto"/>
              <w:bottom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5.75</w:t>
            </w:r>
          </w:p>
        </w:tc>
      </w:tr>
      <w:tr w:rsidR="00CC2FD8" w:rsidRPr="00CC2FD8">
        <w:tc>
          <w:tcPr>
            <w:tcW w:w="479" w:type="pct"/>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4</w:t>
            </w:r>
          </w:p>
        </w:tc>
        <w:tc>
          <w:tcPr>
            <w:tcW w:w="967"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011901394</w:t>
            </w:r>
          </w:p>
        </w:tc>
        <w:tc>
          <w:tcPr>
            <w:tcW w:w="774"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19京文投SCP001</w:t>
            </w:r>
          </w:p>
        </w:tc>
        <w:tc>
          <w:tcPr>
            <w:tcW w:w="774"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600,000</w:t>
            </w:r>
          </w:p>
        </w:tc>
        <w:tc>
          <w:tcPr>
            <w:tcW w:w="1228"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60,258,000.00</w:t>
            </w:r>
          </w:p>
        </w:tc>
        <w:tc>
          <w:tcPr>
            <w:tcW w:w="778" w:type="pct"/>
            <w:tcBorders>
              <w:top w:val="single" w:sz="6" w:space="0" w:color="auto"/>
              <w:bottom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4.93</w:t>
            </w:r>
          </w:p>
        </w:tc>
      </w:tr>
      <w:tr w:rsidR="00CC2FD8" w:rsidRPr="00CC2FD8">
        <w:tc>
          <w:tcPr>
            <w:tcW w:w="479" w:type="pct"/>
            <w:tcBorders>
              <w:top w:val="single" w:sz="6" w:space="0" w:color="auto"/>
              <w:right w:val="single" w:sz="6" w:space="0" w:color="auto"/>
            </w:tcBorders>
            <w:tcMar>
              <w:top w:w="8" w:type="dxa"/>
              <w:left w:w="108"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5</w:t>
            </w:r>
          </w:p>
        </w:tc>
        <w:tc>
          <w:tcPr>
            <w:tcW w:w="967" w:type="pct"/>
            <w:tcBorders>
              <w:top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041900037</w:t>
            </w:r>
          </w:p>
        </w:tc>
        <w:tc>
          <w:tcPr>
            <w:tcW w:w="774" w:type="pct"/>
            <w:tcBorders>
              <w:top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19鹰潭投资CP001</w:t>
            </w:r>
          </w:p>
        </w:tc>
        <w:tc>
          <w:tcPr>
            <w:tcW w:w="774" w:type="pct"/>
            <w:tcBorders>
              <w:top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550,000</w:t>
            </w:r>
          </w:p>
        </w:tc>
        <w:tc>
          <w:tcPr>
            <w:tcW w:w="1228" w:type="pct"/>
            <w:tcBorders>
              <w:top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55,456,500.00</w:t>
            </w:r>
          </w:p>
        </w:tc>
        <w:tc>
          <w:tcPr>
            <w:tcW w:w="778" w:type="pct"/>
            <w:tcBorders>
              <w:top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4.54</w:t>
            </w:r>
          </w:p>
        </w:tc>
      </w:tr>
    </w:tbl>
    <w:p w:rsidR="00CC2FD8" w:rsidRDefault="00CC2FD8">
      <w:pPr>
        <w:widowControl w:val="0"/>
        <w:spacing w:line="360" w:lineRule="auto"/>
        <w:rPr>
          <w:rFonts w:eastAsia="Times New Roman"/>
          <w:sz w:val="21"/>
          <w:szCs w:val="21"/>
          <w:lang w:val="en-US" w:eastAsia="zh-CN" w:bidi="ar-SA"/>
        </w:rPr>
      </w:pPr>
      <w:bookmarkStart w:id="72" w:name="_Toc17898203"/>
      <w:bookmarkStart w:id="73" w:name="_Toc17897955"/>
      <w:bookmarkStart w:id="74" w:name="_Toc481075072"/>
      <w:bookmarkStart w:id="75" w:name="_Toc438646473"/>
      <w:bookmarkStart w:id="76" w:name="_Toc490050025"/>
      <w:bookmarkStart w:id="77" w:name="_Toc512519504"/>
      <w:bookmarkStart w:id="78" w:name="_Toc513295864"/>
      <w:bookmarkStart w:id="79" w:name="_Toc513295916"/>
      <w:bookmarkStart w:id="80" w:name="m507"/>
      <w:bookmarkEnd w:id="72"/>
      <w:bookmarkEnd w:id="73"/>
      <w:bookmarkEnd w:id="74"/>
      <w:bookmarkEnd w:id="75"/>
      <w:bookmarkEnd w:id="76"/>
      <w:bookmarkEnd w:id="77"/>
      <w:bookmarkEnd w:id="78"/>
      <w:bookmarkEnd w:id="79"/>
      <w:r>
        <w:rPr>
          <w:rFonts w:ascii="宋体" w:hAnsi="宋体" w:cs="宋体"/>
          <w:b/>
          <w:bCs/>
          <w:sz w:val="21"/>
          <w:szCs w:val="21"/>
          <w:lang w:val="en-US" w:eastAsia="zh-CN" w:bidi="ar-SA"/>
        </w:rPr>
        <w:t xml:space="preserve">6、报告期末按公允价值占基金资产净值比例大小排序的前十名资产支持证券投资明细 </w:t>
      </w:r>
      <w:bookmarkEnd w:id="80"/>
    </w:p>
    <w:tbl>
      <w:tblPr>
        <w:tblW w:w="5000" w:type="pct"/>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1117"/>
        <w:gridCol w:w="1246"/>
        <w:gridCol w:w="1366"/>
        <w:gridCol w:w="1614"/>
        <w:gridCol w:w="1738"/>
        <w:gridCol w:w="1775"/>
      </w:tblGrid>
      <w:tr w:rsidR="00CC2FD8" w:rsidRPr="00CC2FD8">
        <w:tc>
          <w:tcPr>
            <w:tcW w:w="631" w:type="pct"/>
            <w:tcBorders>
              <w:bottom w:val="single" w:sz="6" w:space="0" w:color="auto"/>
              <w:right w:val="single" w:sz="6" w:space="0" w:color="auto"/>
            </w:tcBorders>
            <w:shd w:val="clear" w:color="auto" w:fill="D9D9D9"/>
            <w:tcMar>
              <w:top w:w="8" w:type="dxa"/>
              <w:left w:w="108"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序号 </w:t>
            </w:r>
          </w:p>
        </w:tc>
        <w:tc>
          <w:tcPr>
            <w:tcW w:w="704" w:type="pct"/>
            <w:tcBorders>
              <w:bottom w:val="single" w:sz="6" w:space="0" w:color="auto"/>
              <w:right w:val="single" w:sz="6" w:space="0" w:color="auto"/>
            </w:tcBorders>
            <w:shd w:val="clear" w:color="auto" w:fill="D9D9D9"/>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证券代码 </w:t>
            </w:r>
          </w:p>
        </w:tc>
        <w:tc>
          <w:tcPr>
            <w:tcW w:w="771" w:type="pct"/>
            <w:tcBorders>
              <w:bottom w:val="single" w:sz="6" w:space="0" w:color="auto"/>
              <w:right w:val="single" w:sz="6" w:space="0" w:color="auto"/>
            </w:tcBorders>
            <w:shd w:val="clear" w:color="auto" w:fill="D9D9D9"/>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证券名称 </w:t>
            </w:r>
          </w:p>
        </w:tc>
        <w:tc>
          <w:tcPr>
            <w:tcW w:w="911" w:type="pct"/>
            <w:tcBorders>
              <w:bottom w:val="single" w:sz="6" w:space="0" w:color="auto"/>
              <w:right w:val="single" w:sz="6" w:space="0" w:color="auto"/>
            </w:tcBorders>
            <w:shd w:val="clear" w:color="auto" w:fill="D9D9D9"/>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数量（份） </w:t>
            </w:r>
          </w:p>
        </w:tc>
        <w:tc>
          <w:tcPr>
            <w:tcW w:w="981" w:type="pct"/>
            <w:tcBorders>
              <w:bottom w:val="single" w:sz="6" w:space="0" w:color="auto"/>
              <w:right w:val="single" w:sz="6" w:space="0" w:color="auto"/>
            </w:tcBorders>
            <w:shd w:val="clear" w:color="auto" w:fill="D9D9D9"/>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公允价值（元） </w:t>
            </w:r>
          </w:p>
        </w:tc>
        <w:tc>
          <w:tcPr>
            <w:tcW w:w="1002" w:type="pct"/>
            <w:tcBorders>
              <w:bottom w:val="single" w:sz="6" w:space="0" w:color="auto"/>
            </w:tcBorders>
            <w:shd w:val="clear" w:color="auto" w:fill="D9D9D9"/>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占基金资产净值比例（%） </w:t>
            </w:r>
          </w:p>
        </w:tc>
      </w:tr>
      <w:tr w:rsidR="00CC2FD8" w:rsidRPr="00CC2FD8">
        <w:tc>
          <w:tcPr>
            <w:tcW w:w="631" w:type="pct"/>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1</w:t>
            </w:r>
          </w:p>
        </w:tc>
        <w:tc>
          <w:tcPr>
            <w:tcW w:w="704"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156637</w:t>
            </w:r>
          </w:p>
        </w:tc>
        <w:tc>
          <w:tcPr>
            <w:tcW w:w="771"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璀璨7A</w:t>
            </w:r>
          </w:p>
        </w:tc>
        <w:tc>
          <w:tcPr>
            <w:tcW w:w="911"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700,000</w:t>
            </w:r>
          </w:p>
        </w:tc>
        <w:tc>
          <w:tcPr>
            <w:tcW w:w="981" w:type="pct"/>
            <w:tcBorders>
              <w:top w:val="single" w:sz="6" w:space="0" w:color="auto"/>
              <w:bottom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70,000,000.00</w:t>
            </w:r>
          </w:p>
        </w:tc>
        <w:tc>
          <w:tcPr>
            <w:tcW w:w="1002" w:type="pct"/>
            <w:tcBorders>
              <w:top w:val="single" w:sz="6" w:space="0" w:color="auto"/>
              <w:bottom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5.73</w:t>
            </w:r>
          </w:p>
        </w:tc>
      </w:tr>
      <w:tr w:rsidR="00CC2FD8" w:rsidRPr="00CC2FD8">
        <w:tc>
          <w:tcPr>
            <w:tcW w:w="631" w:type="pct"/>
            <w:tcBorders>
              <w:top w:val="single" w:sz="6" w:space="0" w:color="auto"/>
              <w:right w:val="single" w:sz="6" w:space="0" w:color="auto"/>
            </w:tcBorders>
            <w:tcMar>
              <w:top w:w="8" w:type="dxa"/>
              <w:left w:w="108"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2</w:t>
            </w:r>
          </w:p>
        </w:tc>
        <w:tc>
          <w:tcPr>
            <w:tcW w:w="704" w:type="pct"/>
            <w:tcBorders>
              <w:top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159690</w:t>
            </w:r>
          </w:p>
        </w:tc>
        <w:tc>
          <w:tcPr>
            <w:tcW w:w="771" w:type="pct"/>
            <w:tcBorders>
              <w:top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璀璨10A</w:t>
            </w:r>
          </w:p>
        </w:tc>
        <w:tc>
          <w:tcPr>
            <w:tcW w:w="911" w:type="pct"/>
            <w:tcBorders>
              <w:top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500,000</w:t>
            </w:r>
          </w:p>
        </w:tc>
        <w:tc>
          <w:tcPr>
            <w:tcW w:w="981" w:type="pct"/>
            <w:tcBorders>
              <w:top w:val="single" w:sz="6" w:space="0" w:color="auto"/>
              <w:right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50,000,000.00</w:t>
            </w:r>
          </w:p>
        </w:tc>
        <w:tc>
          <w:tcPr>
            <w:tcW w:w="1002" w:type="pct"/>
            <w:tcBorders>
              <w:top w:val="single" w:sz="6" w:space="0" w:color="auto"/>
            </w:tcBorders>
            <w:tcMar>
              <w:top w:w="8" w:type="dxa"/>
              <w:left w:w="113" w:type="dxa"/>
              <w:bottom w:w="8" w:type="dxa"/>
              <w:right w:w="108"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4.09</w:t>
            </w:r>
          </w:p>
        </w:tc>
      </w:tr>
    </w:tbl>
    <w:p w:rsidR="00CC2FD8" w:rsidRDefault="00CC2FD8">
      <w:pPr>
        <w:widowControl w:val="0"/>
        <w:spacing w:line="360" w:lineRule="auto"/>
        <w:rPr>
          <w:rFonts w:eastAsia="Times New Roman"/>
          <w:sz w:val="21"/>
          <w:szCs w:val="21"/>
          <w:lang w:val="en-US" w:eastAsia="zh-CN" w:bidi="ar-SA"/>
        </w:rPr>
      </w:pPr>
      <w:bookmarkStart w:id="81" w:name="_Toc17898204"/>
      <w:bookmarkStart w:id="82" w:name="_Toc17897956"/>
      <w:bookmarkStart w:id="83" w:name="_Toc481075073"/>
      <w:bookmarkStart w:id="84" w:name="_Toc438646474"/>
      <w:bookmarkStart w:id="85" w:name="_Toc490050026"/>
      <w:bookmarkStart w:id="86" w:name="_Toc512519505"/>
      <w:bookmarkStart w:id="87" w:name="_Toc513295865"/>
      <w:bookmarkStart w:id="88" w:name="_Toc513295917"/>
      <w:bookmarkStart w:id="89" w:name="m508"/>
      <w:bookmarkEnd w:id="81"/>
      <w:bookmarkEnd w:id="82"/>
      <w:bookmarkEnd w:id="83"/>
      <w:bookmarkEnd w:id="84"/>
      <w:bookmarkEnd w:id="85"/>
      <w:bookmarkEnd w:id="86"/>
      <w:bookmarkEnd w:id="87"/>
      <w:bookmarkEnd w:id="88"/>
      <w:r>
        <w:rPr>
          <w:rFonts w:ascii="宋体" w:hAnsi="宋体" w:cs="宋体"/>
          <w:b/>
          <w:bCs/>
          <w:sz w:val="21"/>
          <w:szCs w:val="21"/>
          <w:lang w:val="en-US" w:eastAsia="zh-CN" w:bidi="ar-SA"/>
        </w:rPr>
        <w:t xml:space="preserve">7、报告期末按公允价值占基金资产净值比例大小排序的前五名贵金属投资明细 </w:t>
      </w:r>
      <w:bookmarkEnd w:id="89"/>
    </w:p>
    <w:p w:rsidR="00CC2FD8" w:rsidRDefault="00CC2FD8">
      <w:pPr>
        <w:widowControl w:val="0"/>
        <w:spacing w:line="360" w:lineRule="auto"/>
        <w:jc w:val="both"/>
        <w:rPr>
          <w:rFonts w:eastAsia="Times New Roman"/>
          <w:sz w:val="21"/>
          <w:szCs w:val="21"/>
          <w:lang w:val="en-US" w:eastAsia="zh-CN" w:bidi="ar-SA"/>
        </w:rPr>
      </w:pPr>
      <w:r>
        <w:rPr>
          <w:rFonts w:ascii="宋体" w:hAnsi="宋体" w:cs="宋体"/>
          <w:sz w:val="21"/>
          <w:szCs w:val="21"/>
          <w:lang w:val="en-US" w:eastAsia="zh-CN" w:bidi="ar-SA"/>
        </w:rPr>
        <w:t>注:无。</w:t>
      </w:r>
    </w:p>
    <w:p w:rsidR="00CC2FD8" w:rsidRDefault="00CC2FD8">
      <w:pPr>
        <w:widowControl w:val="0"/>
        <w:spacing w:line="360" w:lineRule="auto"/>
        <w:rPr>
          <w:rFonts w:eastAsia="Times New Roman"/>
          <w:sz w:val="21"/>
          <w:szCs w:val="21"/>
          <w:lang w:val="en-US" w:eastAsia="zh-CN" w:bidi="ar-SA"/>
        </w:rPr>
      </w:pPr>
      <w:bookmarkStart w:id="90" w:name="_Toc17898205"/>
      <w:bookmarkStart w:id="91" w:name="_Toc17897957"/>
      <w:bookmarkStart w:id="92" w:name="_Toc481075074"/>
      <w:bookmarkStart w:id="93" w:name="_Toc438646475"/>
      <w:bookmarkStart w:id="94" w:name="_Toc490050027"/>
      <w:bookmarkStart w:id="95" w:name="_Toc512519506"/>
      <w:bookmarkStart w:id="96" w:name="_Toc513295866"/>
      <w:bookmarkStart w:id="97" w:name="_Toc513295918"/>
      <w:bookmarkStart w:id="98" w:name="m509"/>
      <w:bookmarkEnd w:id="90"/>
      <w:bookmarkEnd w:id="91"/>
      <w:bookmarkEnd w:id="92"/>
      <w:bookmarkEnd w:id="93"/>
      <w:bookmarkEnd w:id="94"/>
      <w:bookmarkEnd w:id="95"/>
      <w:bookmarkEnd w:id="96"/>
      <w:bookmarkEnd w:id="97"/>
      <w:r>
        <w:rPr>
          <w:rFonts w:ascii="宋体" w:hAnsi="宋体" w:cs="宋体"/>
          <w:b/>
          <w:bCs/>
          <w:sz w:val="21"/>
          <w:szCs w:val="21"/>
          <w:lang w:val="en-US" w:eastAsia="zh-CN" w:bidi="ar-SA"/>
        </w:rPr>
        <w:t xml:space="preserve">8、报告期末按公允价值占基金资产净值比例大小排序的前五名权证投资明细 </w:t>
      </w:r>
      <w:bookmarkEnd w:id="98"/>
    </w:p>
    <w:p w:rsidR="00CC2FD8" w:rsidRDefault="00CC2FD8">
      <w:pPr>
        <w:widowControl w:val="0"/>
        <w:spacing w:line="360" w:lineRule="auto"/>
        <w:jc w:val="both"/>
        <w:rPr>
          <w:rFonts w:eastAsia="Times New Roman"/>
          <w:sz w:val="21"/>
          <w:szCs w:val="21"/>
          <w:lang w:val="en-US" w:eastAsia="zh-CN" w:bidi="ar-SA"/>
        </w:rPr>
      </w:pPr>
      <w:r>
        <w:rPr>
          <w:rFonts w:ascii="宋体" w:hAnsi="宋体" w:cs="宋体"/>
          <w:sz w:val="21"/>
          <w:szCs w:val="21"/>
          <w:lang w:val="en-US" w:eastAsia="zh-CN" w:bidi="ar-SA"/>
        </w:rPr>
        <w:t>注:无。</w:t>
      </w:r>
    </w:p>
    <w:p w:rsidR="00CC2FD8" w:rsidRDefault="00CC2FD8">
      <w:pPr>
        <w:widowControl w:val="0"/>
        <w:spacing w:line="360" w:lineRule="auto"/>
        <w:rPr>
          <w:rFonts w:eastAsia="Times New Roman"/>
          <w:sz w:val="21"/>
          <w:szCs w:val="21"/>
          <w:lang w:val="en-US" w:eastAsia="zh-CN" w:bidi="ar-SA"/>
        </w:rPr>
      </w:pPr>
      <w:bookmarkStart w:id="99" w:name="_Toc17898209"/>
      <w:bookmarkStart w:id="100" w:name="_Toc17897959"/>
      <w:bookmarkStart w:id="101" w:name="_Toc512519510"/>
      <w:bookmarkStart w:id="102" w:name="_Toc481075078"/>
      <w:bookmarkStart w:id="103" w:name="_Toc490050031"/>
      <w:bookmarkStart w:id="104" w:name="_Toc513295868"/>
      <w:bookmarkStart w:id="105" w:name="_Toc513295922"/>
      <w:bookmarkStart w:id="106" w:name="_Toc438646476"/>
      <w:bookmarkEnd w:id="99"/>
      <w:bookmarkEnd w:id="100"/>
      <w:bookmarkEnd w:id="101"/>
      <w:bookmarkEnd w:id="102"/>
      <w:bookmarkEnd w:id="103"/>
      <w:bookmarkEnd w:id="104"/>
      <w:bookmarkEnd w:id="105"/>
      <w:r>
        <w:rPr>
          <w:rFonts w:ascii="宋体" w:hAnsi="宋体" w:cs="宋体"/>
          <w:b/>
          <w:bCs/>
          <w:sz w:val="21"/>
          <w:szCs w:val="21"/>
          <w:lang w:val="en-US" w:eastAsia="zh-CN" w:bidi="ar-SA"/>
        </w:rPr>
        <w:t xml:space="preserve">9、报告期末本基金投资的国债期货交易情况说明 </w:t>
      </w:r>
      <w:bookmarkEnd w:id="106"/>
    </w:p>
    <w:p w:rsidR="00CC2FD8" w:rsidRDefault="00CC2FD8">
      <w:pPr>
        <w:widowControl w:val="0"/>
        <w:spacing w:line="360" w:lineRule="auto"/>
        <w:rPr>
          <w:rFonts w:eastAsia="Times New Roman"/>
          <w:sz w:val="21"/>
          <w:szCs w:val="21"/>
          <w:lang w:val="en-US" w:eastAsia="zh-CN" w:bidi="ar-SA"/>
        </w:rPr>
      </w:pPr>
      <w:bookmarkStart w:id="107" w:name="_Toc17898210"/>
      <w:bookmarkStart w:id="108" w:name="_Toc512519511"/>
      <w:bookmarkStart w:id="109" w:name="_Toc481075079"/>
      <w:bookmarkStart w:id="110" w:name="_Toc490050032"/>
      <w:bookmarkStart w:id="111" w:name="_Toc513295923"/>
      <w:bookmarkStart w:id="112" w:name="m510_01_1597"/>
      <w:bookmarkEnd w:id="107"/>
      <w:bookmarkEnd w:id="108"/>
      <w:bookmarkEnd w:id="109"/>
      <w:bookmarkEnd w:id="110"/>
      <w:bookmarkEnd w:id="111"/>
      <w:r>
        <w:rPr>
          <w:rFonts w:ascii="宋体" w:hAnsi="宋体" w:cs="宋体"/>
          <w:b/>
          <w:bCs/>
          <w:sz w:val="21"/>
          <w:szCs w:val="21"/>
          <w:lang w:val="en-US" w:eastAsia="zh-CN" w:bidi="ar-SA"/>
        </w:rPr>
        <w:t>（1）本期国债期货投资政策</w:t>
      </w:r>
      <w:bookmarkEnd w:id="112"/>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本基金根据风险管理的原则，在风险可控的前提下，以套期保值为目的，投资国债期货。本基金将充分考虑国债期货的流动性和风险收益特征，结合对宏观经济形势和政策趋势的判断、对债券市场进行定性和定量分析，对国债期货和现货的基差、国债期货的流动性、波动水平等指标进行跟踪监控，在最大限度保证基金资产安全的基础上，力求实现委托财产的长期稳定增值。 </w:t>
      </w:r>
    </w:p>
    <w:p w:rsidR="00CC2FD8" w:rsidRDefault="00CC2FD8">
      <w:pPr>
        <w:widowControl w:val="0"/>
        <w:spacing w:line="360" w:lineRule="auto"/>
        <w:rPr>
          <w:rFonts w:eastAsia="Times New Roman"/>
          <w:sz w:val="21"/>
          <w:szCs w:val="21"/>
          <w:lang w:val="en-US" w:eastAsia="zh-CN" w:bidi="ar-SA"/>
        </w:rPr>
      </w:pPr>
      <w:bookmarkStart w:id="113" w:name="_Toc17898211"/>
      <w:bookmarkStart w:id="114" w:name="_Toc481075080"/>
      <w:bookmarkStart w:id="115" w:name="_Toc490050033"/>
      <w:bookmarkStart w:id="116" w:name="_Toc512519512"/>
      <w:bookmarkStart w:id="117" w:name="_Toc513295924"/>
      <w:bookmarkStart w:id="118" w:name="m510_01_1598"/>
      <w:bookmarkEnd w:id="113"/>
      <w:bookmarkEnd w:id="114"/>
      <w:bookmarkEnd w:id="115"/>
      <w:bookmarkEnd w:id="116"/>
      <w:bookmarkEnd w:id="117"/>
      <w:r>
        <w:rPr>
          <w:rFonts w:ascii="宋体" w:hAnsi="宋体" w:cs="宋体"/>
          <w:b/>
          <w:bCs/>
          <w:sz w:val="21"/>
          <w:szCs w:val="21"/>
          <w:lang w:val="en-US" w:eastAsia="zh-CN" w:bidi="ar-SA"/>
        </w:rPr>
        <w:t>（2）报告期末本基金投资的国债期货持仓和损益明细</w:t>
      </w:r>
      <w:r>
        <w:rPr>
          <w:rFonts w:ascii="宋体" w:hAnsi="宋体" w:cs="宋体"/>
          <w:sz w:val="21"/>
          <w:szCs w:val="21"/>
          <w:lang w:val="en-US" w:eastAsia="zh-CN" w:bidi="ar-SA"/>
        </w:rPr>
        <w:t xml:space="preserve"> </w:t>
      </w:r>
      <w:bookmarkEnd w:id="118"/>
    </w:p>
    <w:p w:rsidR="00CC2FD8" w:rsidRDefault="00CC2FD8">
      <w:pPr>
        <w:widowControl w:val="0"/>
        <w:spacing w:line="360" w:lineRule="auto"/>
        <w:jc w:val="both"/>
        <w:rPr>
          <w:rFonts w:eastAsia="Times New Roman"/>
          <w:sz w:val="21"/>
          <w:szCs w:val="21"/>
          <w:lang w:val="en-US" w:eastAsia="zh-CN" w:bidi="ar-SA"/>
        </w:rPr>
      </w:pPr>
      <w:r>
        <w:rPr>
          <w:rFonts w:ascii="宋体" w:hAnsi="宋体" w:cs="宋体"/>
          <w:sz w:val="21"/>
          <w:szCs w:val="21"/>
          <w:lang w:val="en-US" w:eastAsia="zh-CN" w:bidi="ar-SA"/>
        </w:rPr>
        <w:t>注:无。</w:t>
      </w:r>
    </w:p>
    <w:p w:rsidR="00CC2FD8" w:rsidRDefault="00CC2FD8">
      <w:pPr>
        <w:widowControl w:val="0"/>
        <w:spacing w:line="360" w:lineRule="auto"/>
        <w:rPr>
          <w:rFonts w:eastAsia="Times New Roman"/>
          <w:sz w:val="21"/>
          <w:szCs w:val="21"/>
          <w:lang w:val="en-US" w:eastAsia="zh-CN" w:bidi="ar-SA"/>
        </w:rPr>
      </w:pPr>
      <w:bookmarkStart w:id="119" w:name="_Toc17898212"/>
      <w:bookmarkStart w:id="120" w:name="_Toc512519513"/>
      <w:bookmarkStart w:id="121" w:name="_Toc481075081"/>
      <w:bookmarkStart w:id="122" w:name="_Toc490050034"/>
      <w:bookmarkStart w:id="123" w:name="_Toc513295925"/>
      <w:bookmarkEnd w:id="119"/>
      <w:bookmarkEnd w:id="120"/>
      <w:bookmarkEnd w:id="121"/>
      <w:bookmarkEnd w:id="122"/>
      <w:r>
        <w:rPr>
          <w:rFonts w:ascii="宋体" w:hAnsi="宋体" w:cs="宋体"/>
          <w:b/>
          <w:bCs/>
          <w:sz w:val="21"/>
          <w:szCs w:val="21"/>
          <w:lang w:val="en-US" w:eastAsia="zh-CN" w:bidi="ar-SA"/>
        </w:rPr>
        <w:t>（3）本期国债期货投资评价</w:t>
      </w:r>
      <w:bookmarkEnd w:id="123"/>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无。</w:t>
      </w:r>
    </w:p>
    <w:p w:rsidR="00CC2FD8" w:rsidRDefault="00CC2FD8">
      <w:pPr>
        <w:widowControl w:val="0"/>
        <w:spacing w:line="360" w:lineRule="auto"/>
        <w:rPr>
          <w:rFonts w:eastAsia="Times New Roman"/>
          <w:sz w:val="21"/>
          <w:szCs w:val="21"/>
          <w:lang w:val="en-US" w:eastAsia="zh-CN" w:bidi="ar-SA"/>
        </w:rPr>
      </w:pPr>
      <w:bookmarkStart w:id="124" w:name="_Toc17898213"/>
      <w:bookmarkStart w:id="125" w:name="_Toc17897960"/>
      <w:bookmarkStart w:id="126" w:name="_Toc512519514"/>
      <w:bookmarkStart w:id="127" w:name="_Toc481075082"/>
      <w:bookmarkStart w:id="128" w:name="_Toc490050035"/>
      <w:bookmarkStart w:id="129" w:name="_Toc513295869"/>
      <w:bookmarkStart w:id="130" w:name="_Toc513295926"/>
      <w:bookmarkEnd w:id="124"/>
      <w:bookmarkEnd w:id="125"/>
      <w:bookmarkEnd w:id="126"/>
      <w:bookmarkEnd w:id="127"/>
      <w:bookmarkEnd w:id="128"/>
      <w:bookmarkEnd w:id="129"/>
      <w:r>
        <w:rPr>
          <w:rFonts w:ascii="宋体" w:hAnsi="宋体" w:cs="宋体"/>
          <w:b/>
          <w:bCs/>
          <w:sz w:val="21"/>
          <w:szCs w:val="21"/>
          <w:lang w:val="en-US" w:eastAsia="zh-CN" w:bidi="ar-SA"/>
        </w:rPr>
        <w:t>10、投资组合报告附注</w:t>
      </w:r>
      <w:bookmarkEnd w:id="130"/>
      <w:r>
        <w:rPr>
          <w:rFonts w:ascii="宋体" w:hAnsi="宋体" w:cs="宋体"/>
          <w:b/>
          <w:bCs/>
          <w:sz w:val="21"/>
          <w:szCs w:val="21"/>
          <w:lang w:val="en-US" w:eastAsia="zh-CN" w:bidi="ar-SA"/>
        </w:rPr>
        <w:t xml:space="preserve"> </w:t>
      </w:r>
    </w:p>
    <w:p w:rsidR="00CC2FD8" w:rsidRDefault="00CC2FD8">
      <w:pPr>
        <w:widowControl w:val="0"/>
        <w:spacing w:line="360" w:lineRule="auto"/>
        <w:rPr>
          <w:rFonts w:eastAsia="Times New Roman"/>
          <w:sz w:val="21"/>
          <w:szCs w:val="21"/>
          <w:lang w:val="en-US" w:eastAsia="zh-CN" w:bidi="ar-SA"/>
        </w:rPr>
      </w:pPr>
      <w:bookmarkStart w:id="131" w:name="_Toc512519515"/>
      <w:bookmarkStart w:id="132" w:name="_Toc481075083"/>
      <w:bookmarkStart w:id="133" w:name="_Toc490050036"/>
      <w:bookmarkStart w:id="134" w:name="_Toc513295927"/>
      <w:bookmarkEnd w:id="131"/>
      <w:bookmarkEnd w:id="132"/>
      <w:bookmarkEnd w:id="133"/>
      <w:r>
        <w:rPr>
          <w:rFonts w:ascii="宋体" w:hAnsi="宋体" w:cs="宋体"/>
          <w:b/>
          <w:bCs/>
          <w:sz w:val="21"/>
          <w:szCs w:val="21"/>
          <w:lang w:val="en-US" w:eastAsia="zh-CN" w:bidi="ar-SA"/>
        </w:rPr>
        <w:t xml:space="preserve">  </w:t>
      </w:r>
      <w:bookmarkStart w:id="135" w:name="_Toc17898214"/>
      <w:bookmarkEnd w:id="134"/>
      <w:r>
        <w:rPr>
          <w:rFonts w:ascii="宋体" w:hAnsi="宋体" w:cs="宋体"/>
          <w:b/>
          <w:bCs/>
          <w:sz w:val="21"/>
          <w:szCs w:val="21"/>
          <w:lang w:val="en-US" w:eastAsia="zh-CN" w:bidi="ar-SA"/>
        </w:rPr>
        <w:t>（1）本基金投资的前十名证券的发行主体本期是否出现被监管部门立案调查，或在报告编制日前一年内受到公开谴责、处罚的情形。</w:t>
      </w:r>
      <w:bookmarkEnd w:id="135"/>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本基金投资的前十名证券中本期没有发行主体被监管部门立案调查的、或在报告编制日前一年内受到公开谴责、处罚的证券。</w:t>
      </w:r>
    </w:p>
    <w:p w:rsidR="00CC2FD8" w:rsidRDefault="00CC2FD8">
      <w:pPr>
        <w:widowControl w:val="0"/>
        <w:spacing w:line="360" w:lineRule="auto"/>
        <w:rPr>
          <w:rFonts w:eastAsia="Times New Roman"/>
          <w:sz w:val="21"/>
          <w:szCs w:val="21"/>
          <w:lang w:val="en-US" w:eastAsia="zh-CN" w:bidi="ar-SA"/>
        </w:rPr>
      </w:pPr>
      <w:bookmarkStart w:id="136" w:name="_Toc512519516"/>
      <w:bookmarkStart w:id="137" w:name="_Toc481075084"/>
      <w:bookmarkStart w:id="138" w:name="_Toc490050037"/>
      <w:bookmarkStart w:id="139" w:name="_Toc513295928"/>
      <w:bookmarkEnd w:id="136"/>
      <w:bookmarkEnd w:id="137"/>
      <w:bookmarkEnd w:id="138"/>
      <w:r>
        <w:rPr>
          <w:rFonts w:ascii="宋体" w:hAnsi="宋体" w:cs="宋体"/>
          <w:b/>
          <w:bCs/>
          <w:sz w:val="21"/>
          <w:szCs w:val="21"/>
          <w:lang w:val="en-US" w:eastAsia="zh-CN" w:bidi="ar-SA"/>
        </w:rPr>
        <w:t xml:space="preserve"> （2） </w:t>
      </w:r>
      <w:bookmarkStart w:id="140" w:name="_Toc17898215"/>
      <w:bookmarkEnd w:id="139"/>
      <w:r>
        <w:rPr>
          <w:rFonts w:ascii="宋体" w:hAnsi="宋体" w:cs="宋体"/>
          <w:b/>
          <w:bCs/>
          <w:sz w:val="21"/>
          <w:szCs w:val="21"/>
          <w:lang w:val="en-US" w:eastAsia="zh-CN" w:bidi="ar-SA"/>
        </w:rPr>
        <w:t>基金投资的前十名股票是否超出基金合同规定的备选股票库。</w:t>
      </w:r>
      <w:bookmarkEnd w:id="140"/>
    </w:p>
    <w:p w:rsidR="00CC2FD8" w:rsidRDefault="00CC2FD8">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本基金投资的前十名证券没有超出基金合同规定的证券备选库。</w:t>
      </w:r>
    </w:p>
    <w:p w:rsidR="00CC2FD8" w:rsidRDefault="00CC2FD8">
      <w:pPr>
        <w:widowControl w:val="0"/>
        <w:spacing w:line="360" w:lineRule="auto"/>
        <w:rPr>
          <w:rFonts w:eastAsia="Times New Roman"/>
          <w:sz w:val="21"/>
          <w:szCs w:val="21"/>
          <w:lang w:val="en-US" w:eastAsia="zh-CN" w:bidi="ar-SA"/>
        </w:rPr>
      </w:pPr>
      <w:bookmarkStart w:id="141" w:name="_Toc17898216"/>
      <w:bookmarkStart w:id="142" w:name="_Toc481075085"/>
      <w:bookmarkStart w:id="143" w:name="_Toc490050038"/>
      <w:bookmarkStart w:id="144" w:name="_Toc512519517"/>
      <w:bookmarkStart w:id="145" w:name="_Toc513295929"/>
      <w:bookmarkStart w:id="146" w:name="m510_02"/>
      <w:bookmarkEnd w:id="141"/>
      <w:bookmarkEnd w:id="142"/>
      <w:bookmarkEnd w:id="143"/>
      <w:bookmarkEnd w:id="144"/>
      <w:bookmarkEnd w:id="145"/>
      <w:r>
        <w:rPr>
          <w:rFonts w:ascii="宋体" w:hAnsi="宋体" w:cs="宋体"/>
          <w:b/>
          <w:bCs/>
          <w:sz w:val="21"/>
          <w:szCs w:val="21"/>
          <w:lang w:val="en-US" w:eastAsia="zh-CN" w:bidi="ar-SA"/>
        </w:rPr>
        <w:t>（3）其他资产构成</w:t>
      </w:r>
      <w:bookmarkEnd w:id="146"/>
    </w:p>
    <w:tbl>
      <w:tblPr>
        <w:tblW w:w="5000" w:type="pct"/>
        <w:tblInd w:w="24"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900"/>
        <w:gridCol w:w="2213"/>
        <w:gridCol w:w="5559"/>
      </w:tblGrid>
      <w:tr w:rsidR="00CC2FD8" w:rsidRPr="00CC2FD8">
        <w:trPr>
          <w:trHeight w:val="315"/>
        </w:trPr>
        <w:tc>
          <w:tcPr>
            <w:tcW w:w="519" w:type="pct"/>
            <w:tcBorders>
              <w:bottom w:val="single" w:sz="6" w:space="0" w:color="auto"/>
              <w:right w:val="single" w:sz="6" w:space="0" w:color="auto"/>
            </w:tcBorders>
            <w:shd w:val="clear" w:color="auto" w:fill="D9D9D9"/>
            <w:tcMar>
              <w:top w:w="16" w:type="dxa"/>
              <w:left w:w="16" w:type="dxa"/>
              <w:bottom w:w="8" w:type="dxa"/>
              <w:right w:w="16"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序号 </w:t>
            </w:r>
          </w:p>
        </w:tc>
        <w:tc>
          <w:tcPr>
            <w:tcW w:w="1276" w:type="pct"/>
            <w:tcBorders>
              <w:left w:val="single" w:sz="6" w:space="0" w:color="auto"/>
              <w:bottom w:val="single" w:sz="6" w:space="0" w:color="auto"/>
              <w:right w:val="single" w:sz="6" w:space="0" w:color="auto"/>
            </w:tcBorders>
            <w:shd w:val="clear" w:color="auto" w:fill="D9D9D9"/>
            <w:tcMar>
              <w:top w:w="16" w:type="dxa"/>
              <w:left w:w="16" w:type="dxa"/>
              <w:bottom w:w="8" w:type="dxa"/>
              <w:right w:w="16"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名称 </w:t>
            </w:r>
          </w:p>
        </w:tc>
        <w:tc>
          <w:tcPr>
            <w:tcW w:w="3205" w:type="pct"/>
            <w:tcBorders>
              <w:left w:val="single" w:sz="6" w:space="0" w:color="auto"/>
              <w:bottom w:val="single" w:sz="6" w:space="0" w:color="auto"/>
            </w:tcBorders>
            <w:shd w:val="clear" w:color="auto" w:fill="D9D9D9"/>
            <w:tcMar>
              <w:top w:w="16" w:type="dxa"/>
              <w:left w:w="16" w:type="dxa"/>
              <w:bottom w:w="8" w:type="dxa"/>
              <w:right w:w="16"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金额（元） </w:t>
            </w:r>
          </w:p>
        </w:tc>
      </w:tr>
      <w:tr w:rsidR="00CC2FD8" w:rsidRPr="00CC2FD8">
        <w:trPr>
          <w:trHeight w:val="285"/>
        </w:trPr>
        <w:tc>
          <w:tcPr>
            <w:tcW w:w="51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1 </w:t>
            </w:r>
          </w:p>
        </w:tc>
        <w:tc>
          <w:tcPr>
            <w:tcW w:w="127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CC2FD8" w:rsidRDefault="00CC2FD8">
            <w:pPr>
              <w:widowControl w:val="0"/>
              <w:rPr>
                <w:rFonts w:eastAsia="Times New Roman"/>
                <w:sz w:val="21"/>
                <w:szCs w:val="21"/>
                <w:lang w:val="en-US" w:eastAsia="zh-CN" w:bidi="ar-SA"/>
              </w:rPr>
            </w:pPr>
            <w:r>
              <w:rPr>
                <w:rFonts w:ascii="宋体" w:hAnsi="宋体" w:cs="宋体"/>
                <w:sz w:val="21"/>
                <w:szCs w:val="21"/>
                <w:lang w:val="en-US" w:eastAsia="zh-CN" w:bidi="ar-SA"/>
              </w:rPr>
              <w:t xml:space="preserve">存出保证金 </w:t>
            </w:r>
          </w:p>
        </w:tc>
        <w:tc>
          <w:tcPr>
            <w:tcW w:w="3205"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17,384.45</w:t>
            </w:r>
          </w:p>
        </w:tc>
      </w:tr>
      <w:tr w:rsidR="00CC2FD8" w:rsidRPr="00CC2FD8">
        <w:trPr>
          <w:trHeight w:val="285"/>
        </w:trPr>
        <w:tc>
          <w:tcPr>
            <w:tcW w:w="51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2 </w:t>
            </w:r>
          </w:p>
        </w:tc>
        <w:tc>
          <w:tcPr>
            <w:tcW w:w="127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CC2FD8" w:rsidRDefault="00CC2FD8">
            <w:pPr>
              <w:widowControl w:val="0"/>
              <w:rPr>
                <w:rFonts w:eastAsia="Times New Roman"/>
                <w:sz w:val="21"/>
                <w:szCs w:val="21"/>
                <w:lang w:val="en-US" w:eastAsia="zh-CN" w:bidi="ar-SA"/>
              </w:rPr>
            </w:pPr>
            <w:r>
              <w:rPr>
                <w:rFonts w:ascii="宋体" w:hAnsi="宋体" w:cs="宋体"/>
                <w:sz w:val="21"/>
                <w:szCs w:val="21"/>
                <w:lang w:val="en-US" w:eastAsia="zh-CN" w:bidi="ar-SA"/>
              </w:rPr>
              <w:t xml:space="preserve">应收证券清算款 </w:t>
            </w:r>
          </w:p>
        </w:tc>
        <w:tc>
          <w:tcPr>
            <w:tcW w:w="3205"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285,205.70</w:t>
            </w:r>
          </w:p>
        </w:tc>
      </w:tr>
      <w:tr w:rsidR="00CC2FD8" w:rsidRPr="00CC2FD8">
        <w:trPr>
          <w:trHeight w:val="285"/>
        </w:trPr>
        <w:tc>
          <w:tcPr>
            <w:tcW w:w="51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3 </w:t>
            </w:r>
          </w:p>
        </w:tc>
        <w:tc>
          <w:tcPr>
            <w:tcW w:w="127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CC2FD8" w:rsidRDefault="00CC2FD8">
            <w:pPr>
              <w:widowControl w:val="0"/>
              <w:rPr>
                <w:rFonts w:eastAsia="Times New Roman"/>
                <w:sz w:val="21"/>
                <w:szCs w:val="21"/>
                <w:lang w:val="en-US" w:eastAsia="zh-CN" w:bidi="ar-SA"/>
              </w:rPr>
            </w:pPr>
            <w:r>
              <w:rPr>
                <w:rFonts w:ascii="宋体" w:hAnsi="宋体" w:cs="宋体"/>
                <w:sz w:val="21"/>
                <w:szCs w:val="21"/>
                <w:lang w:val="en-US" w:eastAsia="zh-CN" w:bidi="ar-SA"/>
              </w:rPr>
              <w:t xml:space="preserve">应收股利 </w:t>
            </w:r>
          </w:p>
        </w:tc>
        <w:tc>
          <w:tcPr>
            <w:tcW w:w="3205"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CC2FD8" w:rsidRPr="00CC2FD8">
        <w:trPr>
          <w:trHeight w:val="285"/>
        </w:trPr>
        <w:tc>
          <w:tcPr>
            <w:tcW w:w="51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4 </w:t>
            </w:r>
          </w:p>
        </w:tc>
        <w:tc>
          <w:tcPr>
            <w:tcW w:w="127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CC2FD8" w:rsidRDefault="00CC2FD8">
            <w:pPr>
              <w:widowControl w:val="0"/>
              <w:rPr>
                <w:rFonts w:eastAsia="Times New Roman"/>
                <w:sz w:val="21"/>
                <w:szCs w:val="21"/>
                <w:lang w:val="en-US" w:eastAsia="zh-CN" w:bidi="ar-SA"/>
              </w:rPr>
            </w:pPr>
            <w:r>
              <w:rPr>
                <w:rFonts w:ascii="宋体" w:hAnsi="宋体" w:cs="宋体"/>
                <w:sz w:val="21"/>
                <w:szCs w:val="21"/>
                <w:lang w:val="en-US" w:eastAsia="zh-CN" w:bidi="ar-SA"/>
              </w:rPr>
              <w:t xml:space="preserve">应收利息 </w:t>
            </w:r>
          </w:p>
        </w:tc>
        <w:tc>
          <w:tcPr>
            <w:tcW w:w="3205"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31,083,645.10</w:t>
            </w:r>
          </w:p>
        </w:tc>
      </w:tr>
      <w:tr w:rsidR="00CC2FD8" w:rsidRPr="00CC2FD8">
        <w:trPr>
          <w:trHeight w:val="285"/>
        </w:trPr>
        <w:tc>
          <w:tcPr>
            <w:tcW w:w="51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5 </w:t>
            </w:r>
          </w:p>
        </w:tc>
        <w:tc>
          <w:tcPr>
            <w:tcW w:w="127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CC2FD8" w:rsidRDefault="00CC2FD8">
            <w:pPr>
              <w:widowControl w:val="0"/>
              <w:rPr>
                <w:rFonts w:eastAsia="Times New Roman"/>
                <w:sz w:val="21"/>
                <w:szCs w:val="21"/>
                <w:lang w:val="en-US" w:eastAsia="zh-CN" w:bidi="ar-SA"/>
              </w:rPr>
            </w:pPr>
            <w:r>
              <w:rPr>
                <w:rFonts w:ascii="宋体" w:hAnsi="宋体" w:cs="宋体"/>
                <w:sz w:val="21"/>
                <w:szCs w:val="21"/>
                <w:lang w:val="en-US" w:eastAsia="zh-CN" w:bidi="ar-SA"/>
              </w:rPr>
              <w:t xml:space="preserve">应收申购款 </w:t>
            </w:r>
          </w:p>
        </w:tc>
        <w:tc>
          <w:tcPr>
            <w:tcW w:w="3205"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CC2FD8" w:rsidRPr="00CC2FD8">
        <w:trPr>
          <w:trHeight w:val="285"/>
        </w:trPr>
        <w:tc>
          <w:tcPr>
            <w:tcW w:w="51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6 </w:t>
            </w:r>
          </w:p>
        </w:tc>
        <w:tc>
          <w:tcPr>
            <w:tcW w:w="127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CC2FD8" w:rsidRDefault="00CC2FD8">
            <w:pPr>
              <w:widowControl w:val="0"/>
              <w:rPr>
                <w:rFonts w:eastAsia="Times New Roman"/>
                <w:sz w:val="21"/>
                <w:szCs w:val="21"/>
                <w:lang w:val="en-US" w:eastAsia="zh-CN" w:bidi="ar-SA"/>
              </w:rPr>
            </w:pPr>
            <w:r>
              <w:rPr>
                <w:rFonts w:ascii="宋体" w:hAnsi="宋体" w:cs="宋体"/>
                <w:sz w:val="21"/>
                <w:szCs w:val="21"/>
                <w:lang w:val="en-US" w:eastAsia="zh-CN" w:bidi="ar-SA"/>
              </w:rPr>
              <w:t xml:space="preserve">其他应收款 </w:t>
            </w:r>
          </w:p>
        </w:tc>
        <w:tc>
          <w:tcPr>
            <w:tcW w:w="3205"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CC2FD8" w:rsidRPr="00CC2FD8">
        <w:trPr>
          <w:trHeight w:val="285"/>
        </w:trPr>
        <w:tc>
          <w:tcPr>
            <w:tcW w:w="51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7 </w:t>
            </w:r>
          </w:p>
        </w:tc>
        <w:tc>
          <w:tcPr>
            <w:tcW w:w="127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CC2FD8" w:rsidRDefault="00CC2FD8">
            <w:pPr>
              <w:widowControl w:val="0"/>
              <w:rPr>
                <w:rFonts w:eastAsia="Times New Roman"/>
                <w:sz w:val="21"/>
                <w:szCs w:val="21"/>
                <w:lang w:val="en-US" w:eastAsia="zh-CN" w:bidi="ar-SA"/>
              </w:rPr>
            </w:pPr>
            <w:r>
              <w:rPr>
                <w:rFonts w:ascii="宋体" w:hAnsi="宋体" w:cs="宋体"/>
                <w:sz w:val="21"/>
                <w:szCs w:val="21"/>
                <w:lang w:val="en-US" w:eastAsia="zh-CN" w:bidi="ar-SA"/>
              </w:rPr>
              <w:t xml:space="preserve">待摊费用 </w:t>
            </w:r>
          </w:p>
        </w:tc>
        <w:tc>
          <w:tcPr>
            <w:tcW w:w="3205"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CC2FD8" w:rsidRPr="00CC2FD8">
        <w:trPr>
          <w:trHeight w:val="285"/>
        </w:trPr>
        <w:tc>
          <w:tcPr>
            <w:tcW w:w="51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8</w:t>
            </w:r>
          </w:p>
        </w:tc>
        <w:tc>
          <w:tcPr>
            <w:tcW w:w="127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CC2FD8" w:rsidRDefault="00CC2FD8">
            <w:pPr>
              <w:widowControl w:val="0"/>
              <w:rPr>
                <w:rFonts w:eastAsia="Times New Roman"/>
                <w:sz w:val="21"/>
                <w:szCs w:val="21"/>
                <w:lang w:val="en-US" w:eastAsia="zh-CN" w:bidi="ar-SA"/>
              </w:rPr>
            </w:pPr>
            <w:r>
              <w:rPr>
                <w:rFonts w:ascii="宋体" w:hAnsi="宋体" w:cs="宋体"/>
                <w:sz w:val="21"/>
                <w:szCs w:val="21"/>
                <w:lang w:val="en-US" w:eastAsia="zh-CN" w:bidi="ar-SA"/>
              </w:rPr>
              <w:t xml:space="preserve">其他 </w:t>
            </w:r>
          </w:p>
        </w:tc>
        <w:tc>
          <w:tcPr>
            <w:tcW w:w="3205"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CC2FD8" w:rsidRPr="00CC2FD8">
        <w:trPr>
          <w:trHeight w:val="285"/>
        </w:trPr>
        <w:tc>
          <w:tcPr>
            <w:tcW w:w="519" w:type="pct"/>
            <w:tcBorders>
              <w:top w:val="single" w:sz="6" w:space="0" w:color="auto"/>
              <w:right w:val="single" w:sz="6" w:space="0" w:color="auto"/>
            </w:tcBorders>
            <w:tcMar>
              <w:top w:w="16" w:type="dxa"/>
              <w:left w:w="16" w:type="dxa"/>
              <w:bottom w:w="8" w:type="dxa"/>
              <w:right w:w="16" w:type="dxa"/>
            </w:tcMar>
            <w:vAlign w:val="center"/>
            <w:hideMark/>
          </w:tcPr>
          <w:p w:rsidR="00CC2FD8" w:rsidRDefault="00CC2FD8">
            <w:pPr>
              <w:widowControl w:val="0"/>
              <w:jc w:val="center"/>
              <w:rPr>
                <w:rFonts w:eastAsia="Times New Roman"/>
                <w:sz w:val="21"/>
                <w:szCs w:val="21"/>
                <w:lang w:val="en-US" w:eastAsia="zh-CN" w:bidi="ar-SA"/>
              </w:rPr>
            </w:pPr>
            <w:r>
              <w:rPr>
                <w:rFonts w:ascii="宋体" w:hAnsi="宋体" w:cs="宋体"/>
                <w:sz w:val="21"/>
                <w:szCs w:val="21"/>
                <w:lang w:val="en-US" w:eastAsia="zh-CN" w:bidi="ar-SA"/>
              </w:rPr>
              <w:t>9</w:t>
            </w:r>
          </w:p>
        </w:tc>
        <w:tc>
          <w:tcPr>
            <w:tcW w:w="1276" w:type="pct"/>
            <w:tcBorders>
              <w:top w:val="single" w:sz="6" w:space="0" w:color="auto"/>
              <w:left w:val="single" w:sz="6" w:space="0" w:color="auto"/>
              <w:right w:val="single" w:sz="6" w:space="0" w:color="auto"/>
            </w:tcBorders>
            <w:tcMar>
              <w:top w:w="16" w:type="dxa"/>
              <w:left w:w="16" w:type="dxa"/>
              <w:bottom w:w="8" w:type="dxa"/>
              <w:right w:w="16" w:type="dxa"/>
            </w:tcMar>
            <w:vAlign w:val="center"/>
            <w:hideMark/>
          </w:tcPr>
          <w:p w:rsidR="00CC2FD8" w:rsidRDefault="00CC2FD8">
            <w:pPr>
              <w:widowControl w:val="0"/>
              <w:jc w:val="both"/>
              <w:rPr>
                <w:rFonts w:eastAsia="Times New Roman"/>
                <w:sz w:val="21"/>
                <w:szCs w:val="21"/>
                <w:lang w:val="en-US" w:eastAsia="zh-CN" w:bidi="ar-SA"/>
              </w:rPr>
            </w:pPr>
            <w:r>
              <w:rPr>
                <w:rFonts w:ascii="宋体" w:hAnsi="宋体" w:cs="宋体"/>
                <w:sz w:val="21"/>
                <w:szCs w:val="21"/>
                <w:lang w:val="en-US" w:eastAsia="zh-CN" w:bidi="ar-SA"/>
              </w:rPr>
              <w:t xml:space="preserve">合计 </w:t>
            </w:r>
          </w:p>
        </w:tc>
        <w:tc>
          <w:tcPr>
            <w:tcW w:w="3205" w:type="pct"/>
            <w:tcBorders>
              <w:top w:val="single" w:sz="6" w:space="0" w:color="auto"/>
              <w:left w:val="single" w:sz="6" w:space="0" w:color="auto"/>
            </w:tcBorders>
            <w:tcMar>
              <w:top w:w="16" w:type="dxa"/>
              <w:left w:w="16" w:type="dxa"/>
              <w:bottom w:w="8" w:type="dxa"/>
              <w:right w:w="16" w:type="dxa"/>
            </w:tcMar>
            <w:vAlign w:val="center"/>
            <w:hideMark/>
          </w:tcPr>
          <w:p w:rsidR="00CC2FD8" w:rsidRDefault="00CC2FD8">
            <w:pPr>
              <w:widowControl w:val="0"/>
              <w:jc w:val="right"/>
              <w:rPr>
                <w:rFonts w:eastAsia="Times New Roman"/>
                <w:sz w:val="21"/>
                <w:szCs w:val="21"/>
                <w:lang w:val="en-US" w:eastAsia="zh-CN" w:bidi="ar-SA"/>
              </w:rPr>
            </w:pPr>
            <w:r>
              <w:rPr>
                <w:rFonts w:ascii="宋体" w:hAnsi="宋体" w:cs="宋体"/>
                <w:sz w:val="21"/>
                <w:szCs w:val="21"/>
                <w:lang w:val="en-US" w:eastAsia="zh-CN" w:bidi="ar-SA"/>
              </w:rPr>
              <w:t>31,386,235.25</w:t>
            </w:r>
          </w:p>
        </w:tc>
      </w:tr>
    </w:tbl>
    <w:p w:rsidR="00CC2FD8" w:rsidRDefault="00CC2FD8">
      <w:pPr>
        <w:widowControl w:val="0"/>
        <w:spacing w:line="360" w:lineRule="auto"/>
        <w:rPr>
          <w:rFonts w:eastAsia="Times New Roman"/>
          <w:sz w:val="21"/>
          <w:szCs w:val="21"/>
          <w:lang w:val="en-US" w:eastAsia="zh-CN" w:bidi="ar-SA"/>
        </w:rPr>
      </w:pPr>
      <w:bookmarkStart w:id="147" w:name="_Toc17898217"/>
      <w:bookmarkStart w:id="148" w:name="_Toc481075086"/>
      <w:bookmarkStart w:id="149" w:name="_Toc490050039"/>
      <w:bookmarkStart w:id="150" w:name="_Toc512519518"/>
      <w:bookmarkStart w:id="151" w:name="_Toc513295930"/>
      <w:bookmarkStart w:id="152" w:name="m510_03"/>
      <w:bookmarkEnd w:id="147"/>
      <w:bookmarkEnd w:id="148"/>
      <w:bookmarkEnd w:id="149"/>
      <w:bookmarkEnd w:id="150"/>
      <w:bookmarkEnd w:id="151"/>
      <w:r>
        <w:rPr>
          <w:rFonts w:ascii="宋体" w:hAnsi="宋体" w:cs="宋体"/>
          <w:b/>
          <w:bCs/>
          <w:sz w:val="21"/>
          <w:szCs w:val="21"/>
          <w:lang w:val="en-US" w:eastAsia="zh-CN" w:bidi="ar-SA"/>
        </w:rPr>
        <w:t>（4）报告期末持有的处于转股期的可转换债券明细</w:t>
      </w:r>
      <w:bookmarkEnd w:id="152"/>
    </w:p>
    <w:p w:rsidR="00CC2FD8" w:rsidRDefault="00CC2FD8">
      <w:pPr>
        <w:widowControl w:val="0"/>
        <w:spacing w:line="360" w:lineRule="auto"/>
        <w:rPr>
          <w:rFonts w:eastAsia="Times New Roman"/>
          <w:sz w:val="21"/>
          <w:szCs w:val="21"/>
          <w:lang w:val="en-US" w:eastAsia="zh-CN" w:bidi="ar-SA"/>
        </w:rPr>
      </w:pPr>
      <w:bookmarkStart w:id="153" w:name="m08QD_01"/>
      <w:r>
        <w:rPr>
          <w:rFonts w:ascii="宋体" w:hAnsi="宋体" w:cs="宋体"/>
          <w:sz w:val="21"/>
          <w:szCs w:val="21"/>
          <w:lang w:val="en-US" w:eastAsia="zh-CN" w:bidi="ar-SA"/>
        </w:rPr>
        <w:t>注:无。</w:t>
      </w:r>
      <w:bookmarkEnd w:id="153"/>
    </w:p>
    <w:p w:rsidR="00CC2FD8" w:rsidRDefault="00CC2FD8">
      <w:pPr>
        <w:widowControl w:val="0"/>
        <w:spacing w:line="360" w:lineRule="auto"/>
        <w:rPr>
          <w:rFonts w:eastAsia="Times New Roman"/>
          <w:sz w:val="21"/>
          <w:szCs w:val="21"/>
          <w:lang w:val="en-US" w:eastAsia="zh-CN" w:bidi="ar-SA"/>
        </w:rPr>
      </w:pPr>
      <w:bookmarkStart w:id="154" w:name="_Toc17898218"/>
      <w:bookmarkStart w:id="155" w:name="_Toc481075087"/>
      <w:bookmarkStart w:id="156" w:name="_Toc490050040"/>
      <w:bookmarkStart w:id="157" w:name="_Toc512519519"/>
      <w:bookmarkStart w:id="158" w:name="_Toc513295931"/>
      <w:bookmarkStart w:id="159" w:name="m510_04"/>
      <w:bookmarkEnd w:id="154"/>
      <w:bookmarkEnd w:id="155"/>
      <w:bookmarkEnd w:id="156"/>
      <w:bookmarkEnd w:id="157"/>
      <w:bookmarkEnd w:id="158"/>
      <w:r>
        <w:rPr>
          <w:rFonts w:ascii="宋体" w:hAnsi="宋体" w:cs="宋体"/>
          <w:b/>
          <w:bCs/>
          <w:sz w:val="21"/>
          <w:szCs w:val="21"/>
          <w:lang w:val="en-US" w:eastAsia="zh-CN" w:bidi="ar-SA"/>
        </w:rPr>
        <w:t>（5）报告期末前十名股票中存在流通受限情况的说明</w:t>
      </w:r>
      <w:bookmarkEnd w:id="159"/>
    </w:p>
    <w:p w:rsidR="00CC2FD8" w:rsidRDefault="00CC2FD8">
      <w:pPr>
        <w:widowControl w:val="0"/>
        <w:spacing w:line="360" w:lineRule="auto"/>
        <w:rPr>
          <w:rFonts w:eastAsia="Times New Roman"/>
          <w:sz w:val="21"/>
          <w:szCs w:val="21"/>
          <w:lang w:val="en-US" w:eastAsia="zh-CN" w:bidi="ar-SA"/>
        </w:rPr>
      </w:pPr>
      <w:r>
        <w:rPr>
          <w:rFonts w:ascii="宋体" w:hAnsi="宋体" w:cs="宋体"/>
          <w:sz w:val="21"/>
          <w:szCs w:val="21"/>
          <w:lang w:val="en-US" w:eastAsia="zh-CN" w:bidi="ar-SA"/>
        </w:rPr>
        <w:t>注:无。</w:t>
      </w:r>
    </w:p>
    <w:p w:rsidR="00CC2FD8" w:rsidRDefault="00CC2FD8">
      <w:pPr>
        <w:widowControl w:val="0"/>
        <w:spacing w:line="360" w:lineRule="auto"/>
        <w:rPr>
          <w:rFonts w:eastAsia="Times New Roman"/>
          <w:sz w:val="21"/>
          <w:szCs w:val="21"/>
          <w:lang w:val="en-US" w:eastAsia="zh-CN" w:bidi="ar-SA"/>
        </w:rPr>
      </w:pPr>
      <w:bookmarkStart w:id="160" w:name="_Toc17898219"/>
      <w:bookmarkStart w:id="161" w:name="_Toc512519520"/>
      <w:bookmarkStart w:id="162" w:name="_Toc481075088"/>
      <w:bookmarkStart w:id="163" w:name="_Toc490050041"/>
      <w:bookmarkStart w:id="164" w:name="_Toc513295932"/>
      <w:bookmarkEnd w:id="160"/>
      <w:bookmarkEnd w:id="161"/>
      <w:bookmarkEnd w:id="162"/>
      <w:bookmarkEnd w:id="163"/>
      <w:bookmarkEnd w:id="164"/>
      <w:r>
        <w:rPr>
          <w:rFonts w:ascii="宋体" w:hAnsi="宋体" w:cs="宋体"/>
          <w:b/>
          <w:bCs/>
          <w:sz w:val="21"/>
          <w:szCs w:val="21"/>
          <w:lang w:val="en-US" w:eastAsia="zh-CN" w:bidi="ar-SA"/>
        </w:rPr>
        <w:t xml:space="preserve">（6）投资组合报告附注的其他文字描述部分 </w:t>
      </w:r>
      <w:bookmarkEnd w:id="6"/>
    </w:p>
    <w:p w:rsidR="00CC2FD8" w:rsidRDefault="00CC2FD8">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由于四舍五入的原因，投资组合报告中数字分项之和与合计项之间可能存在尾差。</w:t>
      </w:r>
    </w:p>
    <w:p w:rsidR="00CC2FD8" w:rsidRDefault="00CC2FD8">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十二、基金的业绩</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基金管理人承诺以诚实信用、勤勉尽责的原则管理和运用基金财产，但不保证基金一定盈利。基金的过往业绩并不代表其未来表现。投资有风险，投资人在做出投资决策前应仔细阅读本基金的招募说明书。</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基金合同生效以来的投资业绩及其与同期基准的比较如下表所示：</w:t>
      </w:r>
    </w:p>
    <w:p w:rsidR="00CC2FD8" w:rsidRDefault="00CC2FD8">
      <w:pPr>
        <w:spacing w:line="360" w:lineRule="atLeast"/>
        <w:jc w:val="both"/>
        <w:rPr>
          <w:rFonts w:eastAsia="Times New Roman"/>
          <w:lang w:val="en-US" w:eastAsia="zh-CN" w:bidi="ar-SA"/>
        </w:rPr>
      </w:pPr>
      <w:r>
        <w:rPr>
          <w:rFonts w:ascii="宋体" w:hAnsi="宋体" w:cs="宋体"/>
          <w:sz w:val="21"/>
          <w:szCs w:val="21"/>
          <w:lang w:val="en-US" w:eastAsia="zh-CN" w:bidi="ar-SA"/>
        </w:rPr>
        <w:t>  </w:t>
      </w:r>
      <w:r>
        <w:rPr>
          <w:sz w:val="18"/>
          <w:szCs w:val="18"/>
          <w:lang w:val="en-US" w:eastAsia="zh-CN" w:bidi="ar-SA"/>
        </w:rPr>
        <w:t> </w:t>
      </w:r>
    </w:p>
    <w:tbl>
      <w:tblPr>
        <w:tblW w:w="8970" w:type="dxa"/>
        <w:tblInd w:w="16" w:type="dxa"/>
        <w:tblBorders>
          <w:top w:val="outset" w:sz="6" w:space="0" w:color="000000"/>
          <w:left w:val="outset" w:sz="6" w:space="0" w:color="000000"/>
          <w:bottom w:val="outset" w:sz="6" w:space="0" w:color="000000"/>
          <w:right w:val="outset" w:sz="6" w:space="0" w:color="000000"/>
          <w:insideH w:val="nil"/>
          <w:insideV w:val="nil"/>
        </w:tblBorders>
        <w:tblCellMar>
          <w:left w:w="0" w:type="dxa"/>
          <w:right w:w="0" w:type="dxa"/>
        </w:tblCellMar>
        <w:tblLook w:val="04A0"/>
      </w:tblPr>
      <w:tblGrid>
        <w:gridCol w:w="1282"/>
        <w:gridCol w:w="1282"/>
        <w:gridCol w:w="1282"/>
        <w:gridCol w:w="1281"/>
        <w:gridCol w:w="1281"/>
        <w:gridCol w:w="1281"/>
        <w:gridCol w:w="1281"/>
      </w:tblGrid>
      <w:tr w:rsidR="00CC2FD8" w:rsidRPr="00CC2FD8">
        <w:trPr>
          <w:trHeight w:val="1200"/>
        </w:trPr>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净值增长率1</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净值增长率标准差2</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业绩比较基准收益率3</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业绩比较基准收益率标准差4</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1-3</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2-4</w:t>
            </w:r>
          </w:p>
        </w:tc>
      </w:tr>
      <w:tr w:rsidR="00CC2FD8" w:rsidRPr="00CC2FD8">
        <w:trPr>
          <w:trHeight w:val="1200"/>
        </w:trPr>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2018年10月17日(基金合同生效日)至2018年12月31日</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1.06%</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0.02%</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0.78%</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0.01%</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0.28%</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0.01%</w:t>
            </w:r>
          </w:p>
        </w:tc>
      </w:tr>
      <w:tr w:rsidR="00CC2FD8" w:rsidRPr="00CC2FD8">
        <w:trPr>
          <w:trHeight w:val="1200"/>
        </w:trPr>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2019年01月01日至2019年12月31日</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3.91%</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0.02%</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3.17%</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0.01%</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0.74%</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0.01%</w:t>
            </w:r>
          </w:p>
        </w:tc>
      </w:tr>
      <w:tr w:rsidR="00CC2FD8" w:rsidRPr="00CC2FD8">
        <w:trPr>
          <w:trHeight w:val="1200"/>
        </w:trPr>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自基金合同生效日至2019年12月31日</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5.01%</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0.02%</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3.97%</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0.01%</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1.04%</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CC2FD8" w:rsidRDefault="00CC2FD8">
            <w:pPr>
              <w:rPr>
                <w:rFonts w:ascii="宋体" w:hAnsi="宋体" w:cs="宋体"/>
                <w:sz w:val="21"/>
                <w:szCs w:val="21"/>
                <w:lang w:val="en-US" w:eastAsia="zh-CN" w:bidi="ar-SA"/>
              </w:rPr>
            </w:pPr>
            <w:r>
              <w:rPr>
                <w:rFonts w:ascii="宋体" w:hAnsi="宋体" w:cs="宋体"/>
                <w:sz w:val="21"/>
                <w:szCs w:val="21"/>
                <w:lang w:val="en-US" w:eastAsia="zh-CN" w:bidi="ar-SA"/>
              </w:rPr>
              <w:t>0.01%</w:t>
            </w:r>
          </w:p>
        </w:tc>
      </w:tr>
    </w:tbl>
    <w:p w:rsidR="00CC2FD8" w:rsidRDefault="00CC2FD8">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十三、基金的费用与税收</w:t>
      </w:r>
    </w:p>
    <w:p w:rsidR="00CC2FD8" w:rsidRDefault="00CC2FD8">
      <w:pPr>
        <w:spacing w:line="360" w:lineRule="auto"/>
        <w:ind w:firstLine="420"/>
        <w:jc w:val="both"/>
        <w:rPr>
          <w:rFonts w:eastAsia="Times New Roman"/>
          <w:sz w:val="21"/>
          <w:szCs w:val="21"/>
          <w:lang w:val="en-US" w:eastAsia="zh-CN" w:bidi="ar-SA"/>
        </w:rPr>
      </w:pPr>
      <w:bookmarkStart w:id="165" w:name="_Toc510842754"/>
      <w:r>
        <w:rPr>
          <w:rFonts w:ascii="宋体" w:hAnsi="宋体" w:cs="宋体"/>
          <w:sz w:val="21"/>
          <w:szCs w:val="21"/>
          <w:lang w:val="en-US" w:eastAsia="zh-CN" w:bidi="ar-SA"/>
        </w:rPr>
        <w:t>一、基金费用的种类</w:t>
      </w:r>
      <w:bookmarkEnd w:id="165"/>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1</w:t>
      </w:r>
      <w:r>
        <w:rPr>
          <w:rFonts w:ascii="宋体" w:hAnsi="宋体" w:cs="宋体"/>
          <w:sz w:val="21"/>
          <w:szCs w:val="21"/>
          <w:lang w:val="en-US" w:eastAsia="zh-CN" w:bidi="ar-SA"/>
        </w:rPr>
        <w:t>、基金管理人的管理费；</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2</w:t>
      </w:r>
      <w:r>
        <w:rPr>
          <w:rFonts w:ascii="宋体" w:hAnsi="宋体" w:cs="宋体"/>
          <w:sz w:val="21"/>
          <w:szCs w:val="21"/>
          <w:lang w:val="en-US" w:eastAsia="zh-CN" w:bidi="ar-SA"/>
        </w:rPr>
        <w:t>、基金托管人的托管费；</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3</w:t>
      </w:r>
      <w:r>
        <w:rPr>
          <w:rFonts w:ascii="宋体" w:hAnsi="宋体" w:cs="宋体"/>
          <w:sz w:val="21"/>
          <w:szCs w:val="21"/>
          <w:lang w:val="en-US" w:eastAsia="zh-CN" w:bidi="ar-SA"/>
        </w:rPr>
        <w:t>、销售服务费；</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4</w:t>
      </w:r>
      <w:r>
        <w:rPr>
          <w:rFonts w:ascii="宋体" w:hAnsi="宋体" w:cs="宋体"/>
          <w:sz w:val="21"/>
          <w:szCs w:val="21"/>
          <w:lang w:val="en-US" w:eastAsia="zh-CN" w:bidi="ar-SA"/>
        </w:rPr>
        <w:t>、《基金合同》生效后与基金相关的信息披露费用；</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5</w:t>
      </w:r>
      <w:r>
        <w:rPr>
          <w:rFonts w:ascii="宋体" w:hAnsi="宋体" w:cs="宋体"/>
          <w:sz w:val="21"/>
          <w:szCs w:val="21"/>
          <w:lang w:val="en-US" w:eastAsia="zh-CN" w:bidi="ar-SA"/>
        </w:rPr>
        <w:t>、《基金合同》生效后与基金相关的会计师费、律师费、仲裁费、诉讼费、公证费和认证费；</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6</w:t>
      </w:r>
      <w:r>
        <w:rPr>
          <w:rFonts w:ascii="宋体" w:hAnsi="宋体" w:cs="宋体"/>
          <w:sz w:val="21"/>
          <w:szCs w:val="21"/>
          <w:lang w:val="en-US" w:eastAsia="zh-CN" w:bidi="ar-SA"/>
        </w:rPr>
        <w:t>、基金份额持有人大会费用；</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7</w:t>
      </w:r>
      <w:r>
        <w:rPr>
          <w:rFonts w:ascii="宋体" w:hAnsi="宋体" w:cs="宋体"/>
          <w:sz w:val="21"/>
          <w:szCs w:val="21"/>
          <w:lang w:val="en-US" w:eastAsia="zh-CN" w:bidi="ar-SA"/>
        </w:rPr>
        <w:t>、基金的证券、期货交易费用；</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8</w:t>
      </w:r>
      <w:r>
        <w:rPr>
          <w:rFonts w:ascii="宋体" w:hAnsi="宋体" w:cs="宋体"/>
          <w:sz w:val="21"/>
          <w:szCs w:val="21"/>
          <w:lang w:val="en-US" w:eastAsia="zh-CN" w:bidi="ar-SA"/>
        </w:rPr>
        <w:t>、基金的银行汇划费用；</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9</w:t>
      </w:r>
      <w:r>
        <w:rPr>
          <w:rFonts w:ascii="宋体" w:hAnsi="宋体" w:cs="宋体"/>
          <w:sz w:val="21"/>
          <w:szCs w:val="21"/>
          <w:lang w:val="en-US" w:eastAsia="zh-CN" w:bidi="ar-SA"/>
        </w:rPr>
        <w:t>、证券、期货账户开户费用、账户维护费用；</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10</w:t>
      </w:r>
      <w:r>
        <w:rPr>
          <w:rFonts w:ascii="宋体" w:hAnsi="宋体" w:cs="宋体"/>
          <w:sz w:val="21"/>
          <w:szCs w:val="21"/>
          <w:lang w:val="en-US" w:eastAsia="zh-CN" w:bidi="ar-SA"/>
        </w:rPr>
        <w:t>、按照国家有关规定和《基金合同》约定，可以在基金财产中列支的其他费用。</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二、基金费用计提方法、计提标准和支付方式</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1</w:t>
      </w:r>
      <w:r>
        <w:rPr>
          <w:rFonts w:ascii="宋体" w:hAnsi="宋体" w:cs="宋体"/>
          <w:sz w:val="21"/>
          <w:szCs w:val="21"/>
          <w:lang w:val="en-US" w:eastAsia="zh-CN" w:bidi="ar-SA"/>
        </w:rPr>
        <w:t xml:space="preserve">、基金管理人的管理费 </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本基金的管理费按前一日基金资产净值的</w:t>
      </w:r>
      <w:r>
        <w:rPr>
          <w:sz w:val="21"/>
          <w:szCs w:val="21"/>
          <w:lang w:val="en-US" w:eastAsia="zh-CN" w:bidi="ar-SA"/>
        </w:rPr>
        <w:t>0.30%</w:t>
      </w:r>
      <w:r>
        <w:rPr>
          <w:rFonts w:ascii="宋体" w:hAnsi="宋体" w:cs="宋体"/>
          <w:sz w:val="21"/>
          <w:szCs w:val="21"/>
          <w:lang w:val="en-US" w:eastAsia="zh-CN" w:bidi="ar-SA"/>
        </w:rPr>
        <w:t>年费率计提。管理费的计算方法如下：</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H</w:t>
      </w:r>
      <w:r>
        <w:rPr>
          <w:rFonts w:ascii="宋体" w:hAnsi="宋体" w:cs="宋体"/>
          <w:sz w:val="21"/>
          <w:szCs w:val="21"/>
          <w:lang w:val="en-US" w:eastAsia="zh-CN" w:bidi="ar-SA"/>
        </w:rPr>
        <w:t>＝</w:t>
      </w:r>
      <w:r>
        <w:rPr>
          <w:sz w:val="21"/>
          <w:szCs w:val="21"/>
          <w:lang w:val="en-US" w:eastAsia="zh-CN" w:bidi="ar-SA"/>
        </w:rPr>
        <w:t>E</w:t>
      </w:r>
      <w:r>
        <w:rPr>
          <w:rFonts w:ascii="宋体" w:hAnsi="宋体" w:cs="宋体"/>
          <w:sz w:val="21"/>
          <w:szCs w:val="21"/>
          <w:lang w:val="en-US" w:eastAsia="zh-CN" w:bidi="ar-SA"/>
        </w:rPr>
        <w:t>×</w:t>
      </w:r>
      <w:r>
        <w:rPr>
          <w:sz w:val="21"/>
          <w:szCs w:val="21"/>
          <w:lang w:val="en-US" w:eastAsia="zh-CN" w:bidi="ar-SA"/>
        </w:rPr>
        <w:t>0.30%</w:t>
      </w:r>
      <w:r>
        <w:rPr>
          <w:rFonts w:ascii="宋体" w:hAnsi="宋体" w:cs="宋体"/>
          <w:sz w:val="21"/>
          <w:szCs w:val="21"/>
          <w:lang w:val="en-US" w:eastAsia="zh-CN" w:bidi="ar-SA"/>
        </w:rPr>
        <w:t>÷当年天数</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H</w:t>
      </w:r>
      <w:r>
        <w:rPr>
          <w:rFonts w:ascii="宋体" w:hAnsi="宋体" w:cs="宋体"/>
          <w:sz w:val="21"/>
          <w:szCs w:val="21"/>
          <w:lang w:val="en-US" w:eastAsia="zh-CN" w:bidi="ar-SA"/>
        </w:rPr>
        <w:t>为每日应计提的基金管理费</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E</w:t>
      </w:r>
      <w:r>
        <w:rPr>
          <w:rFonts w:ascii="宋体" w:hAnsi="宋体" w:cs="宋体"/>
          <w:sz w:val="21"/>
          <w:szCs w:val="21"/>
          <w:lang w:val="en-US" w:eastAsia="zh-CN" w:bidi="ar-SA"/>
        </w:rPr>
        <w:t>为前一日的基金资产净值</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基金管理费每日计提，按月支付，由基金管理人向基金托管人发送基金管理费划付指令，经基金托管人复核后于次月首日起</w:t>
      </w:r>
      <w:r>
        <w:rPr>
          <w:sz w:val="21"/>
          <w:szCs w:val="21"/>
          <w:lang w:val="en-US" w:eastAsia="zh-CN" w:bidi="ar-SA"/>
        </w:rPr>
        <w:t>2</w:t>
      </w:r>
      <w:r>
        <w:rPr>
          <w:rFonts w:ascii="宋体" w:hAnsi="宋体" w:cs="宋体"/>
          <w:sz w:val="21"/>
          <w:szCs w:val="21"/>
          <w:lang w:val="en-US" w:eastAsia="zh-CN" w:bidi="ar-SA"/>
        </w:rPr>
        <w:t>个工作日内从基金财产中一次性支付给基金管理人。若遇法定节假日、休息日或不可抗力致使无法按时支付的，顺延至法定节假日、休息日结束之日起</w:t>
      </w:r>
      <w:r>
        <w:rPr>
          <w:sz w:val="21"/>
          <w:szCs w:val="21"/>
          <w:lang w:val="en-US" w:eastAsia="zh-CN" w:bidi="ar-SA"/>
        </w:rPr>
        <w:t>2</w:t>
      </w:r>
      <w:r>
        <w:rPr>
          <w:rFonts w:ascii="宋体" w:hAnsi="宋体" w:cs="宋体"/>
          <w:sz w:val="21"/>
          <w:szCs w:val="21"/>
          <w:lang w:val="en-US" w:eastAsia="zh-CN" w:bidi="ar-SA"/>
        </w:rPr>
        <w:t>个工作日内或不可抗力情形消除之日起</w:t>
      </w:r>
      <w:r>
        <w:rPr>
          <w:sz w:val="21"/>
          <w:szCs w:val="21"/>
          <w:lang w:val="en-US" w:eastAsia="zh-CN" w:bidi="ar-SA"/>
        </w:rPr>
        <w:t>2</w:t>
      </w:r>
      <w:r>
        <w:rPr>
          <w:rFonts w:ascii="宋体" w:hAnsi="宋体" w:cs="宋体"/>
          <w:sz w:val="21"/>
          <w:szCs w:val="21"/>
          <w:lang w:val="en-US" w:eastAsia="zh-CN" w:bidi="ar-SA"/>
        </w:rPr>
        <w:t>个工作日内支付。</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2</w:t>
      </w:r>
      <w:r>
        <w:rPr>
          <w:rFonts w:ascii="宋体" w:hAnsi="宋体" w:cs="宋体"/>
          <w:sz w:val="21"/>
          <w:szCs w:val="21"/>
          <w:lang w:val="en-US" w:eastAsia="zh-CN" w:bidi="ar-SA"/>
        </w:rPr>
        <w:t>、基金托管人的托管费</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本基金的托管费按前一日基金资产净值的</w:t>
      </w:r>
      <w:r>
        <w:rPr>
          <w:sz w:val="21"/>
          <w:szCs w:val="21"/>
          <w:lang w:val="en-US" w:eastAsia="zh-CN" w:bidi="ar-SA"/>
        </w:rPr>
        <w:t>0.10%</w:t>
      </w:r>
      <w:r>
        <w:rPr>
          <w:rFonts w:ascii="宋体" w:hAnsi="宋体" w:cs="宋体"/>
          <w:sz w:val="21"/>
          <w:szCs w:val="21"/>
          <w:lang w:val="en-US" w:eastAsia="zh-CN" w:bidi="ar-SA"/>
        </w:rPr>
        <w:t>的年费率计提。托管费的计算方法如下：</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H</w:t>
      </w:r>
      <w:r>
        <w:rPr>
          <w:rFonts w:ascii="宋体" w:hAnsi="宋体" w:cs="宋体"/>
          <w:sz w:val="21"/>
          <w:szCs w:val="21"/>
          <w:lang w:val="en-US" w:eastAsia="zh-CN" w:bidi="ar-SA"/>
        </w:rPr>
        <w:t>＝</w:t>
      </w:r>
      <w:r>
        <w:rPr>
          <w:sz w:val="21"/>
          <w:szCs w:val="21"/>
          <w:lang w:val="en-US" w:eastAsia="zh-CN" w:bidi="ar-SA"/>
        </w:rPr>
        <w:t>E</w:t>
      </w:r>
      <w:r>
        <w:rPr>
          <w:rFonts w:ascii="宋体" w:hAnsi="宋体" w:cs="宋体"/>
          <w:sz w:val="21"/>
          <w:szCs w:val="21"/>
          <w:lang w:val="en-US" w:eastAsia="zh-CN" w:bidi="ar-SA"/>
        </w:rPr>
        <w:t>×</w:t>
      </w:r>
      <w:r>
        <w:rPr>
          <w:sz w:val="21"/>
          <w:szCs w:val="21"/>
          <w:lang w:val="en-US" w:eastAsia="zh-CN" w:bidi="ar-SA"/>
        </w:rPr>
        <w:t>0.10%</w:t>
      </w:r>
      <w:r>
        <w:rPr>
          <w:rFonts w:ascii="宋体" w:hAnsi="宋体" w:cs="宋体"/>
          <w:sz w:val="21"/>
          <w:szCs w:val="21"/>
          <w:lang w:val="en-US" w:eastAsia="zh-CN" w:bidi="ar-SA"/>
        </w:rPr>
        <w:t>÷当年天数</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H</w:t>
      </w:r>
      <w:r>
        <w:rPr>
          <w:rFonts w:ascii="宋体" w:hAnsi="宋体" w:cs="宋体"/>
          <w:sz w:val="21"/>
          <w:szCs w:val="21"/>
          <w:lang w:val="en-US" w:eastAsia="zh-CN" w:bidi="ar-SA"/>
        </w:rPr>
        <w:t>为每日应计提的基金托管费</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E</w:t>
      </w:r>
      <w:r>
        <w:rPr>
          <w:rFonts w:ascii="宋体" w:hAnsi="宋体" w:cs="宋体"/>
          <w:sz w:val="21"/>
          <w:szCs w:val="21"/>
          <w:lang w:val="en-US" w:eastAsia="zh-CN" w:bidi="ar-SA"/>
        </w:rPr>
        <w:t>为前一日的基金资产净值</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基金托管费每日计提，按月支付，由基金管理人向基金托管人发送基金托管费划付指令，基金托管人复核后于次月首日起</w:t>
      </w:r>
      <w:r>
        <w:rPr>
          <w:sz w:val="21"/>
          <w:szCs w:val="21"/>
          <w:lang w:val="en-US" w:eastAsia="zh-CN" w:bidi="ar-SA"/>
        </w:rPr>
        <w:t>2</w:t>
      </w:r>
      <w:r>
        <w:rPr>
          <w:rFonts w:ascii="宋体" w:hAnsi="宋体" w:cs="宋体"/>
          <w:sz w:val="21"/>
          <w:szCs w:val="21"/>
          <w:lang w:val="en-US" w:eastAsia="zh-CN" w:bidi="ar-SA"/>
        </w:rPr>
        <w:t>个工作日内从基金财产中一次性支付给基金托管人。若遇法定节假日、休息日或不可抗力致使无法按时支付的，顺延至法定节假日、休息日结束之日起</w:t>
      </w:r>
      <w:r>
        <w:rPr>
          <w:sz w:val="21"/>
          <w:szCs w:val="21"/>
          <w:lang w:val="en-US" w:eastAsia="zh-CN" w:bidi="ar-SA"/>
        </w:rPr>
        <w:t>2</w:t>
      </w:r>
      <w:r>
        <w:rPr>
          <w:rFonts w:ascii="宋体" w:hAnsi="宋体" w:cs="宋体"/>
          <w:sz w:val="21"/>
          <w:szCs w:val="21"/>
          <w:lang w:val="en-US" w:eastAsia="zh-CN" w:bidi="ar-SA"/>
        </w:rPr>
        <w:t>个工作日内或不可抗力情形消除之日起</w:t>
      </w:r>
      <w:r>
        <w:rPr>
          <w:sz w:val="21"/>
          <w:szCs w:val="21"/>
          <w:lang w:val="en-US" w:eastAsia="zh-CN" w:bidi="ar-SA"/>
        </w:rPr>
        <w:t>2</w:t>
      </w:r>
      <w:r>
        <w:rPr>
          <w:rFonts w:ascii="宋体" w:hAnsi="宋体" w:cs="宋体"/>
          <w:sz w:val="21"/>
          <w:szCs w:val="21"/>
          <w:lang w:val="en-US" w:eastAsia="zh-CN" w:bidi="ar-SA"/>
        </w:rPr>
        <w:t>个工作日内支付。</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3</w:t>
      </w:r>
      <w:r>
        <w:rPr>
          <w:rFonts w:ascii="宋体" w:hAnsi="宋体" w:cs="宋体"/>
          <w:sz w:val="21"/>
          <w:szCs w:val="21"/>
          <w:lang w:val="en-US" w:eastAsia="zh-CN" w:bidi="ar-SA"/>
        </w:rPr>
        <w:t>、销售服务费</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w:t>
      </w:r>
      <w:r>
        <w:rPr>
          <w:sz w:val="21"/>
          <w:szCs w:val="21"/>
          <w:lang w:val="en-US" w:eastAsia="zh-CN" w:bidi="ar-SA"/>
        </w:rPr>
        <w:t>A</w:t>
      </w:r>
      <w:r>
        <w:rPr>
          <w:rFonts w:ascii="宋体" w:hAnsi="宋体" w:cs="宋体"/>
          <w:sz w:val="21"/>
          <w:szCs w:val="21"/>
          <w:lang w:val="en-US" w:eastAsia="zh-CN" w:bidi="ar-SA"/>
        </w:rPr>
        <w:t>类基金份额不收取销售服务费，</w:t>
      </w:r>
      <w:r>
        <w:rPr>
          <w:sz w:val="21"/>
          <w:szCs w:val="21"/>
          <w:lang w:val="en-US" w:eastAsia="zh-CN" w:bidi="ar-SA"/>
        </w:rPr>
        <w:t>C</w:t>
      </w:r>
      <w:r>
        <w:rPr>
          <w:rFonts w:ascii="宋体" w:hAnsi="宋体" w:cs="宋体"/>
          <w:sz w:val="21"/>
          <w:szCs w:val="21"/>
          <w:lang w:val="en-US" w:eastAsia="zh-CN" w:bidi="ar-SA"/>
        </w:rPr>
        <w:t>类基金份额的销售服务费年费率为</w:t>
      </w:r>
      <w:r>
        <w:rPr>
          <w:sz w:val="21"/>
          <w:szCs w:val="21"/>
          <w:lang w:val="en-US" w:eastAsia="zh-CN" w:bidi="ar-SA"/>
        </w:rPr>
        <w:t>0.4%</w:t>
      </w:r>
      <w:r>
        <w:rPr>
          <w:rFonts w:ascii="宋体" w:hAnsi="宋体" w:cs="宋体"/>
          <w:sz w:val="21"/>
          <w:szCs w:val="21"/>
          <w:lang w:val="en-US" w:eastAsia="zh-CN" w:bidi="ar-SA"/>
        </w:rPr>
        <w:t>。本基金销售服务费将专门用于本基金的销售与基金份额持有人服务，基金管理人将在基金年度报告中对该项费用的列支情况作专项说明。销售服务费计提的计算公式如下：</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H=E</w:t>
      </w:r>
      <w:r>
        <w:rPr>
          <w:rFonts w:ascii="宋体" w:hAnsi="宋体" w:cs="宋体"/>
          <w:sz w:val="21"/>
          <w:szCs w:val="21"/>
          <w:lang w:val="en-US" w:eastAsia="zh-CN" w:bidi="ar-SA"/>
        </w:rPr>
        <w:t>×</w:t>
      </w:r>
      <w:r>
        <w:rPr>
          <w:sz w:val="21"/>
          <w:szCs w:val="21"/>
          <w:lang w:val="en-US" w:eastAsia="zh-CN" w:bidi="ar-SA"/>
        </w:rPr>
        <w:t>0.4%</w:t>
      </w:r>
      <w:r>
        <w:rPr>
          <w:rFonts w:ascii="宋体" w:hAnsi="宋体" w:cs="宋体"/>
          <w:sz w:val="21"/>
          <w:szCs w:val="21"/>
          <w:lang w:val="en-US" w:eastAsia="zh-CN" w:bidi="ar-SA"/>
        </w:rPr>
        <w:t>÷当年天数</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H</w:t>
      </w:r>
      <w:r>
        <w:rPr>
          <w:rFonts w:ascii="宋体" w:hAnsi="宋体" w:cs="宋体"/>
          <w:sz w:val="21"/>
          <w:szCs w:val="21"/>
          <w:lang w:val="en-US" w:eastAsia="zh-CN" w:bidi="ar-SA"/>
        </w:rPr>
        <w:t>为</w:t>
      </w:r>
      <w:r>
        <w:rPr>
          <w:sz w:val="21"/>
          <w:szCs w:val="21"/>
          <w:lang w:val="en-US" w:eastAsia="zh-CN" w:bidi="ar-SA"/>
        </w:rPr>
        <w:t>C</w:t>
      </w:r>
      <w:r>
        <w:rPr>
          <w:rFonts w:ascii="宋体" w:hAnsi="宋体" w:cs="宋体"/>
          <w:sz w:val="21"/>
          <w:szCs w:val="21"/>
          <w:lang w:val="en-US" w:eastAsia="zh-CN" w:bidi="ar-SA"/>
        </w:rPr>
        <w:t>类基金份额每日应计提的销售服务费</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E</w:t>
      </w:r>
      <w:r>
        <w:rPr>
          <w:rFonts w:ascii="宋体" w:hAnsi="宋体" w:cs="宋体"/>
          <w:sz w:val="21"/>
          <w:szCs w:val="21"/>
          <w:lang w:val="en-US" w:eastAsia="zh-CN" w:bidi="ar-SA"/>
        </w:rPr>
        <w:t>为</w:t>
      </w:r>
      <w:r>
        <w:rPr>
          <w:sz w:val="21"/>
          <w:szCs w:val="21"/>
          <w:lang w:val="en-US" w:eastAsia="zh-CN" w:bidi="ar-SA"/>
        </w:rPr>
        <w:t>C</w:t>
      </w:r>
      <w:r>
        <w:rPr>
          <w:rFonts w:ascii="宋体" w:hAnsi="宋体" w:cs="宋体"/>
          <w:sz w:val="21"/>
          <w:szCs w:val="21"/>
          <w:lang w:val="en-US" w:eastAsia="zh-CN" w:bidi="ar-SA"/>
        </w:rPr>
        <w:t>类基金份额前一日的基金资产净值</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销售服务费每日计提，按月支付。由基金管理人向基金托管人发送基金托管费划付指令，基金托管人复核后于次月首日起</w:t>
      </w:r>
      <w:r>
        <w:rPr>
          <w:sz w:val="21"/>
          <w:szCs w:val="21"/>
          <w:lang w:val="en-US" w:eastAsia="zh-CN" w:bidi="ar-SA"/>
        </w:rPr>
        <w:t>2</w:t>
      </w:r>
      <w:r>
        <w:rPr>
          <w:rFonts w:ascii="宋体" w:hAnsi="宋体" w:cs="宋体"/>
          <w:sz w:val="21"/>
          <w:szCs w:val="21"/>
          <w:lang w:val="en-US" w:eastAsia="zh-CN" w:bidi="ar-SA"/>
        </w:rPr>
        <w:t>个工作日内从基金财产中一次性支付给基金管理人。若遇法定节假日、休息日或不可抗力致使无法按时支付的，顺延至法定节假日、休息日结束之日起</w:t>
      </w:r>
      <w:r>
        <w:rPr>
          <w:sz w:val="21"/>
          <w:szCs w:val="21"/>
          <w:lang w:val="en-US" w:eastAsia="zh-CN" w:bidi="ar-SA"/>
        </w:rPr>
        <w:t>2</w:t>
      </w:r>
      <w:r>
        <w:rPr>
          <w:rFonts w:ascii="宋体" w:hAnsi="宋体" w:cs="宋体"/>
          <w:sz w:val="21"/>
          <w:szCs w:val="21"/>
          <w:lang w:val="en-US" w:eastAsia="zh-CN" w:bidi="ar-SA"/>
        </w:rPr>
        <w:t>个工作日内或不可抗力情形消除之日起</w:t>
      </w:r>
      <w:r>
        <w:rPr>
          <w:sz w:val="21"/>
          <w:szCs w:val="21"/>
          <w:lang w:val="en-US" w:eastAsia="zh-CN" w:bidi="ar-SA"/>
        </w:rPr>
        <w:t>2</w:t>
      </w:r>
      <w:r>
        <w:rPr>
          <w:rFonts w:ascii="宋体" w:hAnsi="宋体" w:cs="宋体"/>
          <w:sz w:val="21"/>
          <w:szCs w:val="21"/>
          <w:lang w:val="en-US" w:eastAsia="zh-CN" w:bidi="ar-SA"/>
        </w:rPr>
        <w:t>个工作日内支付。</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上述“一、基金费用的种类”中第</w:t>
      </w:r>
      <w:r>
        <w:rPr>
          <w:sz w:val="21"/>
          <w:szCs w:val="21"/>
          <w:lang w:val="en-US" w:eastAsia="zh-CN" w:bidi="ar-SA"/>
        </w:rPr>
        <w:t>4</w:t>
      </w:r>
      <w:r>
        <w:rPr>
          <w:rFonts w:ascii="宋体" w:hAnsi="宋体" w:cs="宋体"/>
          <w:sz w:val="21"/>
          <w:szCs w:val="21"/>
          <w:lang w:val="en-US" w:eastAsia="zh-CN" w:bidi="ar-SA"/>
        </w:rPr>
        <w:t>－</w:t>
      </w:r>
      <w:r>
        <w:rPr>
          <w:sz w:val="21"/>
          <w:szCs w:val="21"/>
          <w:lang w:val="en-US" w:eastAsia="zh-CN" w:bidi="ar-SA"/>
        </w:rPr>
        <w:t>10</w:t>
      </w:r>
      <w:r>
        <w:rPr>
          <w:rFonts w:ascii="宋体" w:hAnsi="宋体" w:cs="宋体"/>
          <w:sz w:val="21"/>
          <w:szCs w:val="21"/>
          <w:lang w:val="en-US" w:eastAsia="zh-CN" w:bidi="ar-SA"/>
        </w:rPr>
        <w:t>项费用，根据有关法规及相应协议规定，按费用实际支出金额列入当期费用，由基金托管人从基金财产中支付。</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三、不列入基金费用的项目</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下列费用不列入基金费用：</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1</w:t>
      </w:r>
      <w:r>
        <w:rPr>
          <w:rFonts w:ascii="宋体" w:hAnsi="宋体" w:cs="宋体"/>
          <w:sz w:val="21"/>
          <w:szCs w:val="21"/>
          <w:lang w:val="en-US" w:eastAsia="zh-CN" w:bidi="ar-SA"/>
        </w:rPr>
        <w:t>、基金管理人和基金托管人因未履行或未完全履行义务导致的费用支出或基金财产的损失；</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2</w:t>
      </w:r>
      <w:r>
        <w:rPr>
          <w:rFonts w:ascii="宋体" w:hAnsi="宋体" w:cs="宋体"/>
          <w:sz w:val="21"/>
          <w:szCs w:val="21"/>
          <w:lang w:val="en-US" w:eastAsia="zh-CN" w:bidi="ar-SA"/>
        </w:rPr>
        <w:t>、基金管理人和基金托管人处理与基金运作无关的事项发生的费用；</w:t>
      </w:r>
    </w:p>
    <w:p w:rsidR="00CC2FD8" w:rsidRDefault="00CC2FD8">
      <w:pPr>
        <w:spacing w:line="360" w:lineRule="auto"/>
        <w:ind w:firstLine="420"/>
        <w:jc w:val="both"/>
        <w:rPr>
          <w:rFonts w:eastAsia="Times New Roman"/>
          <w:sz w:val="21"/>
          <w:szCs w:val="21"/>
          <w:lang w:val="en-US" w:eastAsia="zh-CN" w:bidi="ar-SA"/>
        </w:rPr>
      </w:pPr>
      <w:r>
        <w:rPr>
          <w:sz w:val="21"/>
          <w:szCs w:val="21"/>
          <w:lang w:val="en-US" w:eastAsia="zh-CN" w:bidi="ar-SA"/>
        </w:rPr>
        <w:t>3</w:t>
      </w:r>
      <w:r>
        <w:rPr>
          <w:rFonts w:ascii="宋体" w:hAnsi="宋体" w:cs="宋体"/>
          <w:sz w:val="21"/>
          <w:szCs w:val="21"/>
          <w:lang w:val="en-US" w:eastAsia="zh-CN" w:bidi="ar-SA"/>
        </w:rPr>
        <w:t>、《基金合同》生效前的相关费用；</w:t>
      </w:r>
    </w:p>
    <w:p w:rsidR="00CC2FD8" w:rsidRDefault="00CC2FD8">
      <w:pPr>
        <w:spacing w:line="360" w:lineRule="auto"/>
        <w:ind w:firstLine="420"/>
        <w:jc w:val="both"/>
        <w:rPr>
          <w:rFonts w:ascii="宋体" w:hAnsi="宋体" w:cs="宋体"/>
          <w:sz w:val="21"/>
          <w:szCs w:val="21"/>
          <w:lang w:val="en-US" w:eastAsia="zh-CN" w:bidi="ar-SA"/>
        </w:rPr>
      </w:pPr>
      <w:r>
        <w:rPr>
          <w:sz w:val="21"/>
          <w:szCs w:val="21"/>
          <w:lang w:val="en-US" w:eastAsia="zh-CN" w:bidi="ar-SA"/>
        </w:rPr>
        <w:t>4</w:t>
      </w:r>
      <w:r>
        <w:rPr>
          <w:rFonts w:ascii="宋体" w:hAnsi="宋体" w:cs="宋体"/>
          <w:sz w:val="21"/>
          <w:szCs w:val="21"/>
          <w:lang w:val="en-US" w:eastAsia="zh-CN" w:bidi="ar-SA"/>
        </w:rPr>
        <w:t>、其他根据相关法律法规及中国证监会的有关规定不得列入基金费用的项目。</w:t>
      </w:r>
    </w:p>
    <w:p w:rsidR="00D84685" w:rsidRDefault="00D84685" w:rsidP="00D84685">
      <w:pPr>
        <w:spacing w:line="360" w:lineRule="auto"/>
        <w:ind w:firstLine="420"/>
        <w:jc w:val="both"/>
        <w:rPr>
          <w:rFonts w:ascii="宋体" w:hAnsi="宋体" w:cs="宋体"/>
          <w:sz w:val="21"/>
          <w:szCs w:val="21"/>
          <w:lang w:val="en-US" w:bidi="ar-SA"/>
        </w:rPr>
      </w:pPr>
      <w:r>
        <w:rPr>
          <w:rFonts w:ascii="宋体" w:hAnsi="宋体" w:cs="宋体" w:hint="eastAsia"/>
          <w:sz w:val="21"/>
          <w:szCs w:val="21"/>
          <w:lang w:val="en-US" w:bidi="ar-SA"/>
        </w:rPr>
        <w:t>四</w:t>
      </w:r>
      <w:r>
        <w:rPr>
          <w:rFonts w:ascii="宋体" w:hAnsi="宋体" w:cs="宋体"/>
          <w:sz w:val="21"/>
          <w:szCs w:val="21"/>
          <w:lang w:val="en-US" w:bidi="ar-SA"/>
        </w:rPr>
        <w:t>、与基金销售有关的费用</w:t>
      </w:r>
    </w:p>
    <w:p w:rsidR="00D84685" w:rsidRDefault="00D84685" w:rsidP="00D84685">
      <w:pPr>
        <w:spacing w:line="360" w:lineRule="auto"/>
        <w:ind w:firstLineChars="200" w:firstLine="420"/>
        <w:jc w:val="both"/>
        <w:rPr>
          <w:rFonts w:eastAsia="Times New Roman"/>
          <w:sz w:val="21"/>
          <w:szCs w:val="21"/>
          <w:lang w:val="en-US" w:eastAsia="zh-CN" w:bidi="ar-SA"/>
        </w:rPr>
      </w:pPr>
      <w:r>
        <w:rPr>
          <w:sz w:val="21"/>
          <w:szCs w:val="21"/>
          <w:lang w:val="en-US" w:eastAsia="zh-CN" w:bidi="ar-SA"/>
        </w:rPr>
        <w:t>1</w:t>
      </w:r>
      <w:r>
        <w:rPr>
          <w:rFonts w:ascii="宋体" w:hAnsi="宋体" w:cs="宋体"/>
          <w:sz w:val="21"/>
          <w:szCs w:val="21"/>
          <w:lang w:val="en-US" w:eastAsia="zh-CN" w:bidi="ar-SA"/>
        </w:rPr>
        <w:t>、申购费率</w:t>
      </w:r>
    </w:p>
    <w:p w:rsidR="00D84685" w:rsidRDefault="00D84685" w:rsidP="00D84685">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w:t>
      </w:r>
      <w:r>
        <w:rPr>
          <w:sz w:val="21"/>
          <w:szCs w:val="21"/>
          <w:lang w:val="en-US" w:eastAsia="zh-CN" w:bidi="ar-SA"/>
        </w:rPr>
        <w:t>A</w:t>
      </w:r>
      <w:r>
        <w:rPr>
          <w:rFonts w:ascii="宋体" w:hAnsi="宋体" w:cs="宋体"/>
          <w:sz w:val="21"/>
          <w:szCs w:val="21"/>
          <w:lang w:val="en-US" w:eastAsia="zh-CN" w:bidi="ar-SA"/>
        </w:rPr>
        <w:t>类基金份额在申购时收取申购费用，</w:t>
      </w:r>
      <w:r>
        <w:rPr>
          <w:sz w:val="21"/>
          <w:szCs w:val="21"/>
          <w:lang w:val="en-US" w:eastAsia="zh-CN" w:bidi="ar-SA"/>
        </w:rPr>
        <w:t>C</w:t>
      </w:r>
      <w:r>
        <w:rPr>
          <w:rFonts w:ascii="宋体" w:hAnsi="宋体" w:cs="宋体"/>
          <w:sz w:val="21"/>
          <w:szCs w:val="21"/>
          <w:lang w:val="en-US" w:eastAsia="zh-CN" w:bidi="ar-SA"/>
        </w:rPr>
        <w:t>类基金份额不收取申购费用。</w:t>
      </w:r>
    </w:p>
    <w:p w:rsidR="00D84685" w:rsidRDefault="00D84685" w:rsidP="00D84685">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对于</w:t>
      </w:r>
      <w:r>
        <w:rPr>
          <w:sz w:val="21"/>
          <w:szCs w:val="21"/>
          <w:lang w:val="en-US" w:eastAsia="zh-CN" w:bidi="ar-SA"/>
        </w:rPr>
        <w:t>A</w:t>
      </w:r>
      <w:r>
        <w:rPr>
          <w:rFonts w:ascii="宋体" w:hAnsi="宋体" w:cs="宋体"/>
          <w:sz w:val="21"/>
          <w:szCs w:val="21"/>
          <w:lang w:val="en-US" w:eastAsia="zh-CN" w:bidi="ar-SA"/>
        </w:rPr>
        <w:t>类基金份额，本基金对通过直销中心申购的养老金客户与除此之外的其他投资人实施差别的申购费率。</w:t>
      </w:r>
    </w:p>
    <w:p w:rsidR="00D84685" w:rsidRDefault="00D84685" w:rsidP="00D84685">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养老金客户指基本养老基金与依法成立的养老计划筹集的资金及其投资运营收益形成的补充养老基金等，包括但不限于全国社会保障基金、可以投资基金的地方社会保险基金、企业年金单一计划以及集合计划、商业养老保险组合。如将来出现经养老基金监管部门认可的新的养老基金类型，基金管理人可在招募说明书更新时或发布临时公告将其纳入养老金客户范围。非养老金客户指除养老金客户外的其他投资人。</w:t>
      </w:r>
    </w:p>
    <w:p w:rsidR="00D84685" w:rsidRDefault="00D84685" w:rsidP="00D84685">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通过基金管理人的直销中心申购本基金</w:t>
      </w:r>
      <w:r>
        <w:rPr>
          <w:sz w:val="21"/>
          <w:szCs w:val="21"/>
          <w:lang w:val="en-US" w:eastAsia="zh-CN" w:bidi="ar-SA"/>
        </w:rPr>
        <w:t>A</w:t>
      </w:r>
      <w:r>
        <w:rPr>
          <w:rFonts w:ascii="宋体" w:hAnsi="宋体" w:cs="宋体"/>
          <w:sz w:val="21"/>
          <w:szCs w:val="21"/>
          <w:lang w:val="en-US" w:eastAsia="zh-CN" w:bidi="ar-SA"/>
        </w:rPr>
        <w:t>类基金份额的养老金客户适用下表特定申购费率，其他投资人申购本基金</w:t>
      </w:r>
      <w:r>
        <w:rPr>
          <w:sz w:val="21"/>
          <w:szCs w:val="21"/>
          <w:lang w:val="en-US" w:eastAsia="zh-CN" w:bidi="ar-SA"/>
        </w:rPr>
        <w:t>A</w:t>
      </w:r>
      <w:r>
        <w:rPr>
          <w:rFonts w:ascii="宋体" w:hAnsi="宋体" w:cs="宋体"/>
          <w:sz w:val="21"/>
          <w:szCs w:val="21"/>
          <w:lang w:val="en-US" w:eastAsia="zh-CN" w:bidi="ar-SA"/>
        </w:rPr>
        <w:t>类基金份额的适用下表一般申购费率：</w:t>
      </w:r>
    </w:p>
    <w:tbl>
      <w:tblPr>
        <w:tblW w:w="8018" w:type="dxa"/>
        <w:tblInd w:w="522"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3100"/>
        <w:gridCol w:w="2276"/>
        <w:gridCol w:w="2642"/>
      </w:tblGrid>
      <w:tr w:rsidR="00D84685" w:rsidRPr="00CC2FD8" w:rsidTr="00CC2FD8">
        <w:trPr>
          <w:trHeight w:val="415"/>
        </w:trPr>
        <w:tc>
          <w:tcPr>
            <w:tcW w:w="7787" w:type="dxa"/>
            <w:gridSpan w:val="3"/>
            <w:tcBorders>
              <w:bottom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b/>
                <w:bCs/>
                <w:sz w:val="21"/>
                <w:szCs w:val="21"/>
                <w:lang w:val="en-US" w:eastAsia="zh-CN" w:bidi="ar-SA"/>
              </w:rPr>
              <w:t>A</w:t>
            </w:r>
            <w:r w:rsidRPr="00CC2FD8">
              <w:rPr>
                <w:rFonts w:ascii="宋体" w:hAnsi="宋体" w:cs="宋体"/>
                <w:b/>
                <w:bCs/>
                <w:sz w:val="21"/>
                <w:szCs w:val="21"/>
                <w:lang w:val="en-US" w:eastAsia="zh-CN" w:bidi="ar-SA"/>
              </w:rPr>
              <w:t>类基金份额</w:t>
            </w:r>
          </w:p>
        </w:tc>
      </w:tr>
      <w:tr w:rsidR="00D84685" w:rsidRPr="00CC2FD8" w:rsidTr="00CC2FD8">
        <w:trPr>
          <w:trHeight w:val="415"/>
        </w:trPr>
        <w:tc>
          <w:tcPr>
            <w:tcW w:w="3011" w:type="dxa"/>
            <w:tcBorders>
              <w:top w:val="single" w:sz="6" w:space="0" w:color="auto"/>
              <w:bottom w:val="single" w:sz="6" w:space="0" w:color="auto"/>
              <w:right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rFonts w:ascii="宋体" w:hAnsi="宋体" w:cs="宋体"/>
                <w:b/>
                <w:bCs/>
                <w:sz w:val="21"/>
                <w:szCs w:val="21"/>
                <w:lang w:val="en-US" w:eastAsia="zh-CN" w:bidi="ar-SA"/>
              </w:rPr>
              <w:t>申购金额</w:t>
            </w:r>
            <w:r w:rsidRPr="00CC2FD8">
              <w:rPr>
                <w:b/>
                <w:bCs/>
                <w:sz w:val="21"/>
                <w:szCs w:val="21"/>
                <w:lang w:val="en-US" w:eastAsia="zh-CN" w:bidi="ar-SA"/>
              </w:rPr>
              <w:t>M</w:t>
            </w:r>
            <w:r w:rsidRPr="00CC2FD8">
              <w:rPr>
                <w:rFonts w:ascii="宋体" w:hAnsi="宋体" w:cs="宋体"/>
                <w:b/>
                <w:bCs/>
                <w:sz w:val="21"/>
                <w:szCs w:val="21"/>
                <w:lang w:val="en-US" w:eastAsia="zh-CN" w:bidi="ar-SA"/>
              </w:rPr>
              <w:t>（元）</w:t>
            </w:r>
          </w:p>
        </w:tc>
        <w:tc>
          <w:tcPr>
            <w:tcW w:w="2210" w:type="dxa"/>
            <w:tcBorders>
              <w:top w:val="single" w:sz="6" w:space="0" w:color="auto"/>
              <w:left w:val="single" w:sz="6" w:space="0" w:color="auto"/>
              <w:bottom w:val="single" w:sz="6" w:space="0" w:color="auto"/>
              <w:right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rFonts w:ascii="宋体" w:hAnsi="宋体" w:cs="宋体"/>
                <w:b/>
                <w:bCs/>
                <w:sz w:val="21"/>
                <w:szCs w:val="21"/>
                <w:lang w:val="en-US" w:eastAsia="zh-CN" w:bidi="ar-SA"/>
              </w:rPr>
              <w:t>一般申购费率</w:t>
            </w:r>
          </w:p>
        </w:tc>
        <w:tc>
          <w:tcPr>
            <w:tcW w:w="2134" w:type="dxa"/>
            <w:tcBorders>
              <w:top w:val="single" w:sz="6" w:space="0" w:color="auto"/>
              <w:left w:val="single" w:sz="6" w:space="0" w:color="auto"/>
              <w:bottom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rFonts w:ascii="宋体" w:hAnsi="宋体" w:cs="宋体"/>
                <w:b/>
                <w:bCs/>
                <w:sz w:val="21"/>
                <w:szCs w:val="21"/>
                <w:lang w:val="en-US" w:eastAsia="zh-CN" w:bidi="ar-SA"/>
              </w:rPr>
              <w:t>特定申购费率</w:t>
            </w:r>
          </w:p>
        </w:tc>
      </w:tr>
      <w:tr w:rsidR="00D84685" w:rsidRPr="00CC2FD8" w:rsidTr="00CC2FD8">
        <w:trPr>
          <w:trHeight w:val="415"/>
        </w:trPr>
        <w:tc>
          <w:tcPr>
            <w:tcW w:w="3011" w:type="dxa"/>
            <w:tcBorders>
              <w:top w:val="single" w:sz="6" w:space="0" w:color="auto"/>
              <w:bottom w:val="single" w:sz="6" w:space="0" w:color="auto"/>
              <w:right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sz w:val="21"/>
                <w:szCs w:val="21"/>
                <w:lang w:val="en-US" w:eastAsia="zh-CN" w:bidi="ar-SA"/>
              </w:rPr>
              <w:t>M&lt;100</w:t>
            </w:r>
            <w:r w:rsidRPr="00CC2FD8">
              <w:rPr>
                <w:rFonts w:ascii="宋体" w:hAnsi="宋体" w:cs="宋体"/>
                <w:sz w:val="21"/>
                <w:szCs w:val="21"/>
                <w:lang w:val="en-US" w:eastAsia="zh-CN" w:bidi="ar-SA"/>
              </w:rPr>
              <w:t>万</w:t>
            </w:r>
          </w:p>
        </w:tc>
        <w:tc>
          <w:tcPr>
            <w:tcW w:w="2210" w:type="dxa"/>
            <w:tcBorders>
              <w:top w:val="single" w:sz="6" w:space="0" w:color="auto"/>
              <w:left w:val="single" w:sz="6" w:space="0" w:color="auto"/>
              <w:bottom w:val="single" w:sz="6" w:space="0" w:color="auto"/>
              <w:right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sz w:val="21"/>
                <w:szCs w:val="21"/>
                <w:lang w:val="en-US" w:eastAsia="zh-CN" w:bidi="ar-SA"/>
              </w:rPr>
              <w:t>0.40%</w:t>
            </w:r>
          </w:p>
        </w:tc>
        <w:tc>
          <w:tcPr>
            <w:tcW w:w="2134" w:type="dxa"/>
            <w:tcBorders>
              <w:top w:val="single" w:sz="6" w:space="0" w:color="auto"/>
              <w:left w:val="single" w:sz="6" w:space="0" w:color="auto"/>
              <w:bottom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sz w:val="21"/>
                <w:szCs w:val="21"/>
                <w:lang w:val="en-US" w:eastAsia="zh-CN" w:bidi="ar-SA"/>
              </w:rPr>
              <w:t>0.16%</w:t>
            </w:r>
          </w:p>
        </w:tc>
      </w:tr>
      <w:tr w:rsidR="00D84685" w:rsidRPr="00CC2FD8" w:rsidTr="00CC2FD8">
        <w:trPr>
          <w:trHeight w:val="415"/>
        </w:trPr>
        <w:tc>
          <w:tcPr>
            <w:tcW w:w="3011" w:type="dxa"/>
            <w:tcBorders>
              <w:top w:val="single" w:sz="6" w:space="0" w:color="auto"/>
              <w:bottom w:val="single" w:sz="6" w:space="0" w:color="auto"/>
              <w:right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sz w:val="21"/>
                <w:szCs w:val="21"/>
                <w:lang w:val="en-US" w:eastAsia="zh-CN" w:bidi="ar-SA"/>
              </w:rPr>
              <w:t>100</w:t>
            </w:r>
            <w:r w:rsidRPr="00CC2FD8">
              <w:rPr>
                <w:rFonts w:ascii="宋体" w:hAnsi="宋体" w:cs="宋体"/>
                <w:sz w:val="21"/>
                <w:szCs w:val="21"/>
                <w:lang w:val="en-US" w:eastAsia="zh-CN" w:bidi="ar-SA"/>
              </w:rPr>
              <w:t>万</w:t>
            </w:r>
            <w:r w:rsidRPr="00CC2FD8">
              <w:rPr>
                <w:sz w:val="21"/>
                <w:szCs w:val="21"/>
                <w:lang w:val="en-US" w:eastAsia="zh-CN" w:bidi="ar-SA"/>
              </w:rPr>
              <w:t>≤ M &lt;500</w:t>
            </w:r>
            <w:r w:rsidRPr="00CC2FD8">
              <w:rPr>
                <w:rFonts w:ascii="宋体" w:hAnsi="宋体" w:cs="宋体"/>
                <w:sz w:val="21"/>
                <w:szCs w:val="21"/>
                <w:lang w:val="en-US" w:eastAsia="zh-CN" w:bidi="ar-SA"/>
              </w:rPr>
              <w:t>万</w:t>
            </w:r>
          </w:p>
        </w:tc>
        <w:tc>
          <w:tcPr>
            <w:tcW w:w="2210" w:type="dxa"/>
            <w:tcBorders>
              <w:top w:val="single" w:sz="6" w:space="0" w:color="auto"/>
              <w:left w:val="single" w:sz="6" w:space="0" w:color="auto"/>
              <w:bottom w:val="single" w:sz="6" w:space="0" w:color="auto"/>
              <w:right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sz w:val="21"/>
                <w:szCs w:val="21"/>
                <w:lang w:val="en-US" w:eastAsia="zh-CN" w:bidi="ar-SA"/>
              </w:rPr>
              <w:t>0.15%</w:t>
            </w:r>
          </w:p>
        </w:tc>
        <w:tc>
          <w:tcPr>
            <w:tcW w:w="2134" w:type="dxa"/>
            <w:tcBorders>
              <w:top w:val="single" w:sz="6" w:space="0" w:color="auto"/>
              <w:left w:val="single" w:sz="6" w:space="0" w:color="auto"/>
              <w:bottom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sz w:val="21"/>
                <w:szCs w:val="21"/>
                <w:lang w:val="en-US" w:eastAsia="zh-CN" w:bidi="ar-SA"/>
              </w:rPr>
              <w:t>0.04%</w:t>
            </w:r>
          </w:p>
        </w:tc>
      </w:tr>
      <w:tr w:rsidR="00D84685" w:rsidRPr="00CC2FD8" w:rsidTr="00CC2FD8">
        <w:trPr>
          <w:trHeight w:val="415"/>
        </w:trPr>
        <w:tc>
          <w:tcPr>
            <w:tcW w:w="3011" w:type="dxa"/>
            <w:tcBorders>
              <w:top w:val="single" w:sz="6" w:space="0" w:color="auto"/>
              <w:right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sz w:val="21"/>
                <w:szCs w:val="21"/>
                <w:lang w:val="en-US" w:eastAsia="zh-CN" w:bidi="ar-SA"/>
              </w:rPr>
              <w:t>M≥ 500</w:t>
            </w:r>
            <w:r w:rsidRPr="00CC2FD8">
              <w:rPr>
                <w:rFonts w:ascii="宋体" w:hAnsi="宋体" w:cs="宋体"/>
                <w:sz w:val="21"/>
                <w:szCs w:val="21"/>
                <w:lang w:val="en-US" w:eastAsia="zh-CN" w:bidi="ar-SA"/>
              </w:rPr>
              <w:t>万</w:t>
            </w:r>
          </w:p>
        </w:tc>
        <w:tc>
          <w:tcPr>
            <w:tcW w:w="2210" w:type="dxa"/>
            <w:tcBorders>
              <w:top w:val="single" w:sz="6" w:space="0" w:color="auto"/>
              <w:left w:val="single" w:sz="6" w:space="0" w:color="auto"/>
              <w:right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rFonts w:ascii="宋体" w:hAnsi="宋体" w:cs="宋体"/>
                <w:sz w:val="21"/>
                <w:szCs w:val="21"/>
                <w:lang w:val="en-US" w:eastAsia="zh-CN" w:bidi="ar-SA"/>
              </w:rPr>
              <w:t>每笔</w:t>
            </w:r>
            <w:r w:rsidRPr="00CC2FD8">
              <w:rPr>
                <w:sz w:val="21"/>
                <w:szCs w:val="21"/>
                <w:lang w:val="en-US" w:eastAsia="zh-CN" w:bidi="ar-SA"/>
              </w:rPr>
              <w:t>1000</w:t>
            </w:r>
            <w:r w:rsidRPr="00CC2FD8">
              <w:rPr>
                <w:rFonts w:ascii="宋体" w:hAnsi="宋体" w:cs="宋体"/>
                <w:sz w:val="21"/>
                <w:szCs w:val="21"/>
                <w:lang w:val="en-US" w:eastAsia="zh-CN" w:bidi="ar-SA"/>
              </w:rPr>
              <w:t>元</w:t>
            </w:r>
          </w:p>
        </w:tc>
        <w:tc>
          <w:tcPr>
            <w:tcW w:w="2134" w:type="dxa"/>
            <w:tcBorders>
              <w:top w:val="single" w:sz="6" w:space="0" w:color="auto"/>
              <w:left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rFonts w:ascii="宋体" w:hAnsi="宋体" w:cs="宋体"/>
                <w:sz w:val="21"/>
                <w:szCs w:val="21"/>
                <w:lang w:val="en-US" w:eastAsia="zh-CN" w:bidi="ar-SA"/>
              </w:rPr>
              <w:t>每笔</w:t>
            </w:r>
            <w:r w:rsidRPr="00CC2FD8">
              <w:rPr>
                <w:sz w:val="21"/>
                <w:szCs w:val="21"/>
                <w:lang w:val="en-US" w:eastAsia="zh-CN" w:bidi="ar-SA"/>
              </w:rPr>
              <w:t>1000</w:t>
            </w:r>
            <w:r w:rsidRPr="00CC2FD8">
              <w:rPr>
                <w:rFonts w:ascii="宋体" w:hAnsi="宋体" w:cs="宋体"/>
                <w:sz w:val="21"/>
                <w:szCs w:val="21"/>
                <w:lang w:val="en-US" w:eastAsia="zh-CN" w:bidi="ar-SA"/>
              </w:rPr>
              <w:t>元</w:t>
            </w:r>
          </w:p>
        </w:tc>
      </w:tr>
    </w:tbl>
    <w:p w:rsidR="00D84685" w:rsidRDefault="00D84685" w:rsidP="00D84685">
      <w:pPr>
        <w:spacing w:before="120"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本基金的申购费用应在投资人申购</w:t>
      </w:r>
      <w:r>
        <w:rPr>
          <w:sz w:val="21"/>
          <w:szCs w:val="21"/>
          <w:lang w:val="en-US" w:eastAsia="zh-CN" w:bidi="ar-SA"/>
        </w:rPr>
        <w:t>A</w:t>
      </w:r>
      <w:r>
        <w:rPr>
          <w:rFonts w:ascii="宋体" w:hAnsi="宋体" w:cs="宋体"/>
          <w:sz w:val="21"/>
          <w:szCs w:val="21"/>
          <w:lang w:val="en-US" w:eastAsia="zh-CN" w:bidi="ar-SA"/>
        </w:rPr>
        <w:t>类基金份额时收取。投资人在一天之内如果有多笔申购，适用费率按单笔分别计算。</w:t>
      </w:r>
    </w:p>
    <w:p w:rsidR="00D84685" w:rsidRDefault="00D84685" w:rsidP="00D84685">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申购费用由申购</w:t>
      </w:r>
      <w:r>
        <w:rPr>
          <w:sz w:val="21"/>
          <w:szCs w:val="21"/>
          <w:lang w:val="en-US" w:eastAsia="zh-CN" w:bidi="ar-SA"/>
        </w:rPr>
        <w:t>A</w:t>
      </w:r>
      <w:r>
        <w:rPr>
          <w:rFonts w:ascii="宋体" w:hAnsi="宋体" w:cs="宋体"/>
          <w:sz w:val="21"/>
          <w:szCs w:val="21"/>
          <w:lang w:val="en-US" w:eastAsia="zh-CN" w:bidi="ar-SA"/>
        </w:rPr>
        <w:t>类基金份额的投资人承担，不列入基金财产，主要用于本基金的市场推广、销售、登记等各项费用。</w:t>
      </w:r>
    </w:p>
    <w:p w:rsidR="00D84685" w:rsidRDefault="00D84685" w:rsidP="00D84685">
      <w:pPr>
        <w:spacing w:line="360" w:lineRule="auto"/>
        <w:ind w:firstLine="420"/>
        <w:rPr>
          <w:rFonts w:eastAsia="Times New Roman"/>
          <w:sz w:val="21"/>
          <w:szCs w:val="21"/>
          <w:lang w:val="en-US" w:eastAsia="zh-CN" w:bidi="ar-SA"/>
        </w:rPr>
      </w:pPr>
      <w:r>
        <w:rPr>
          <w:sz w:val="21"/>
          <w:szCs w:val="21"/>
          <w:lang w:val="en-US" w:eastAsia="zh-CN" w:bidi="ar-SA"/>
        </w:rPr>
        <w:t>2</w:t>
      </w:r>
      <w:r>
        <w:rPr>
          <w:rFonts w:ascii="宋体" w:hAnsi="宋体" w:cs="宋体"/>
          <w:sz w:val="21"/>
          <w:szCs w:val="21"/>
          <w:lang w:val="en-US" w:eastAsia="zh-CN" w:bidi="ar-SA"/>
        </w:rPr>
        <w:t>、赎回费率</w:t>
      </w:r>
    </w:p>
    <w:p w:rsidR="00D84685" w:rsidRDefault="00D84685" w:rsidP="00D84685">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本基金的赎回费率如下表所示（</w:t>
      </w:r>
      <w:r>
        <w:rPr>
          <w:sz w:val="21"/>
          <w:szCs w:val="21"/>
          <w:lang w:val="en-US" w:eastAsia="zh-CN" w:bidi="ar-SA"/>
        </w:rPr>
        <w:t>A</w:t>
      </w:r>
      <w:r>
        <w:rPr>
          <w:rFonts w:ascii="宋体" w:hAnsi="宋体" w:cs="宋体"/>
          <w:sz w:val="21"/>
          <w:szCs w:val="21"/>
          <w:lang w:val="en-US" w:eastAsia="zh-CN" w:bidi="ar-SA"/>
        </w:rPr>
        <w:t>类和</w:t>
      </w:r>
      <w:r>
        <w:rPr>
          <w:sz w:val="21"/>
          <w:szCs w:val="21"/>
          <w:lang w:val="en-US" w:eastAsia="zh-CN" w:bidi="ar-SA"/>
        </w:rPr>
        <w:t>C</w:t>
      </w:r>
      <w:r>
        <w:rPr>
          <w:rFonts w:ascii="宋体" w:hAnsi="宋体" w:cs="宋体"/>
          <w:sz w:val="21"/>
          <w:szCs w:val="21"/>
          <w:lang w:val="en-US" w:eastAsia="zh-CN" w:bidi="ar-SA"/>
        </w:rPr>
        <w:t>类基金份额适用相同的赎回费率）：</w:t>
      </w:r>
    </w:p>
    <w:tbl>
      <w:tblPr>
        <w:tblW w:w="0" w:type="auto"/>
        <w:tblInd w:w="630"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3162"/>
        <w:gridCol w:w="3040"/>
      </w:tblGrid>
      <w:tr w:rsidR="00D84685" w:rsidRPr="00CC2FD8" w:rsidTr="00CC2FD8">
        <w:trPr>
          <w:trHeight w:val="461"/>
        </w:trPr>
        <w:tc>
          <w:tcPr>
            <w:tcW w:w="3162" w:type="dxa"/>
            <w:tcBorders>
              <w:bottom w:val="single" w:sz="6" w:space="0" w:color="auto"/>
              <w:right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rFonts w:ascii="宋体" w:hAnsi="宋体" w:cs="宋体"/>
                <w:b/>
                <w:bCs/>
                <w:sz w:val="21"/>
                <w:szCs w:val="21"/>
                <w:lang w:val="en-US" w:eastAsia="zh-CN" w:bidi="ar-SA"/>
              </w:rPr>
              <w:t>持有期限（</w:t>
            </w:r>
            <w:r w:rsidRPr="00CC2FD8">
              <w:rPr>
                <w:b/>
                <w:bCs/>
                <w:sz w:val="21"/>
                <w:szCs w:val="21"/>
                <w:lang w:val="en-US" w:eastAsia="zh-CN" w:bidi="ar-SA"/>
              </w:rPr>
              <w:t>T</w:t>
            </w:r>
            <w:r w:rsidRPr="00CC2FD8">
              <w:rPr>
                <w:rFonts w:ascii="宋体" w:hAnsi="宋体" w:cs="宋体"/>
                <w:b/>
                <w:bCs/>
                <w:sz w:val="21"/>
                <w:szCs w:val="21"/>
                <w:lang w:val="en-US" w:eastAsia="zh-CN" w:bidi="ar-SA"/>
              </w:rPr>
              <w:t>）</w:t>
            </w:r>
          </w:p>
        </w:tc>
        <w:tc>
          <w:tcPr>
            <w:tcW w:w="3040" w:type="dxa"/>
            <w:tcBorders>
              <w:left w:val="single" w:sz="6" w:space="0" w:color="auto"/>
              <w:bottom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rFonts w:ascii="宋体" w:hAnsi="宋体" w:cs="宋体"/>
                <w:b/>
                <w:bCs/>
                <w:sz w:val="21"/>
                <w:szCs w:val="21"/>
                <w:lang w:val="en-US" w:eastAsia="zh-CN" w:bidi="ar-SA"/>
              </w:rPr>
              <w:t>赎回费率</w:t>
            </w:r>
          </w:p>
        </w:tc>
      </w:tr>
      <w:tr w:rsidR="00D84685" w:rsidRPr="00CC2FD8" w:rsidTr="00CC2FD8">
        <w:trPr>
          <w:trHeight w:val="461"/>
        </w:trPr>
        <w:tc>
          <w:tcPr>
            <w:tcW w:w="3162" w:type="dxa"/>
            <w:tcBorders>
              <w:top w:val="single" w:sz="6" w:space="0" w:color="auto"/>
              <w:bottom w:val="single" w:sz="6" w:space="0" w:color="auto"/>
              <w:right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sz w:val="21"/>
                <w:szCs w:val="21"/>
                <w:lang w:val="en-US" w:eastAsia="zh-CN" w:bidi="ar-SA"/>
              </w:rPr>
              <w:t>T</w:t>
            </w:r>
            <w:r w:rsidRPr="00CC2FD8">
              <w:rPr>
                <w:rFonts w:ascii="宋体" w:hAnsi="宋体" w:cs="宋体"/>
                <w:sz w:val="21"/>
                <w:szCs w:val="21"/>
                <w:lang w:val="en-US" w:eastAsia="zh-CN" w:bidi="ar-SA"/>
              </w:rPr>
              <w:t>＜</w:t>
            </w:r>
            <w:r w:rsidRPr="00CC2FD8">
              <w:rPr>
                <w:sz w:val="21"/>
                <w:szCs w:val="21"/>
                <w:lang w:val="en-US" w:eastAsia="zh-CN" w:bidi="ar-SA"/>
              </w:rPr>
              <w:t>7</w:t>
            </w:r>
            <w:r w:rsidRPr="00CC2FD8">
              <w:rPr>
                <w:rFonts w:ascii="宋体" w:hAnsi="宋体" w:cs="宋体"/>
                <w:sz w:val="21"/>
                <w:szCs w:val="21"/>
                <w:lang w:val="en-US" w:eastAsia="zh-CN" w:bidi="ar-SA"/>
              </w:rPr>
              <w:t>天</w:t>
            </w:r>
          </w:p>
        </w:tc>
        <w:tc>
          <w:tcPr>
            <w:tcW w:w="3040" w:type="dxa"/>
            <w:tcBorders>
              <w:top w:val="single" w:sz="6" w:space="0" w:color="auto"/>
              <w:left w:val="single" w:sz="6" w:space="0" w:color="auto"/>
              <w:bottom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sz w:val="21"/>
                <w:szCs w:val="21"/>
                <w:lang w:val="en-US" w:eastAsia="zh-CN" w:bidi="ar-SA"/>
              </w:rPr>
              <w:t>1.50%</w:t>
            </w:r>
          </w:p>
        </w:tc>
      </w:tr>
      <w:tr w:rsidR="00D84685" w:rsidRPr="00CC2FD8" w:rsidTr="00CC2FD8">
        <w:trPr>
          <w:trHeight w:val="461"/>
        </w:trPr>
        <w:tc>
          <w:tcPr>
            <w:tcW w:w="3162" w:type="dxa"/>
            <w:tcBorders>
              <w:top w:val="single" w:sz="6" w:space="0" w:color="auto"/>
              <w:bottom w:val="single" w:sz="6" w:space="0" w:color="auto"/>
              <w:right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sz w:val="21"/>
                <w:szCs w:val="21"/>
                <w:lang w:val="en-US" w:eastAsia="zh-CN" w:bidi="ar-SA"/>
              </w:rPr>
              <w:t>7</w:t>
            </w:r>
            <w:r w:rsidRPr="00CC2FD8">
              <w:rPr>
                <w:rFonts w:ascii="宋体" w:hAnsi="宋体" w:cs="宋体"/>
                <w:sz w:val="21"/>
                <w:szCs w:val="21"/>
                <w:lang w:val="en-US" w:eastAsia="zh-CN" w:bidi="ar-SA"/>
              </w:rPr>
              <w:t>天</w:t>
            </w:r>
            <w:r w:rsidRPr="00CC2FD8">
              <w:rPr>
                <w:sz w:val="21"/>
                <w:szCs w:val="21"/>
                <w:lang w:val="en-US" w:eastAsia="zh-CN" w:bidi="ar-SA"/>
              </w:rPr>
              <w:t>≤T&lt;30</w:t>
            </w:r>
            <w:r w:rsidRPr="00CC2FD8">
              <w:rPr>
                <w:rFonts w:ascii="宋体" w:hAnsi="宋体" w:cs="宋体"/>
                <w:sz w:val="21"/>
                <w:szCs w:val="21"/>
                <w:lang w:val="en-US" w:eastAsia="zh-CN" w:bidi="ar-SA"/>
              </w:rPr>
              <w:t>天</w:t>
            </w:r>
          </w:p>
        </w:tc>
        <w:tc>
          <w:tcPr>
            <w:tcW w:w="3040" w:type="dxa"/>
            <w:tcBorders>
              <w:top w:val="single" w:sz="6" w:space="0" w:color="auto"/>
              <w:left w:val="single" w:sz="6" w:space="0" w:color="auto"/>
              <w:bottom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sz w:val="21"/>
                <w:szCs w:val="21"/>
                <w:lang w:val="en-US" w:eastAsia="zh-CN" w:bidi="ar-SA"/>
              </w:rPr>
              <w:t>0.50%</w:t>
            </w:r>
          </w:p>
        </w:tc>
      </w:tr>
      <w:tr w:rsidR="00D84685" w:rsidRPr="00CC2FD8" w:rsidTr="00CC2FD8">
        <w:trPr>
          <w:trHeight w:val="461"/>
        </w:trPr>
        <w:tc>
          <w:tcPr>
            <w:tcW w:w="3162" w:type="dxa"/>
            <w:tcBorders>
              <w:top w:val="single" w:sz="6" w:space="0" w:color="auto"/>
              <w:right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sz w:val="21"/>
                <w:szCs w:val="21"/>
                <w:lang w:val="en-US" w:eastAsia="zh-CN" w:bidi="ar-SA"/>
              </w:rPr>
              <w:t>T≥30</w:t>
            </w:r>
            <w:r w:rsidRPr="00CC2FD8">
              <w:rPr>
                <w:rFonts w:ascii="宋体" w:hAnsi="宋体" w:cs="宋体"/>
                <w:sz w:val="21"/>
                <w:szCs w:val="21"/>
                <w:lang w:val="en-US" w:eastAsia="zh-CN" w:bidi="ar-SA"/>
              </w:rPr>
              <w:t>天</w:t>
            </w:r>
          </w:p>
        </w:tc>
        <w:tc>
          <w:tcPr>
            <w:tcW w:w="3040" w:type="dxa"/>
            <w:tcBorders>
              <w:top w:val="single" w:sz="6" w:space="0" w:color="auto"/>
              <w:left w:val="single" w:sz="6" w:space="0" w:color="auto"/>
            </w:tcBorders>
            <w:tcMar>
              <w:top w:w="8" w:type="dxa"/>
              <w:left w:w="102" w:type="dxa"/>
              <w:bottom w:w="8" w:type="dxa"/>
              <w:right w:w="102" w:type="dxa"/>
            </w:tcMar>
            <w:vAlign w:val="center"/>
            <w:hideMark/>
          </w:tcPr>
          <w:p w:rsidR="00D84685" w:rsidRDefault="00D84685" w:rsidP="00CC2FD8">
            <w:pPr>
              <w:spacing w:line="360" w:lineRule="auto"/>
              <w:jc w:val="center"/>
              <w:rPr>
                <w:rFonts w:eastAsia="Times New Roman"/>
                <w:sz w:val="21"/>
                <w:szCs w:val="21"/>
                <w:lang w:val="en-US" w:eastAsia="zh-CN" w:bidi="ar-SA"/>
              </w:rPr>
            </w:pPr>
            <w:r w:rsidRPr="00CC2FD8">
              <w:rPr>
                <w:sz w:val="21"/>
                <w:szCs w:val="21"/>
                <w:lang w:val="en-US" w:eastAsia="zh-CN" w:bidi="ar-SA"/>
              </w:rPr>
              <w:t>0</w:t>
            </w:r>
          </w:p>
        </w:tc>
      </w:tr>
    </w:tbl>
    <w:p w:rsidR="00D84685" w:rsidRDefault="00D84685" w:rsidP="00D84685">
      <w:pPr>
        <w:spacing w:before="120"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赎回费用由赎回基金份额的基金份额持有人承担，在基金份额持有人赎回基金份额时收取。赎回费全额计入基金财产。</w:t>
      </w:r>
    </w:p>
    <w:p w:rsidR="00CC2FD8" w:rsidRDefault="00D84685">
      <w:pPr>
        <w:spacing w:line="360" w:lineRule="auto"/>
        <w:ind w:firstLine="420"/>
        <w:jc w:val="both"/>
        <w:rPr>
          <w:rFonts w:eastAsia="Times New Roman"/>
          <w:sz w:val="21"/>
          <w:szCs w:val="21"/>
          <w:lang w:val="en-US" w:eastAsia="zh-CN" w:bidi="ar-SA"/>
        </w:rPr>
      </w:pPr>
      <w:r>
        <w:rPr>
          <w:rFonts w:ascii="宋体" w:hAnsi="宋体" w:cs="宋体" w:hint="eastAsia"/>
          <w:sz w:val="21"/>
          <w:szCs w:val="21"/>
          <w:lang w:val="en-US" w:bidi="ar-SA"/>
        </w:rPr>
        <w:t>五</w:t>
      </w:r>
      <w:r w:rsidR="00CC2FD8">
        <w:rPr>
          <w:rFonts w:ascii="宋体" w:hAnsi="宋体" w:cs="宋体"/>
          <w:sz w:val="21"/>
          <w:szCs w:val="21"/>
          <w:lang w:val="en-US" w:eastAsia="zh-CN" w:bidi="ar-SA"/>
        </w:rPr>
        <w:t>、基金税收</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本基金运作过程中涉及的各纳税主体，其纳税义务按国家税收法律、法规执行。</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基金财产投资的相关税收，由基金份额持有人承担，基金管理人或者其他扣缴义务人按照国家有关税收征收的规定代扣代缴。</w:t>
      </w:r>
    </w:p>
    <w:p w:rsidR="00CC2FD8" w:rsidRDefault="00CC2FD8">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十四、对招募说明书更新部分的说明</w:t>
      </w:r>
    </w:p>
    <w:p w:rsidR="00CC2FD8" w:rsidRDefault="00CC2FD8">
      <w:pPr>
        <w:pStyle w:val="MsoNormal0"/>
        <w:spacing w:before="240" w:after="240" w:line="360" w:lineRule="auto"/>
        <w:rPr>
          <w:rFonts w:eastAsia="Times New Roman"/>
          <w:lang w:val="en-US" w:eastAsia="zh-CN" w:bidi="ar-SA"/>
        </w:rPr>
      </w:pPr>
      <w:r>
        <w:rPr>
          <w:rFonts w:ascii="宋体" w:hAnsi="宋体" w:cs="宋体"/>
          <w:b/>
          <w:bCs/>
          <w:lang w:bidi="ar-SA"/>
        </w:rPr>
        <w:t> </w:t>
      </w:r>
    </w:p>
    <w:p w:rsidR="00CC2FD8" w:rsidRDefault="00CC2FD8">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管理人根据《中华人民共和国证券投资基金法》、《公开募集证券投资基金运作管理办法》、《证券投资基金销售管理办法》、《公开募集证券投资基金信息披露管理办法》及其它有关法律法规的规定，结合本基金管理人对本基金实施的投资管理活动，对本基金管理人原公告的本基金招募说明书进行了更新，主要更新的内容如下：</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1、在“重要提示”部分明确了更新招募说明书内容的截止日期、有关财务数据的截止日期。</w:t>
      </w:r>
    </w:p>
    <w:p w:rsidR="00CC2FD8" w:rsidRDefault="00CC2FD8">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2、在“第三部分 基金管理人”部分内容进行了更新。</w:t>
      </w:r>
    </w:p>
    <w:p w:rsidR="0085190C" w:rsidRDefault="0085190C">
      <w:pPr>
        <w:spacing w:before="75" w:after="75" w:line="360" w:lineRule="auto"/>
        <w:ind w:firstLine="420"/>
        <w:rPr>
          <w:rFonts w:ascii="宋体" w:hAnsi="宋体" w:cs="宋体"/>
          <w:sz w:val="21"/>
          <w:szCs w:val="21"/>
          <w:lang w:val="en-US" w:eastAsia="zh-CN" w:bidi="ar-SA"/>
        </w:rPr>
      </w:pPr>
      <w:r>
        <w:rPr>
          <w:rFonts w:ascii="宋体" w:hAnsi="宋体" w:cs="宋体" w:hint="eastAsia"/>
          <w:sz w:val="21"/>
          <w:szCs w:val="21"/>
          <w:lang w:val="en-US" w:bidi="ar-SA"/>
        </w:rPr>
        <w:t>3</w:t>
      </w:r>
      <w:r>
        <w:rPr>
          <w:rFonts w:ascii="宋体" w:hAnsi="宋体" w:cs="宋体"/>
          <w:sz w:val="21"/>
          <w:szCs w:val="21"/>
          <w:lang w:val="en-US" w:eastAsia="zh-CN" w:bidi="ar-SA"/>
        </w:rPr>
        <w:t>、在“第</w:t>
      </w:r>
      <w:r>
        <w:rPr>
          <w:rFonts w:ascii="宋体" w:hAnsi="宋体" w:cs="宋体" w:hint="eastAsia"/>
          <w:sz w:val="21"/>
          <w:szCs w:val="21"/>
          <w:lang w:val="en-US" w:bidi="ar-SA"/>
        </w:rPr>
        <w:t>四</w:t>
      </w:r>
      <w:r>
        <w:rPr>
          <w:rFonts w:ascii="宋体" w:hAnsi="宋体" w:cs="宋体"/>
          <w:sz w:val="21"/>
          <w:szCs w:val="21"/>
          <w:lang w:val="en-US" w:eastAsia="zh-CN" w:bidi="ar-SA"/>
        </w:rPr>
        <w:t>部分 基金</w:t>
      </w:r>
      <w:r>
        <w:rPr>
          <w:rFonts w:ascii="宋体" w:hAnsi="宋体" w:cs="宋体" w:hint="eastAsia"/>
          <w:sz w:val="21"/>
          <w:szCs w:val="21"/>
          <w:lang w:val="en-US" w:bidi="ar-SA"/>
        </w:rPr>
        <w:t>托管</w:t>
      </w:r>
      <w:r>
        <w:rPr>
          <w:rFonts w:ascii="宋体" w:hAnsi="宋体" w:cs="宋体"/>
          <w:sz w:val="21"/>
          <w:szCs w:val="21"/>
          <w:lang w:val="en-US" w:eastAsia="zh-CN" w:bidi="ar-SA"/>
        </w:rPr>
        <w:t>人”部分内容进行了更新。</w:t>
      </w:r>
    </w:p>
    <w:p w:rsidR="00CC2FD8" w:rsidRDefault="0085190C">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4</w:t>
      </w:r>
      <w:r w:rsidR="00CC2FD8">
        <w:rPr>
          <w:rFonts w:ascii="宋体" w:hAnsi="宋体" w:cs="宋体"/>
          <w:sz w:val="21"/>
          <w:szCs w:val="21"/>
          <w:lang w:val="en-US" w:eastAsia="zh-CN" w:bidi="ar-SA"/>
        </w:rPr>
        <w:t>、在“第五部分 相关服务机构”部分内容进行了更新。</w:t>
      </w:r>
    </w:p>
    <w:p w:rsidR="00CC2FD8" w:rsidRDefault="0085190C">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5</w:t>
      </w:r>
      <w:r w:rsidR="00CC2FD8">
        <w:rPr>
          <w:rFonts w:ascii="宋体" w:hAnsi="宋体" w:cs="宋体"/>
          <w:sz w:val="21"/>
          <w:szCs w:val="21"/>
          <w:lang w:val="en-US" w:eastAsia="zh-CN" w:bidi="ar-SA"/>
        </w:rPr>
        <w:t>、在“第九部分 基金的投资”部分内容进行了更新。</w:t>
      </w:r>
    </w:p>
    <w:p w:rsidR="00CC2FD8" w:rsidRDefault="0085190C">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6</w:t>
      </w:r>
      <w:r w:rsidR="00CC2FD8">
        <w:rPr>
          <w:rFonts w:ascii="宋体" w:hAnsi="宋体" w:cs="宋体"/>
          <w:sz w:val="21"/>
          <w:szCs w:val="21"/>
          <w:lang w:val="en-US" w:eastAsia="zh-CN" w:bidi="ar-SA"/>
        </w:rPr>
        <w:t>、在“第十部分 基金的业绩”部分内容进行了更新。</w:t>
      </w:r>
    </w:p>
    <w:p w:rsidR="00CC2FD8" w:rsidRDefault="0085190C">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7</w:t>
      </w:r>
      <w:r w:rsidR="00CC2FD8">
        <w:rPr>
          <w:rFonts w:ascii="宋体" w:hAnsi="宋体" w:cs="宋体"/>
          <w:sz w:val="21"/>
          <w:szCs w:val="21"/>
          <w:lang w:val="en-US" w:eastAsia="zh-CN" w:bidi="ar-SA"/>
        </w:rPr>
        <w:t>、在“第二十二部分 其他应披露事项”部分内容进行了更新。</w:t>
      </w:r>
    </w:p>
    <w:p w:rsidR="00CC2FD8" w:rsidRDefault="00CC2FD8">
      <w:pPr>
        <w:pStyle w:val="MsoNormal0"/>
        <w:spacing w:before="240" w:after="240" w:line="360" w:lineRule="auto"/>
        <w:jc w:val="right"/>
        <w:rPr>
          <w:rFonts w:eastAsia="Times New Roman"/>
          <w:lang w:val="en-US" w:eastAsia="zh-CN" w:bidi="ar-SA"/>
        </w:rPr>
      </w:pPr>
      <w:r>
        <w:rPr>
          <w:rFonts w:eastAsia="Times New Roman"/>
          <w:lang w:bidi="ar-SA"/>
        </w:rPr>
        <w:t xml:space="preserve">     </w:t>
      </w:r>
      <w:r>
        <w:rPr>
          <w:rFonts w:eastAsia="Times New Roman"/>
          <w:b/>
          <w:bCs/>
          <w:lang w:bidi="ar-SA"/>
        </w:rPr>
        <w:t>  </w:t>
      </w:r>
      <w:r>
        <w:rPr>
          <w:rFonts w:ascii="宋体" w:hAnsi="宋体" w:cs="宋体"/>
          <w:b/>
          <w:bCs/>
          <w:lang w:val="en-US" w:eastAsia="zh-CN" w:bidi="ar-SA"/>
        </w:rPr>
        <w:t>鹏华基金管理有限公司</w:t>
      </w:r>
    </w:p>
    <w:p w:rsidR="00CC2FD8" w:rsidRDefault="00CC2FD8">
      <w:pPr>
        <w:pStyle w:val="MsoNormal0"/>
        <w:spacing w:before="240" w:after="240" w:line="360" w:lineRule="auto"/>
        <w:jc w:val="right"/>
        <w:rPr>
          <w:rFonts w:eastAsia="Times New Roman"/>
          <w:lang w:val="en-US" w:eastAsia="zh-CN" w:bidi="ar-SA"/>
        </w:rPr>
      </w:pPr>
      <w:r>
        <w:rPr>
          <w:rFonts w:ascii="宋体" w:hAnsi="宋体" w:cs="宋体"/>
          <w:b/>
          <w:bCs/>
          <w:shd w:val="clear" w:color="auto" w:fill="E4D2D4"/>
          <w:lang w:bidi="ar-SA"/>
        </w:rPr>
        <w:t>2020年05月</w:t>
      </w:r>
      <w:r>
        <w:rPr>
          <w:rFonts w:ascii="宋体" w:hAnsi="宋体" w:cs="宋体"/>
          <w:b/>
          <w:bCs/>
          <w:lang w:bidi="ar-SA"/>
        </w:rPr>
        <w:t xml:space="preserve"> </w:t>
      </w:r>
    </w:p>
    <w:p w:rsidR="00A77B3E" w:rsidRDefault="00A77B3E"/>
    <w:sectPr w:rsidR="00A77B3E">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473" w:rsidRDefault="00454473" w:rsidP="00D84685">
      <w:r>
        <w:separator/>
      </w:r>
    </w:p>
  </w:endnote>
  <w:endnote w:type="continuationSeparator" w:id="1">
    <w:p w:rsidR="00454473" w:rsidRDefault="00454473" w:rsidP="00D84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473" w:rsidRDefault="00454473" w:rsidP="00D84685">
      <w:r>
        <w:separator/>
      </w:r>
    </w:p>
  </w:footnote>
  <w:footnote w:type="continuationSeparator" w:id="1">
    <w:p w:rsidR="00454473" w:rsidRDefault="00454473" w:rsidP="00D846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3074"/>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07A9B"/>
    <w:rsid w:val="001C45E9"/>
    <w:rsid w:val="00454473"/>
    <w:rsid w:val="0085190C"/>
    <w:rsid w:val="00A77B3E"/>
    <w:rsid w:val="00CA2A55"/>
    <w:rsid w:val="00CC2FD8"/>
    <w:rsid w:val="00D8468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EF7B96"/>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MsoNormal0">
    <w:name w:val="MsoNormal"/>
    <w:basedOn w:val="a"/>
  </w:style>
  <w:style w:type="paragraph" w:customStyle="1" w:styleId="a3">
    <w:name w:val="a"/>
    <w:basedOn w:val="a"/>
  </w:style>
  <w:style w:type="paragraph" w:styleId="a4">
    <w:name w:val="header"/>
    <w:basedOn w:val="a"/>
    <w:link w:val="Char"/>
    <w:rsid w:val="00D8468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D84685"/>
    <w:rPr>
      <w:sz w:val="18"/>
      <w:szCs w:val="18"/>
    </w:rPr>
  </w:style>
  <w:style w:type="paragraph" w:styleId="a5">
    <w:name w:val="footer"/>
    <w:basedOn w:val="a"/>
    <w:link w:val="Char0"/>
    <w:rsid w:val="00D84685"/>
    <w:pPr>
      <w:tabs>
        <w:tab w:val="center" w:pos="4153"/>
        <w:tab w:val="right" w:pos="8306"/>
      </w:tabs>
      <w:snapToGrid w:val="0"/>
    </w:pPr>
    <w:rPr>
      <w:sz w:val="18"/>
      <w:szCs w:val="18"/>
    </w:rPr>
  </w:style>
  <w:style w:type="character" w:customStyle="1" w:styleId="Char0">
    <w:name w:val="页脚 Char"/>
    <w:link w:val="a5"/>
    <w:rsid w:val="00D8468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5074</Words>
  <Characters>28924</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cp:lastModifiedBy>JonMMx 2000</cp:lastModifiedBy>
  <cp:revision>2</cp:revision>
  <cp:lastPrinted>1601-01-01T00:00:00Z</cp:lastPrinted>
  <dcterms:created xsi:type="dcterms:W3CDTF">2020-05-14T16:02:00Z</dcterms:created>
  <dcterms:modified xsi:type="dcterms:W3CDTF">2020-05-14T16:02:00Z</dcterms:modified>
</cp:coreProperties>
</file>