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4A0B3A">
      <w:r>
        <w:rPr>
          <w:rFonts w:eastAsia="Times New Roman"/>
          <w:lang w:val="en-US" w:eastAsia="zh-CN"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信纸01" style="width:241.5pt;height:30pt">
            <v:imagedata r:id="rId7" o:title=""/>
          </v:shape>
        </w:pict>
      </w:r>
      <w:r>
        <w:rPr>
          <w:rFonts w:eastAsia="Times New Roman"/>
          <w:lang w:val="en-US" w:eastAsia="zh-CN" w:bidi="ar-SA"/>
        </w:rPr>
        <w:t xml:space="preserve"> </w:t>
      </w:r>
    </w:p>
    <w:p w:rsidR="004A0B3A" w:rsidRDefault="004A0B3A">
      <w:pPr>
        <w:spacing w:before="163" w:after="163"/>
        <w:ind w:firstLine="960"/>
        <w:jc w:val="center"/>
        <w:rPr>
          <w:rFonts w:eastAsia="Times New Roman"/>
          <w:sz w:val="52"/>
          <w:szCs w:val="52"/>
          <w:lang w:val="en-US" w:eastAsia="zh-CN" w:bidi="ar-SA"/>
        </w:rPr>
      </w:pPr>
      <w:r>
        <w:rPr>
          <w:sz w:val="52"/>
          <w:szCs w:val="52"/>
          <w:lang w:val="en-US" w:eastAsia="zh-CN" w:bidi="ar-SA"/>
        </w:rPr>
        <w:t> </w:t>
      </w:r>
    </w:p>
    <w:p w:rsidR="004A0B3A" w:rsidRDefault="004A0B3A">
      <w:pPr>
        <w:spacing w:before="163" w:after="163"/>
        <w:ind w:firstLine="960"/>
        <w:jc w:val="center"/>
        <w:rPr>
          <w:rFonts w:eastAsia="Times New Roman"/>
          <w:sz w:val="52"/>
          <w:szCs w:val="52"/>
          <w:lang w:val="en-US" w:eastAsia="zh-CN" w:bidi="ar-SA"/>
        </w:rPr>
      </w:pPr>
      <w:r>
        <w:rPr>
          <w:sz w:val="52"/>
          <w:szCs w:val="52"/>
          <w:lang w:val="en-US" w:eastAsia="zh-CN" w:bidi="ar-SA"/>
        </w:rPr>
        <w:t> </w:t>
      </w:r>
    </w:p>
    <w:p w:rsidR="004A0B3A" w:rsidRDefault="004A0B3A">
      <w:pPr>
        <w:spacing w:before="163" w:after="163"/>
        <w:jc w:val="center"/>
        <w:rPr>
          <w:rFonts w:eastAsia="Times New Roman"/>
          <w:sz w:val="52"/>
          <w:szCs w:val="52"/>
          <w:lang w:val="en-US" w:eastAsia="zh-CN" w:bidi="ar-SA"/>
        </w:rPr>
      </w:pPr>
      <w:r>
        <w:rPr>
          <w:rFonts w:ascii="华文行楷" w:eastAsia="华文行楷" w:hAnsi="华文行楷" w:cs="华文行楷"/>
          <w:sz w:val="52"/>
          <w:szCs w:val="52"/>
          <w:lang w:val="en-US" w:eastAsia="zh-CN" w:bidi="ar-SA"/>
        </w:rPr>
        <w:t>鹏华中证新能源指数分级</w:t>
      </w:r>
    </w:p>
    <w:p w:rsidR="004A0B3A" w:rsidRDefault="004A0B3A">
      <w:pPr>
        <w:spacing w:before="163" w:after="163"/>
        <w:jc w:val="center"/>
        <w:rPr>
          <w:rFonts w:eastAsia="Times New Roman"/>
          <w:sz w:val="52"/>
          <w:szCs w:val="52"/>
          <w:lang w:val="en-US" w:eastAsia="zh-CN" w:bidi="ar-SA"/>
        </w:rPr>
      </w:pPr>
      <w:r>
        <w:rPr>
          <w:rFonts w:ascii="华文行楷" w:eastAsia="华文行楷" w:hAnsi="华文行楷" w:cs="华文行楷"/>
          <w:sz w:val="52"/>
          <w:szCs w:val="52"/>
          <w:lang w:val="en-US" w:eastAsia="zh-CN" w:bidi="ar-SA"/>
        </w:rPr>
        <w:t>证券投资基金</w:t>
      </w:r>
    </w:p>
    <w:p w:rsidR="004A0B3A" w:rsidRDefault="004A0B3A">
      <w:pPr>
        <w:spacing w:before="163" w:after="163"/>
        <w:jc w:val="center"/>
        <w:rPr>
          <w:rFonts w:eastAsia="Times New Roman"/>
          <w:sz w:val="52"/>
          <w:szCs w:val="52"/>
          <w:lang w:val="en-US" w:eastAsia="zh-CN" w:bidi="ar-SA"/>
        </w:rPr>
      </w:pPr>
      <w:r>
        <w:rPr>
          <w:rFonts w:ascii="华文行楷" w:eastAsia="华文行楷" w:hAnsi="华文行楷" w:cs="华文行楷"/>
          <w:sz w:val="52"/>
          <w:szCs w:val="52"/>
          <w:lang w:val="en-US" w:eastAsia="zh-CN" w:bidi="ar-SA"/>
        </w:rPr>
        <w:t>更新的招募说明书摘要</w:t>
      </w:r>
    </w:p>
    <w:p w:rsidR="004A0B3A" w:rsidRDefault="004A0B3A">
      <w:pPr>
        <w:jc w:val="center"/>
        <w:rPr>
          <w:rFonts w:eastAsia="Times New Roman"/>
          <w:sz w:val="36"/>
          <w:szCs w:val="36"/>
          <w:lang w:val="en-US" w:eastAsia="zh-CN" w:bidi="ar-SA"/>
        </w:rPr>
      </w:pPr>
      <w:r>
        <w:rPr>
          <w:sz w:val="36"/>
          <w:szCs w:val="36"/>
          <w:lang w:val="en-US" w:eastAsia="zh-CN" w:bidi="ar-SA"/>
        </w:rPr>
        <w:t> </w:t>
      </w:r>
    </w:p>
    <w:p w:rsidR="004A0B3A" w:rsidRDefault="004A0B3A">
      <w:pPr>
        <w:jc w:val="center"/>
        <w:rPr>
          <w:rFonts w:eastAsia="Times New Roman"/>
          <w:sz w:val="36"/>
          <w:szCs w:val="36"/>
          <w:lang w:val="en-US" w:eastAsia="zh-CN" w:bidi="ar-SA"/>
        </w:rPr>
      </w:pPr>
      <w:r>
        <w:rPr>
          <w:sz w:val="36"/>
          <w:szCs w:val="36"/>
          <w:lang w:val="en-US" w:eastAsia="zh-CN" w:bidi="ar-SA"/>
        </w:rPr>
        <w:t> </w:t>
      </w:r>
    </w:p>
    <w:p w:rsidR="004A0B3A" w:rsidRDefault="004A0B3A">
      <w:pPr>
        <w:jc w:val="center"/>
        <w:rPr>
          <w:rFonts w:eastAsia="Times New Roman"/>
          <w:sz w:val="36"/>
          <w:szCs w:val="36"/>
          <w:lang w:val="en-US" w:eastAsia="zh-CN" w:bidi="ar-SA"/>
        </w:rPr>
      </w:pPr>
      <w:r>
        <w:rPr>
          <w:sz w:val="36"/>
          <w:szCs w:val="36"/>
          <w:lang w:val="en-US" w:eastAsia="zh-CN" w:bidi="ar-SA"/>
        </w:rPr>
        <w:t> </w:t>
      </w:r>
    </w:p>
    <w:p w:rsidR="004A0B3A" w:rsidRDefault="004A0B3A">
      <w:pPr>
        <w:jc w:val="center"/>
        <w:rPr>
          <w:rFonts w:eastAsia="Times New Roman"/>
          <w:sz w:val="36"/>
          <w:szCs w:val="36"/>
          <w:lang w:val="en-US" w:eastAsia="zh-CN" w:bidi="ar-SA"/>
        </w:rPr>
      </w:pPr>
      <w:r>
        <w:rPr>
          <w:sz w:val="36"/>
          <w:szCs w:val="36"/>
          <w:lang w:val="en-US" w:eastAsia="zh-CN" w:bidi="ar-SA"/>
        </w:rPr>
        <w:t> </w:t>
      </w:r>
    </w:p>
    <w:p w:rsidR="004A0B3A" w:rsidRDefault="004A0B3A">
      <w:pPr>
        <w:jc w:val="center"/>
        <w:rPr>
          <w:rFonts w:eastAsia="Times New Roman"/>
          <w:sz w:val="36"/>
          <w:szCs w:val="36"/>
          <w:lang w:val="en-US" w:eastAsia="zh-CN" w:bidi="ar-SA"/>
        </w:rPr>
      </w:pPr>
      <w:r>
        <w:rPr>
          <w:sz w:val="36"/>
          <w:szCs w:val="36"/>
          <w:lang w:val="en-US" w:eastAsia="zh-CN" w:bidi="ar-SA"/>
        </w:rPr>
        <w:t> </w:t>
      </w:r>
    </w:p>
    <w:p w:rsidR="004A0B3A" w:rsidRDefault="004A0B3A">
      <w:pPr>
        <w:spacing w:line="360" w:lineRule="auto"/>
        <w:jc w:val="center"/>
        <w:rPr>
          <w:rFonts w:eastAsia="Times New Roman"/>
          <w:sz w:val="36"/>
          <w:szCs w:val="36"/>
          <w:lang w:val="en-US" w:eastAsia="zh-CN" w:bidi="ar-SA"/>
        </w:rPr>
      </w:pPr>
      <w:r>
        <w:rPr>
          <w:rFonts w:ascii="华文行楷" w:eastAsia="华文行楷" w:hAnsi="华文行楷" w:cs="华文行楷"/>
          <w:sz w:val="36"/>
          <w:szCs w:val="36"/>
          <w:lang w:val="en-US" w:eastAsia="zh-CN" w:bidi="ar-SA"/>
        </w:rPr>
        <w:t>基金管理人：鹏华基金管理有限公司</w:t>
      </w:r>
    </w:p>
    <w:p w:rsidR="004A0B3A" w:rsidRDefault="004A0B3A">
      <w:pPr>
        <w:spacing w:line="360" w:lineRule="auto"/>
        <w:jc w:val="center"/>
        <w:rPr>
          <w:rFonts w:eastAsia="Times New Roman"/>
          <w:sz w:val="36"/>
          <w:szCs w:val="36"/>
          <w:lang w:val="en-US" w:eastAsia="zh-CN" w:bidi="ar-SA"/>
        </w:rPr>
      </w:pPr>
      <w:r>
        <w:rPr>
          <w:rFonts w:ascii="华文行楷" w:eastAsia="华文行楷" w:hAnsi="华文行楷" w:cs="华文行楷"/>
          <w:sz w:val="36"/>
          <w:szCs w:val="36"/>
          <w:lang w:val="en-US" w:eastAsia="zh-CN" w:bidi="ar-SA"/>
        </w:rPr>
        <w:t>基金托管人：招商银行股份有限公司</w:t>
      </w:r>
    </w:p>
    <w:p w:rsidR="004A0B3A" w:rsidRDefault="004A0B3A">
      <w:pPr>
        <w:spacing w:line="360" w:lineRule="auto"/>
        <w:jc w:val="center"/>
        <w:rPr>
          <w:rFonts w:eastAsia="Times New Roman"/>
          <w:sz w:val="36"/>
          <w:szCs w:val="36"/>
          <w:lang w:val="en-US" w:eastAsia="zh-CN" w:bidi="ar-SA"/>
        </w:rPr>
      </w:pPr>
      <w:r>
        <w:rPr>
          <w:rFonts w:ascii="华文行楷" w:eastAsia="华文行楷" w:hAnsi="华文行楷" w:cs="华文行楷"/>
          <w:sz w:val="36"/>
          <w:szCs w:val="36"/>
          <w:lang w:val="en-US" w:eastAsia="zh-CN" w:bidi="ar-SA"/>
        </w:rPr>
        <w:t>2020年05月</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w:t>
      </w:r>
    </w:p>
    <w:p w:rsidR="004A0B3A" w:rsidRDefault="004A0B3A">
      <w:pPr>
        <w:spacing w:line="360" w:lineRule="auto"/>
        <w:ind w:firstLine="420"/>
        <w:rPr>
          <w:rFonts w:eastAsia="Times New Roman"/>
          <w:sz w:val="21"/>
          <w:szCs w:val="21"/>
          <w:lang w:val="en-US" w:eastAsia="zh-CN" w:bidi="ar-SA"/>
        </w:rPr>
      </w:pPr>
      <w:r>
        <w:rPr>
          <w:rFonts w:eastAsia="Times New Roman"/>
          <w:sz w:val="21"/>
          <w:szCs w:val="21"/>
          <w:lang w:val="en-US" w:eastAsia="zh-CN" w:bidi="ar-SA"/>
        </w:rPr>
        <w:t> </w:t>
      </w:r>
    </w:p>
    <w:p w:rsidR="004A0B3A" w:rsidRDefault="004A0B3A">
      <w:pPr>
        <w:spacing w:line="360" w:lineRule="auto"/>
        <w:ind w:firstLine="420"/>
        <w:rPr>
          <w:rFonts w:eastAsia="Times New Roman"/>
          <w:sz w:val="21"/>
          <w:szCs w:val="21"/>
          <w:lang w:val="en-US" w:eastAsia="zh-CN" w:bidi="ar-SA"/>
        </w:rPr>
      </w:pPr>
      <w:r>
        <w:rPr>
          <w:rFonts w:eastAsia="Times New Roman"/>
          <w:sz w:val="21"/>
          <w:szCs w:val="21"/>
          <w:lang w:val="en-US" w:eastAsia="zh-CN" w:bidi="ar-SA"/>
        </w:rPr>
        <w:t> </w:t>
      </w:r>
    </w:p>
    <w:p w:rsidR="004A0B3A" w:rsidRDefault="004A0B3A">
      <w:pPr>
        <w:spacing w:line="360" w:lineRule="auto"/>
        <w:ind w:firstLine="420"/>
        <w:rPr>
          <w:rFonts w:eastAsia="Times New Roman"/>
          <w:sz w:val="21"/>
          <w:szCs w:val="21"/>
          <w:lang w:val="en-US" w:eastAsia="zh-CN" w:bidi="ar-SA"/>
        </w:rPr>
      </w:pPr>
      <w:r>
        <w:rPr>
          <w:rFonts w:eastAsia="Times New Roman"/>
          <w:sz w:val="21"/>
          <w:szCs w:val="21"/>
          <w:lang w:val="en-US" w:eastAsia="zh-CN" w:bidi="ar-SA"/>
        </w:rPr>
        <w:t> </w:t>
      </w:r>
    </w:p>
    <w:p w:rsidR="004A0B3A" w:rsidRDefault="004A0B3A">
      <w:pPr>
        <w:rPr>
          <w:rFonts w:eastAsia="Times New Roman"/>
          <w:lang w:val="en-US" w:eastAsia="zh-CN" w:bidi="ar-SA"/>
        </w:rPr>
      </w:pPr>
      <w:r>
        <w:rPr>
          <w:rFonts w:eastAsia="Times New Roman"/>
          <w:lang w:val="en-US" w:eastAsia="zh-CN" w:bidi="ar-SA"/>
        </w:rPr>
        <w:t> </w:t>
      </w:r>
    </w:p>
    <w:p w:rsidR="00E372AC" w:rsidRDefault="00E372AC">
      <w:pPr>
        <w:spacing w:before="326" w:after="326" w:line="360" w:lineRule="auto"/>
        <w:jc w:val="center"/>
        <w:rPr>
          <w:rFonts w:ascii="宋体" w:hAnsi="宋体" w:cs="宋体"/>
          <w:b/>
          <w:bCs/>
          <w:sz w:val="28"/>
          <w:szCs w:val="28"/>
          <w:lang w:val="en-US" w:eastAsia="zh-CN" w:bidi="ar-SA"/>
        </w:rPr>
      </w:pPr>
    </w:p>
    <w:p w:rsidR="00E372AC" w:rsidRDefault="00E372AC">
      <w:pPr>
        <w:spacing w:before="326" w:after="326" w:line="360" w:lineRule="auto"/>
        <w:jc w:val="center"/>
        <w:rPr>
          <w:rFonts w:ascii="宋体" w:hAnsi="宋体" w:cs="宋体"/>
          <w:b/>
          <w:bCs/>
          <w:sz w:val="28"/>
          <w:szCs w:val="28"/>
          <w:lang w:val="en-US" w:eastAsia="zh-CN" w:bidi="ar-SA"/>
        </w:rPr>
      </w:pPr>
    </w:p>
    <w:p w:rsidR="004A0B3A" w:rsidRDefault="004A0B3A">
      <w:pPr>
        <w:spacing w:before="326" w:after="326" w:line="360" w:lineRule="auto"/>
        <w:jc w:val="center"/>
        <w:rPr>
          <w:rFonts w:eastAsia="Times New Roman"/>
          <w:sz w:val="28"/>
          <w:szCs w:val="28"/>
          <w:lang w:val="en-US" w:eastAsia="zh-CN" w:bidi="ar-SA"/>
        </w:rPr>
      </w:pPr>
      <w:r>
        <w:rPr>
          <w:rFonts w:ascii="宋体" w:hAnsi="宋体" w:cs="宋体"/>
          <w:b/>
          <w:bCs/>
          <w:sz w:val="28"/>
          <w:szCs w:val="28"/>
          <w:lang w:val="en-US" w:eastAsia="zh-CN" w:bidi="ar-SA"/>
        </w:rPr>
        <w:lastRenderedPageBreak/>
        <w:t>重要提示</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经2015年4月29日中国证券监督管理委员会下发的《关于核准鹏华中证新能源指数分级证券投资基金募集的批复》（证监许可〔2015〕768号文）注册，进行募集。根据相关法律法规，本基金基金合同已于2015年5月29日正式生效，基金管理人于该日起正式开始对基金财产进行运作管理。</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管理人保证本招募说明书的内容真实、准确、完整。本招募说明书经中国证监会注册，但中国证监会对本基金募集的注册，并不表明其对本基金的价值和收益作出实质性判断或保证，也不表明投资于本基金没有风险。中国证监会不对基金的投资价值和市场前景等作出实质性判断或保证。</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投资于证券市场，基金净值会因为证券市场波动等因素产生波动，投资者在投资本基金前，应全面了解本基金的产品特性，充分考虑自身的风险承受能力，理性判断市场，并承担基金投资中出现的各类风险，包括但不限于：市场风险、管理风险、操作风险、流动性风险、信用风险、本基金特有风险（包括作为指数基金的风险、作为上市基金的风险和作为分级基金的风险）及其他风险，等等。</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属于股票型基金，其预期的风险与收益高于混合型基金、债券型基金与货币市场基金，为证券投资基金中较高风险、较高预期收益的品种。同时本基金为指数基金，通过跟踪标的指数表现，具有与标的指数以及标的指数所代表的公司相似的风险收益特征。</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从本基金所分拆的两类基金份额来看，鹏华新能源A份额为稳健收益类份额，具有低风险且预期收益相对较低的特征；鹏华新能源B份额为积极收益类份额，具有高风险且预期收益相对较高的特征。</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基金的过往业绩并不预示其未来表现，基金管理人管理的其他基金的业绩并不构成对本基金表现的保证。</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管理人依照恪尽职守、诚实信用、谨慎勤勉的原则管理和运用基金财产，但不保证基金一定盈利，也不保证最低收益。基金管理人提醒投资人基金投资的“买者自负”原则，在投资人作出投资决策后，基金运营状况与基金净值变化引致的投资风险，由投资人自行承担。投资有风险，投资人在投资本基金前应认真阅读本基金的招募说明书、基金合同、基金产品资料概要等信息披露文件，自主判断基金的投资价值，自主做出投资决策，自行承担投资风险。</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基金合同约定的基金产品资料概要编制、披露与更新要求，自《信息披露办法》实施之日起一年后开始执行。</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本招募说明书所载内容截止日为</w:t>
      </w:r>
      <w:r>
        <w:rPr>
          <w:rFonts w:ascii="Calibri" w:eastAsia="Calibri" w:hAnsi="Calibri" w:cs="Calibri"/>
          <w:sz w:val="21"/>
          <w:szCs w:val="21"/>
          <w:lang w:val="en-US" w:eastAsia="zh-CN" w:bidi="ar-SA"/>
        </w:rPr>
        <w:t>2020年04月15日</w:t>
      </w:r>
      <w:r>
        <w:rPr>
          <w:rFonts w:ascii="宋体" w:hAnsi="宋体" w:cs="宋体"/>
          <w:sz w:val="21"/>
          <w:szCs w:val="21"/>
          <w:lang w:val="en-US" w:eastAsia="zh-CN" w:bidi="ar-SA"/>
        </w:rPr>
        <w:t>，有关财务数据和净值表现截止日为</w:t>
      </w:r>
      <w:r>
        <w:rPr>
          <w:rFonts w:ascii="Calibri" w:eastAsia="Calibri" w:hAnsi="Calibri" w:cs="Calibri"/>
          <w:sz w:val="21"/>
          <w:szCs w:val="21"/>
          <w:lang w:val="en-US" w:eastAsia="zh-CN" w:bidi="ar-SA"/>
        </w:rPr>
        <w:t>2019年12月31日 (</w:t>
      </w:r>
      <w:r>
        <w:rPr>
          <w:rFonts w:ascii="宋体" w:hAnsi="宋体" w:cs="宋体"/>
          <w:sz w:val="21"/>
          <w:szCs w:val="21"/>
          <w:lang w:val="en-US" w:eastAsia="zh-CN" w:bidi="ar-SA"/>
        </w:rPr>
        <w:t>未经审计</w:t>
      </w:r>
      <w:r>
        <w:rPr>
          <w:rFonts w:ascii="Calibri" w:eastAsia="Calibri" w:hAnsi="Calibri" w:cs="Calibri"/>
          <w:sz w:val="21"/>
          <w:szCs w:val="21"/>
          <w:lang w:val="en-US" w:eastAsia="zh-CN" w:bidi="ar-SA"/>
        </w:rPr>
        <w:t>)</w:t>
      </w:r>
      <w:r>
        <w:rPr>
          <w:rFonts w:ascii="宋体" w:hAnsi="宋体" w:cs="宋体"/>
          <w:sz w:val="21"/>
          <w:szCs w:val="21"/>
          <w:lang w:val="en-US" w:eastAsia="zh-CN" w:bidi="ar-SA"/>
        </w:rPr>
        <w:t>。</w:t>
      </w:r>
    </w:p>
    <w:p w:rsidR="004A0B3A" w:rsidRDefault="004A0B3A">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一、基金管理人</w:t>
      </w:r>
    </w:p>
    <w:p w:rsidR="004A0B3A" w:rsidRDefault="004A0B3A">
      <w:pPr>
        <w:spacing w:line="360" w:lineRule="auto"/>
        <w:ind w:firstLine="408"/>
        <w:jc w:val="both"/>
        <w:rPr>
          <w:rFonts w:eastAsia="Times New Roman"/>
          <w:sz w:val="21"/>
          <w:szCs w:val="21"/>
          <w:lang w:val="en-US" w:eastAsia="zh-CN" w:bidi="ar-SA"/>
        </w:rPr>
      </w:pPr>
      <w:r>
        <w:rPr>
          <w:rFonts w:ascii="宋体" w:hAnsi="宋体" w:cs="宋体"/>
          <w:b/>
          <w:bCs/>
          <w:sz w:val="21"/>
          <w:szCs w:val="21"/>
          <w:lang w:val="en-US" w:eastAsia="zh-CN" w:bidi="ar-SA"/>
        </w:rPr>
        <w:t>（一）基金管理人概况</w:t>
      </w:r>
    </w:p>
    <w:p w:rsidR="004A0B3A" w:rsidRDefault="004A0B3A">
      <w:pPr>
        <w:spacing w:line="360" w:lineRule="auto"/>
        <w:ind w:firstLine="420"/>
        <w:jc w:val="both"/>
        <w:rPr>
          <w:rFonts w:eastAsia="Times New Roman"/>
          <w:sz w:val="21"/>
          <w:szCs w:val="21"/>
          <w:lang w:val="en-US" w:eastAsia="zh-CN" w:bidi="ar-SA"/>
        </w:rPr>
      </w:pPr>
      <w:r>
        <w:rPr>
          <w:sz w:val="21"/>
          <w:szCs w:val="21"/>
          <w:lang w:val="en-US" w:eastAsia="zh-CN" w:bidi="ar-SA"/>
        </w:rPr>
        <w:t>1</w:t>
      </w:r>
      <w:r>
        <w:rPr>
          <w:rFonts w:ascii="宋体" w:hAnsi="宋体" w:cs="宋体"/>
          <w:sz w:val="21"/>
          <w:szCs w:val="21"/>
          <w:lang w:val="en-US" w:eastAsia="zh-CN" w:bidi="ar-SA"/>
        </w:rPr>
        <w:t>、名称：鹏华基金管理有限公司</w:t>
      </w:r>
    </w:p>
    <w:p w:rsidR="004A0B3A" w:rsidRDefault="004A0B3A">
      <w:pPr>
        <w:spacing w:line="360" w:lineRule="auto"/>
        <w:ind w:firstLine="420"/>
        <w:jc w:val="both"/>
        <w:rPr>
          <w:rFonts w:eastAsia="Times New Roman"/>
          <w:sz w:val="21"/>
          <w:szCs w:val="21"/>
          <w:lang w:val="en-US" w:eastAsia="zh-CN" w:bidi="ar-SA"/>
        </w:rPr>
      </w:pPr>
      <w:r>
        <w:rPr>
          <w:sz w:val="21"/>
          <w:szCs w:val="21"/>
          <w:lang w:val="en-US" w:eastAsia="zh-CN" w:bidi="ar-SA"/>
        </w:rPr>
        <w:t>2</w:t>
      </w:r>
      <w:r>
        <w:rPr>
          <w:rFonts w:ascii="宋体" w:hAnsi="宋体" w:cs="宋体"/>
          <w:sz w:val="21"/>
          <w:szCs w:val="21"/>
          <w:lang w:val="en-US" w:eastAsia="zh-CN" w:bidi="ar-SA"/>
        </w:rPr>
        <w:t>、住所：深圳市福田区福华三路</w:t>
      </w:r>
      <w:r>
        <w:rPr>
          <w:sz w:val="21"/>
          <w:szCs w:val="21"/>
          <w:lang w:val="en-US" w:eastAsia="zh-CN" w:bidi="ar-SA"/>
        </w:rPr>
        <w:t>168</w:t>
      </w:r>
      <w:r>
        <w:rPr>
          <w:rFonts w:ascii="宋体" w:hAnsi="宋体" w:cs="宋体"/>
          <w:sz w:val="21"/>
          <w:szCs w:val="21"/>
          <w:lang w:val="en-US" w:eastAsia="zh-CN" w:bidi="ar-SA"/>
        </w:rPr>
        <w:t>号深圳国际商会中心</w:t>
      </w:r>
      <w:r>
        <w:rPr>
          <w:sz w:val="21"/>
          <w:szCs w:val="21"/>
          <w:lang w:val="en-US" w:eastAsia="zh-CN" w:bidi="ar-SA"/>
        </w:rPr>
        <w:t>43</w:t>
      </w:r>
      <w:r>
        <w:rPr>
          <w:rFonts w:ascii="宋体" w:hAnsi="宋体" w:cs="宋体"/>
          <w:sz w:val="21"/>
          <w:szCs w:val="21"/>
          <w:lang w:val="en-US" w:eastAsia="zh-CN" w:bidi="ar-SA"/>
        </w:rPr>
        <w:t>层</w:t>
      </w:r>
    </w:p>
    <w:p w:rsidR="004A0B3A" w:rsidRDefault="004A0B3A">
      <w:pPr>
        <w:spacing w:line="360" w:lineRule="auto"/>
        <w:ind w:firstLine="420"/>
        <w:jc w:val="both"/>
        <w:rPr>
          <w:rFonts w:eastAsia="Times New Roman"/>
          <w:sz w:val="21"/>
          <w:szCs w:val="21"/>
          <w:lang w:val="en-US" w:eastAsia="zh-CN" w:bidi="ar-SA"/>
        </w:rPr>
      </w:pPr>
      <w:r>
        <w:rPr>
          <w:sz w:val="21"/>
          <w:szCs w:val="21"/>
          <w:lang w:val="en-US" w:eastAsia="zh-CN" w:bidi="ar-SA"/>
        </w:rPr>
        <w:t>3</w:t>
      </w:r>
      <w:r>
        <w:rPr>
          <w:rFonts w:ascii="宋体" w:hAnsi="宋体" w:cs="宋体"/>
          <w:sz w:val="21"/>
          <w:szCs w:val="21"/>
          <w:lang w:val="en-US" w:eastAsia="zh-CN" w:bidi="ar-SA"/>
        </w:rPr>
        <w:t>、设立日期：</w:t>
      </w:r>
      <w:r>
        <w:rPr>
          <w:sz w:val="21"/>
          <w:szCs w:val="21"/>
          <w:lang w:val="en-US" w:eastAsia="zh-CN" w:bidi="ar-SA"/>
        </w:rPr>
        <w:t>1998</w:t>
      </w:r>
      <w:r>
        <w:rPr>
          <w:rFonts w:ascii="宋体" w:hAnsi="宋体" w:cs="宋体"/>
          <w:sz w:val="21"/>
          <w:szCs w:val="21"/>
          <w:lang w:val="en-US" w:eastAsia="zh-CN" w:bidi="ar-SA"/>
        </w:rPr>
        <w:t>年</w:t>
      </w:r>
      <w:r>
        <w:rPr>
          <w:sz w:val="21"/>
          <w:szCs w:val="21"/>
          <w:lang w:val="en-US" w:eastAsia="zh-CN" w:bidi="ar-SA"/>
        </w:rPr>
        <w:t>12</w:t>
      </w:r>
      <w:r>
        <w:rPr>
          <w:rFonts w:ascii="宋体" w:hAnsi="宋体" w:cs="宋体"/>
          <w:sz w:val="21"/>
          <w:szCs w:val="21"/>
          <w:lang w:val="en-US" w:eastAsia="zh-CN" w:bidi="ar-SA"/>
        </w:rPr>
        <w:t>月</w:t>
      </w:r>
      <w:r>
        <w:rPr>
          <w:sz w:val="21"/>
          <w:szCs w:val="21"/>
          <w:lang w:val="en-US" w:eastAsia="zh-CN" w:bidi="ar-SA"/>
        </w:rPr>
        <w:t>22</w:t>
      </w:r>
      <w:r>
        <w:rPr>
          <w:rFonts w:ascii="宋体" w:hAnsi="宋体" w:cs="宋体"/>
          <w:sz w:val="21"/>
          <w:szCs w:val="21"/>
          <w:lang w:val="en-US" w:eastAsia="zh-CN" w:bidi="ar-SA"/>
        </w:rPr>
        <w:t>日</w:t>
      </w:r>
    </w:p>
    <w:p w:rsidR="004A0B3A" w:rsidRDefault="004A0B3A">
      <w:pPr>
        <w:spacing w:line="360" w:lineRule="auto"/>
        <w:ind w:firstLine="420"/>
        <w:jc w:val="both"/>
        <w:rPr>
          <w:rFonts w:eastAsia="Times New Roman"/>
          <w:sz w:val="21"/>
          <w:szCs w:val="21"/>
          <w:lang w:val="en-US" w:eastAsia="zh-CN" w:bidi="ar-SA"/>
        </w:rPr>
      </w:pPr>
      <w:r>
        <w:rPr>
          <w:sz w:val="21"/>
          <w:szCs w:val="21"/>
          <w:lang w:val="en-US" w:eastAsia="zh-CN" w:bidi="ar-SA"/>
        </w:rPr>
        <w:t>4</w:t>
      </w:r>
      <w:r>
        <w:rPr>
          <w:rFonts w:ascii="宋体" w:hAnsi="宋体" w:cs="宋体"/>
          <w:sz w:val="21"/>
          <w:szCs w:val="21"/>
          <w:lang w:val="en-US" w:eastAsia="zh-CN" w:bidi="ar-SA"/>
        </w:rPr>
        <w:t>、法定代表人：何如</w:t>
      </w:r>
    </w:p>
    <w:p w:rsidR="004A0B3A" w:rsidRDefault="004A0B3A">
      <w:pPr>
        <w:spacing w:line="360" w:lineRule="auto"/>
        <w:ind w:firstLine="420"/>
        <w:jc w:val="both"/>
        <w:rPr>
          <w:rFonts w:eastAsia="Times New Roman"/>
          <w:sz w:val="21"/>
          <w:szCs w:val="21"/>
          <w:lang w:val="en-US" w:eastAsia="zh-CN" w:bidi="ar-SA"/>
        </w:rPr>
      </w:pPr>
      <w:r>
        <w:rPr>
          <w:sz w:val="21"/>
          <w:szCs w:val="21"/>
          <w:lang w:val="en-US" w:eastAsia="zh-CN" w:bidi="ar-SA"/>
        </w:rPr>
        <w:t>5</w:t>
      </w:r>
      <w:r>
        <w:rPr>
          <w:rFonts w:ascii="宋体" w:hAnsi="宋体" w:cs="宋体"/>
          <w:sz w:val="21"/>
          <w:szCs w:val="21"/>
          <w:lang w:val="en-US" w:eastAsia="zh-CN" w:bidi="ar-SA"/>
        </w:rPr>
        <w:t>、办公地址：深圳市福田区福华三路</w:t>
      </w:r>
      <w:r>
        <w:rPr>
          <w:sz w:val="21"/>
          <w:szCs w:val="21"/>
          <w:lang w:val="en-US" w:eastAsia="zh-CN" w:bidi="ar-SA"/>
        </w:rPr>
        <w:t>168</w:t>
      </w:r>
      <w:r>
        <w:rPr>
          <w:rFonts w:ascii="宋体" w:hAnsi="宋体" w:cs="宋体"/>
          <w:sz w:val="21"/>
          <w:szCs w:val="21"/>
          <w:lang w:val="en-US" w:eastAsia="zh-CN" w:bidi="ar-SA"/>
        </w:rPr>
        <w:t>号深圳国际商会中心</w:t>
      </w:r>
      <w:r>
        <w:rPr>
          <w:sz w:val="21"/>
          <w:szCs w:val="21"/>
          <w:lang w:val="en-US" w:eastAsia="zh-CN" w:bidi="ar-SA"/>
        </w:rPr>
        <w:t>43</w:t>
      </w:r>
      <w:r>
        <w:rPr>
          <w:rFonts w:ascii="宋体" w:hAnsi="宋体" w:cs="宋体"/>
          <w:sz w:val="21"/>
          <w:szCs w:val="21"/>
          <w:lang w:val="en-US" w:eastAsia="zh-CN" w:bidi="ar-SA"/>
        </w:rPr>
        <w:t>层</w:t>
      </w:r>
    </w:p>
    <w:p w:rsidR="004A0B3A" w:rsidRDefault="004A0B3A">
      <w:pPr>
        <w:spacing w:line="360" w:lineRule="auto"/>
        <w:ind w:firstLine="420"/>
        <w:jc w:val="both"/>
        <w:rPr>
          <w:rFonts w:eastAsia="Times New Roman"/>
          <w:sz w:val="21"/>
          <w:szCs w:val="21"/>
          <w:lang w:val="en-US" w:eastAsia="zh-CN" w:bidi="ar-SA"/>
        </w:rPr>
      </w:pPr>
      <w:r>
        <w:rPr>
          <w:sz w:val="21"/>
          <w:szCs w:val="21"/>
          <w:lang w:val="en-US" w:eastAsia="zh-CN" w:bidi="ar-SA"/>
        </w:rPr>
        <w:t>6</w:t>
      </w:r>
      <w:r>
        <w:rPr>
          <w:rFonts w:ascii="宋体" w:hAnsi="宋体" w:cs="宋体"/>
          <w:sz w:val="21"/>
          <w:szCs w:val="21"/>
          <w:lang w:val="en-US" w:eastAsia="zh-CN" w:bidi="ar-SA"/>
        </w:rPr>
        <w:t>、电话：（</w:t>
      </w:r>
      <w:r>
        <w:rPr>
          <w:sz w:val="21"/>
          <w:szCs w:val="21"/>
          <w:lang w:val="en-US" w:eastAsia="zh-CN" w:bidi="ar-SA"/>
        </w:rPr>
        <w:t>0755</w:t>
      </w:r>
      <w:r>
        <w:rPr>
          <w:rFonts w:ascii="宋体" w:hAnsi="宋体" w:cs="宋体"/>
          <w:sz w:val="21"/>
          <w:szCs w:val="21"/>
          <w:lang w:val="en-US" w:eastAsia="zh-CN" w:bidi="ar-SA"/>
        </w:rPr>
        <w:t>）</w:t>
      </w:r>
      <w:r>
        <w:rPr>
          <w:sz w:val="21"/>
          <w:szCs w:val="21"/>
          <w:lang w:val="en-US" w:eastAsia="zh-CN" w:bidi="ar-SA"/>
        </w:rPr>
        <w:t xml:space="preserve">82021233       </w:t>
      </w:r>
      <w:r>
        <w:rPr>
          <w:rFonts w:ascii="宋体" w:hAnsi="宋体" w:cs="宋体"/>
          <w:sz w:val="21"/>
          <w:szCs w:val="21"/>
          <w:lang w:val="en-US" w:eastAsia="zh-CN" w:bidi="ar-SA"/>
        </w:rPr>
        <w:t>传真：（</w:t>
      </w:r>
      <w:r>
        <w:rPr>
          <w:sz w:val="21"/>
          <w:szCs w:val="21"/>
          <w:lang w:val="en-US" w:eastAsia="zh-CN" w:bidi="ar-SA"/>
        </w:rPr>
        <w:t>0755</w:t>
      </w:r>
      <w:r>
        <w:rPr>
          <w:rFonts w:ascii="宋体" w:hAnsi="宋体" w:cs="宋体"/>
          <w:sz w:val="21"/>
          <w:szCs w:val="21"/>
          <w:lang w:val="en-US" w:eastAsia="zh-CN" w:bidi="ar-SA"/>
        </w:rPr>
        <w:t>）</w:t>
      </w:r>
      <w:r>
        <w:rPr>
          <w:sz w:val="21"/>
          <w:szCs w:val="21"/>
          <w:lang w:val="en-US" w:eastAsia="zh-CN" w:bidi="ar-SA"/>
        </w:rPr>
        <w:t>82021155</w:t>
      </w:r>
    </w:p>
    <w:p w:rsidR="004A0B3A" w:rsidRDefault="004A0B3A">
      <w:pPr>
        <w:spacing w:line="360" w:lineRule="auto"/>
        <w:ind w:firstLine="420"/>
        <w:jc w:val="both"/>
        <w:rPr>
          <w:rFonts w:eastAsia="Times New Roman"/>
          <w:sz w:val="21"/>
          <w:szCs w:val="21"/>
          <w:lang w:val="en-US" w:eastAsia="zh-CN" w:bidi="ar-SA"/>
        </w:rPr>
      </w:pPr>
      <w:r>
        <w:rPr>
          <w:sz w:val="21"/>
          <w:szCs w:val="21"/>
          <w:lang w:val="en-US" w:eastAsia="zh-CN" w:bidi="ar-SA"/>
        </w:rPr>
        <w:t>7</w:t>
      </w:r>
      <w:r>
        <w:rPr>
          <w:rFonts w:ascii="宋体" w:hAnsi="宋体" w:cs="宋体"/>
          <w:sz w:val="21"/>
          <w:szCs w:val="21"/>
          <w:lang w:val="en-US" w:eastAsia="zh-CN" w:bidi="ar-SA"/>
        </w:rPr>
        <w:t>、联系人：吕奇志</w:t>
      </w:r>
    </w:p>
    <w:p w:rsidR="004A0B3A" w:rsidRDefault="004A0B3A">
      <w:pPr>
        <w:spacing w:line="360" w:lineRule="auto"/>
        <w:ind w:firstLine="420"/>
        <w:jc w:val="both"/>
        <w:rPr>
          <w:rFonts w:eastAsia="Times New Roman"/>
          <w:sz w:val="21"/>
          <w:szCs w:val="21"/>
          <w:lang w:val="en-US" w:eastAsia="zh-CN" w:bidi="ar-SA"/>
        </w:rPr>
      </w:pPr>
      <w:r>
        <w:rPr>
          <w:sz w:val="21"/>
          <w:szCs w:val="21"/>
          <w:lang w:val="en-US" w:eastAsia="zh-CN" w:bidi="ar-SA"/>
        </w:rPr>
        <w:t>8</w:t>
      </w:r>
      <w:r>
        <w:rPr>
          <w:rFonts w:ascii="宋体" w:hAnsi="宋体" w:cs="宋体"/>
          <w:sz w:val="21"/>
          <w:szCs w:val="21"/>
          <w:lang w:val="en-US" w:eastAsia="zh-CN" w:bidi="ar-SA"/>
        </w:rPr>
        <w:t>、注册资本：人民币</w:t>
      </w:r>
      <w:r>
        <w:rPr>
          <w:sz w:val="21"/>
          <w:szCs w:val="21"/>
          <w:lang w:val="en-US" w:eastAsia="zh-CN" w:bidi="ar-SA"/>
        </w:rPr>
        <w:t>1.5</w:t>
      </w:r>
      <w:r>
        <w:rPr>
          <w:rFonts w:ascii="宋体" w:hAnsi="宋体" w:cs="宋体"/>
          <w:sz w:val="21"/>
          <w:szCs w:val="21"/>
          <w:lang w:val="en-US" w:eastAsia="zh-CN" w:bidi="ar-SA"/>
        </w:rPr>
        <w:t>亿元</w:t>
      </w:r>
    </w:p>
    <w:p w:rsidR="004A0B3A" w:rsidRDefault="004A0B3A">
      <w:pPr>
        <w:spacing w:line="360" w:lineRule="auto"/>
        <w:ind w:firstLine="420"/>
        <w:jc w:val="both"/>
        <w:rPr>
          <w:rFonts w:eastAsia="Times New Roman"/>
          <w:sz w:val="21"/>
          <w:szCs w:val="21"/>
          <w:lang w:val="en-US" w:eastAsia="zh-CN" w:bidi="ar-SA"/>
        </w:rPr>
      </w:pPr>
      <w:r>
        <w:rPr>
          <w:sz w:val="21"/>
          <w:szCs w:val="21"/>
          <w:lang w:val="en-US" w:eastAsia="zh-CN" w:bidi="ar-SA"/>
        </w:rPr>
        <w:t>9</w:t>
      </w:r>
      <w:r>
        <w:rPr>
          <w:rFonts w:ascii="宋体" w:hAnsi="宋体" w:cs="宋体"/>
          <w:sz w:val="21"/>
          <w:szCs w:val="21"/>
          <w:lang w:val="en-US" w:eastAsia="zh-CN" w:bidi="ar-SA"/>
        </w:rPr>
        <w:t>、股权结构：</w:t>
      </w:r>
    </w:p>
    <w:tbl>
      <w:tblPr>
        <w:tblW w:w="0" w:type="auto"/>
        <w:jc w:val="center"/>
        <w:tblInd w:w="118" w:type="dxa"/>
        <w:tblBorders>
          <w:top w:val="single" w:sz="8" w:space="0" w:color="000000"/>
          <w:left w:val="single" w:sz="8" w:space="0" w:color="000000"/>
          <w:bottom w:val="single" w:sz="8" w:space="0" w:color="000000"/>
          <w:right w:val="single" w:sz="8" w:space="0" w:color="000000"/>
          <w:insideH w:val="nil"/>
          <w:insideV w:val="nil"/>
        </w:tblBorders>
        <w:tblCellMar>
          <w:left w:w="0" w:type="dxa"/>
          <w:right w:w="0" w:type="dxa"/>
        </w:tblCellMar>
        <w:tblLook w:val="04A0"/>
      </w:tblPr>
      <w:tblGrid>
        <w:gridCol w:w="3849"/>
        <w:gridCol w:w="1841"/>
        <w:gridCol w:w="2211"/>
      </w:tblGrid>
      <w:tr w:rsidR="004A0B3A" w:rsidRPr="004A0B3A">
        <w:trPr>
          <w:trHeight w:val="411"/>
          <w:jc w:val="center"/>
        </w:trPr>
        <w:tc>
          <w:tcPr>
            <w:tcW w:w="3849" w:type="dxa"/>
            <w:tcBorders>
              <w:bottom w:val="single" w:sz="8" w:space="0" w:color="auto"/>
              <w:right w:val="single" w:sz="8" w:space="0" w:color="auto"/>
            </w:tcBorders>
            <w:tcMar>
              <w:top w:w="10" w:type="dxa"/>
              <w:left w:w="108" w:type="dxa"/>
              <w:bottom w:w="10" w:type="dxa"/>
              <w:right w:w="108" w:type="dxa"/>
            </w:tcMar>
            <w:vAlign w:val="center"/>
            <w:hideMark/>
          </w:tcPr>
          <w:p w:rsidR="004A0B3A" w:rsidRDefault="004A0B3A">
            <w:pPr>
              <w:jc w:val="center"/>
              <w:rPr>
                <w:rFonts w:eastAsia="Times New Roman"/>
                <w:sz w:val="21"/>
                <w:szCs w:val="21"/>
                <w:lang w:val="en-US" w:eastAsia="zh-CN" w:bidi="ar-SA"/>
              </w:rPr>
            </w:pPr>
            <w:r>
              <w:rPr>
                <w:rFonts w:ascii="宋体" w:hAnsi="宋体" w:cs="宋体"/>
                <w:b/>
                <w:bCs/>
                <w:sz w:val="21"/>
                <w:szCs w:val="21"/>
                <w:lang w:val="en-US" w:eastAsia="zh-CN" w:bidi="ar-SA"/>
              </w:rPr>
              <w:t>出资人名称</w:t>
            </w:r>
          </w:p>
        </w:tc>
        <w:tc>
          <w:tcPr>
            <w:tcW w:w="1841" w:type="dxa"/>
            <w:tcBorders>
              <w:bottom w:val="single" w:sz="8" w:space="0" w:color="auto"/>
              <w:right w:val="single" w:sz="8" w:space="0" w:color="auto"/>
            </w:tcBorders>
            <w:tcMar>
              <w:top w:w="10" w:type="dxa"/>
              <w:left w:w="113" w:type="dxa"/>
              <w:bottom w:w="10" w:type="dxa"/>
              <w:right w:w="108" w:type="dxa"/>
            </w:tcMar>
            <w:vAlign w:val="center"/>
            <w:hideMark/>
          </w:tcPr>
          <w:p w:rsidR="004A0B3A" w:rsidRDefault="004A0B3A">
            <w:pPr>
              <w:jc w:val="center"/>
              <w:rPr>
                <w:rFonts w:eastAsia="Times New Roman"/>
                <w:sz w:val="21"/>
                <w:szCs w:val="21"/>
                <w:lang w:val="en-US" w:eastAsia="zh-CN" w:bidi="ar-SA"/>
              </w:rPr>
            </w:pPr>
            <w:r>
              <w:rPr>
                <w:rFonts w:ascii="宋体" w:hAnsi="宋体" w:cs="宋体"/>
                <w:b/>
                <w:bCs/>
                <w:sz w:val="21"/>
                <w:szCs w:val="21"/>
                <w:lang w:val="en-US" w:eastAsia="zh-CN" w:bidi="ar-SA"/>
              </w:rPr>
              <w:t>出资额（万元）</w:t>
            </w:r>
          </w:p>
        </w:tc>
        <w:tc>
          <w:tcPr>
            <w:tcW w:w="2211" w:type="dxa"/>
            <w:tcBorders>
              <w:bottom w:val="single" w:sz="8" w:space="0" w:color="auto"/>
            </w:tcBorders>
            <w:tcMar>
              <w:top w:w="10" w:type="dxa"/>
              <w:left w:w="113" w:type="dxa"/>
              <w:bottom w:w="10" w:type="dxa"/>
              <w:right w:w="108" w:type="dxa"/>
            </w:tcMar>
            <w:vAlign w:val="center"/>
            <w:hideMark/>
          </w:tcPr>
          <w:p w:rsidR="004A0B3A" w:rsidRDefault="004A0B3A">
            <w:pPr>
              <w:jc w:val="center"/>
              <w:rPr>
                <w:rFonts w:eastAsia="Times New Roman"/>
                <w:sz w:val="21"/>
                <w:szCs w:val="21"/>
                <w:lang w:val="en-US" w:eastAsia="zh-CN" w:bidi="ar-SA"/>
              </w:rPr>
            </w:pPr>
            <w:r>
              <w:rPr>
                <w:rFonts w:ascii="宋体" w:hAnsi="宋体" w:cs="宋体"/>
                <w:b/>
                <w:bCs/>
                <w:sz w:val="21"/>
                <w:szCs w:val="21"/>
                <w:lang w:val="en-US" w:eastAsia="zh-CN" w:bidi="ar-SA"/>
              </w:rPr>
              <w:t>出资比例</w:t>
            </w:r>
          </w:p>
        </w:tc>
      </w:tr>
      <w:tr w:rsidR="004A0B3A" w:rsidRPr="004A0B3A">
        <w:trPr>
          <w:trHeight w:val="394"/>
          <w:jc w:val="center"/>
        </w:trPr>
        <w:tc>
          <w:tcPr>
            <w:tcW w:w="3849" w:type="dxa"/>
            <w:tcBorders>
              <w:bottom w:val="single" w:sz="8" w:space="0" w:color="auto"/>
              <w:right w:val="single" w:sz="8" w:space="0" w:color="auto"/>
            </w:tcBorders>
            <w:tcMar>
              <w:top w:w="5" w:type="dxa"/>
              <w:left w:w="108" w:type="dxa"/>
              <w:bottom w:w="10" w:type="dxa"/>
              <w:right w:w="108" w:type="dxa"/>
            </w:tcMar>
            <w:vAlign w:val="center"/>
            <w:hideMark/>
          </w:tcPr>
          <w:p w:rsidR="004A0B3A" w:rsidRDefault="004A0B3A">
            <w:pPr>
              <w:jc w:val="center"/>
              <w:rPr>
                <w:rFonts w:eastAsia="Times New Roman"/>
                <w:sz w:val="21"/>
                <w:szCs w:val="21"/>
                <w:lang w:val="en-US" w:eastAsia="zh-CN" w:bidi="ar-SA"/>
              </w:rPr>
            </w:pPr>
            <w:r>
              <w:rPr>
                <w:rFonts w:ascii="宋体" w:hAnsi="宋体" w:cs="宋体"/>
                <w:sz w:val="21"/>
                <w:szCs w:val="21"/>
                <w:lang w:val="en-US" w:eastAsia="zh-CN" w:bidi="ar-SA"/>
              </w:rPr>
              <w:t>国信证券股份有限公司</w:t>
            </w:r>
          </w:p>
        </w:tc>
        <w:tc>
          <w:tcPr>
            <w:tcW w:w="1841" w:type="dxa"/>
            <w:tcBorders>
              <w:bottom w:val="single" w:sz="8" w:space="0" w:color="auto"/>
              <w:right w:val="single" w:sz="8" w:space="0" w:color="auto"/>
            </w:tcBorders>
            <w:tcMar>
              <w:top w:w="5" w:type="dxa"/>
              <w:left w:w="113" w:type="dxa"/>
              <w:bottom w:w="10" w:type="dxa"/>
              <w:right w:w="108" w:type="dxa"/>
            </w:tcMar>
            <w:vAlign w:val="center"/>
            <w:hideMark/>
          </w:tcPr>
          <w:p w:rsidR="004A0B3A" w:rsidRDefault="004A0B3A">
            <w:pPr>
              <w:jc w:val="center"/>
              <w:rPr>
                <w:rFonts w:eastAsia="Times New Roman"/>
                <w:sz w:val="21"/>
                <w:szCs w:val="21"/>
                <w:lang w:val="en-US" w:eastAsia="zh-CN" w:bidi="ar-SA"/>
              </w:rPr>
            </w:pPr>
            <w:r w:rsidRPr="004A0B3A">
              <w:rPr>
                <w:sz w:val="21"/>
                <w:szCs w:val="21"/>
                <w:lang w:val="en-US" w:eastAsia="zh-CN" w:bidi="ar-SA"/>
              </w:rPr>
              <w:t>7,500</w:t>
            </w:r>
          </w:p>
        </w:tc>
        <w:tc>
          <w:tcPr>
            <w:tcW w:w="2211" w:type="dxa"/>
            <w:tcBorders>
              <w:bottom w:val="single" w:sz="8" w:space="0" w:color="auto"/>
            </w:tcBorders>
            <w:tcMar>
              <w:top w:w="5" w:type="dxa"/>
              <w:left w:w="113" w:type="dxa"/>
              <w:bottom w:w="10" w:type="dxa"/>
              <w:right w:w="108" w:type="dxa"/>
            </w:tcMar>
            <w:vAlign w:val="center"/>
            <w:hideMark/>
          </w:tcPr>
          <w:p w:rsidR="004A0B3A" w:rsidRDefault="004A0B3A">
            <w:pPr>
              <w:jc w:val="center"/>
              <w:rPr>
                <w:rFonts w:eastAsia="Times New Roman"/>
                <w:sz w:val="21"/>
                <w:szCs w:val="21"/>
                <w:lang w:val="en-US" w:eastAsia="zh-CN" w:bidi="ar-SA"/>
              </w:rPr>
            </w:pPr>
            <w:r w:rsidRPr="004A0B3A">
              <w:rPr>
                <w:sz w:val="21"/>
                <w:szCs w:val="21"/>
                <w:lang w:val="en-US" w:eastAsia="zh-CN" w:bidi="ar-SA"/>
              </w:rPr>
              <w:t>50%</w:t>
            </w:r>
          </w:p>
        </w:tc>
      </w:tr>
      <w:tr w:rsidR="004A0B3A" w:rsidRPr="004A0B3A">
        <w:trPr>
          <w:trHeight w:val="823"/>
          <w:jc w:val="center"/>
        </w:trPr>
        <w:tc>
          <w:tcPr>
            <w:tcW w:w="3849" w:type="dxa"/>
            <w:tcBorders>
              <w:bottom w:val="single" w:sz="8" w:space="0" w:color="auto"/>
              <w:right w:val="single" w:sz="8" w:space="0" w:color="auto"/>
            </w:tcBorders>
            <w:tcMar>
              <w:top w:w="5" w:type="dxa"/>
              <w:left w:w="108" w:type="dxa"/>
              <w:bottom w:w="10" w:type="dxa"/>
              <w:right w:w="108" w:type="dxa"/>
            </w:tcMar>
            <w:vAlign w:val="center"/>
            <w:hideMark/>
          </w:tcPr>
          <w:p w:rsidR="004A0B3A" w:rsidRDefault="004A0B3A">
            <w:pPr>
              <w:jc w:val="center"/>
              <w:rPr>
                <w:rFonts w:eastAsia="Times New Roman"/>
                <w:sz w:val="21"/>
                <w:szCs w:val="21"/>
                <w:lang w:val="en-US" w:eastAsia="zh-CN" w:bidi="ar-SA"/>
              </w:rPr>
            </w:pPr>
            <w:r>
              <w:rPr>
                <w:rFonts w:ascii="宋体" w:hAnsi="宋体" w:cs="宋体"/>
                <w:sz w:val="21"/>
                <w:szCs w:val="21"/>
                <w:lang w:val="en-US" w:eastAsia="zh-CN" w:bidi="ar-SA"/>
              </w:rPr>
              <w:t>意大利欧利盛资本资产管理股份公司（</w:t>
            </w:r>
            <w:r w:rsidRPr="004A0B3A">
              <w:rPr>
                <w:sz w:val="21"/>
                <w:szCs w:val="21"/>
                <w:lang w:val="en-US" w:eastAsia="zh-CN" w:bidi="ar-SA"/>
              </w:rPr>
              <w:t>Eurizon Capital SGR S.p.A.</w:t>
            </w:r>
            <w:r>
              <w:rPr>
                <w:rFonts w:ascii="宋体" w:hAnsi="宋体" w:cs="宋体"/>
                <w:sz w:val="21"/>
                <w:szCs w:val="21"/>
                <w:lang w:val="en-US" w:eastAsia="zh-CN" w:bidi="ar-SA"/>
              </w:rPr>
              <w:t>）</w:t>
            </w:r>
          </w:p>
        </w:tc>
        <w:tc>
          <w:tcPr>
            <w:tcW w:w="1841" w:type="dxa"/>
            <w:tcBorders>
              <w:bottom w:val="single" w:sz="8" w:space="0" w:color="auto"/>
              <w:right w:val="single" w:sz="8" w:space="0" w:color="auto"/>
            </w:tcBorders>
            <w:tcMar>
              <w:top w:w="5" w:type="dxa"/>
              <w:left w:w="113" w:type="dxa"/>
              <w:bottom w:w="10" w:type="dxa"/>
              <w:right w:w="108" w:type="dxa"/>
            </w:tcMar>
            <w:vAlign w:val="center"/>
            <w:hideMark/>
          </w:tcPr>
          <w:p w:rsidR="004A0B3A" w:rsidRDefault="004A0B3A">
            <w:pPr>
              <w:jc w:val="center"/>
              <w:rPr>
                <w:rFonts w:eastAsia="Times New Roman"/>
                <w:sz w:val="21"/>
                <w:szCs w:val="21"/>
                <w:lang w:val="en-US" w:eastAsia="zh-CN" w:bidi="ar-SA"/>
              </w:rPr>
            </w:pPr>
            <w:r w:rsidRPr="004A0B3A">
              <w:rPr>
                <w:sz w:val="21"/>
                <w:szCs w:val="21"/>
                <w:lang w:val="en-US" w:eastAsia="zh-CN" w:bidi="ar-SA"/>
              </w:rPr>
              <w:t>7,350</w:t>
            </w:r>
          </w:p>
        </w:tc>
        <w:tc>
          <w:tcPr>
            <w:tcW w:w="2211" w:type="dxa"/>
            <w:tcBorders>
              <w:bottom w:val="single" w:sz="8" w:space="0" w:color="auto"/>
            </w:tcBorders>
            <w:tcMar>
              <w:top w:w="5" w:type="dxa"/>
              <w:left w:w="113" w:type="dxa"/>
              <w:bottom w:w="10" w:type="dxa"/>
              <w:right w:w="108" w:type="dxa"/>
            </w:tcMar>
            <w:vAlign w:val="center"/>
            <w:hideMark/>
          </w:tcPr>
          <w:p w:rsidR="004A0B3A" w:rsidRDefault="004A0B3A">
            <w:pPr>
              <w:jc w:val="center"/>
              <w:rPr>
                <w:rFonts w:eastAsia="Times New Roman"/>
                <w:sz w:val="21"/>
                <w:szCs w:val="21"/>
                <w:lang w:val="en-US" w:eastAsia="zh-CN" w:bidi="ar-SA"/>
              </w:rPr>
            </w:pPr>
            <w:r w:rsidRPr="004A0B3A">
              <w:rPr>
                <w:sz w:val="21"/>
                <w:szCs w:val="21"/>
                <w:lang w:val="en-US" w:eastAsia="zh-CN" w:bidi="ar-SA"/>
              </w:rPr>
              <w:t>49%</w:t>
            </w:r>
          </w:p>
        </w:tc>
      </w:tr>
      <w:tr w:rsidR="004A0B3A" w:rsidRPr="004A0B3A">
        <w:trPr>
          <w:trHeight w:val="411"/>
          <w:jc w:val="center"/>
        </w:trPr>
        <w:tc>
          <w:tcPr>
            <w:tcW w:w="3849" w:type="dxa"/>
            <w:tcBorders>
              <w:bottom w:val="single" w:sz="8" w:space="0" w:color="auto"/>
              <w:right w:val="single" w:sz="8" w:space="0" w:color="auto"/>
            </w:tcBorders>
            <w:tcMar>
              <w:top w:w="5" w:type="dxa"/>
              <w:left w:w="108" w:type="dxa"/>
              <w:bottom w:w="10" w:type="dxa"/>
              <w:right w:w="108" w:type="dxa"/>
            </w:tcMar>
            <w:vAlign w:val="center"/>
            <w:hideMark/>
          </w:tcPr>
          <w:p w:rsidR="004A0B3A" w:rsidRDefault="004A0B3A">
            <w:pPr>
              <w:jc w:val="center"/>
              <w:rPr>
                <w:rFonts w:eastAsia="Times New Roman"/>
                <w:sz w:val="21"/>
                <w:szCs w:val="21"/>
                <w:lang w:val="en-US" w:eastAsia="zh-CN" w:bidi="ar-SA"/>
              </w:rPr>
            </w:pPr>
            <w:r>
              <w:rPr>
                <w:rFonts w:ascii="宋体" w:hAnsi="宋体" w:cs="宋体"/>
                <w:sz w:val="21"/>
                <w:szCs w:val="21"/>
                <w:lang w:val="en-US" w:eastAsia="zh-CN" w:bidi="ar-SA"/>
              </w:rPr>
              <w:t>深圳市北融信投资发展有限公司</w:t>
            </w:r>
          </w:p>
        </w:tc>
        <w:tc>
          <w:tcPr>
            <w:tcW w:w="1841" w:type="dxa"/>
            <w:tcBorders>
              <w:bottom w:val="single" w:sz="8" w:space="0" w:color="auto"/>
              <w:right w:val="single" w:sz="8" w:space="0" w:color="auto"/>
            </w:tcBorders>
            <w:tcMar>
              <w:top w:w="5" w:type="dxa"/>
              <w:left w:w="113" w:type="dxa"/>
              <w:bottom w:w="10" w:type="dxa"/>
              <w:right w:w="108" w:type="dxa"/>
            </w:tcMar>
            <w:vAlign w:val="center"/>
            <w:hideMark/>
          </w:tcPr>
          <w:p w:rsidR="004A0B3A" w:rsidRDefault="004A0B3A">
            <w:pPr>
              <w:jc w:val="center"/>
              <w:rPr>
                <w:rFonts w:eastAsia="Times New Roman"/>
                <w:sz w:val="21"/>
                <w:szCs w:val="21"/>
                <w:lang w:val="en-US" w:eastAsia="zh-CN" w:bidi="ar-SA"/>
              </w:rPr>
            </w:pPr>
            <w:r w:rsidRPr="004A0B3A">
              <w:rPr>
                <w:sz w:val="21"/>
                <w:szCs w:val="21"/>
                <w:lang w:val="en-US" w:eastAsia="zh-CN" w:bidi="ar-SA"/>
              </w:rPr>
              <w:t>150</w:t>
            </w:r>
          </w:p>
        </w:tc>
        <w:tc>
          <w:tcPr>
            <w:tcW w:w="2211" w:type="dxa"/>
            <w:tcBorders>
              <w:bottom w:val="single" w:sz="8" w:space="0" w:color="auto"/>
            </w:tcBorders>
            <w:tcMar>
              <w:top w:w="5" w:type="dxa"/>
              <w:left w:w="113" w:type="dxa"/>
              <w:bottom w:w="10" w:type="dxa"/>
              <w:right w:w="108" w:type="dxa"/>
            </w:tcMar>
            <w:vAlign w:val="center"/>
            <w:hideMark/>
          </w:tcPr>
          <w:p w:rsidR="004A0B3A" w:rsidRDefault="004A0B3A">
            <w:pPr>
              <w:jc w:val="center"/>
              <w:rPr>
                <w:rFonts w:eastAsia="Times New Roman"/>
                <w:sz w:val="21"/>
                <w:szCs w:val="21"/>
                <w:lang w:val="en-US" w:eastAsia="zh-CN" w:bidi="ar-SA"/>
              </w:rPr>
            </w:pPr>
            <w:r w:rsidRPr="004A0B3A">
              <w:rPr>
                <w:sz w:val="21"/>
                <w:szCs w:val="21"/>
                <w:lang w:val="en-US" w:eastAsia="zh-CN" w:bidi="ar-SA"/>
              </w:rPr>
              <w:t>1%</w:t>
            </w:r>
          </w:p>
        </w:tc>
      </w:tr>
      <w:tr w:rsidR="004A0B3A" w:rsidRPr="004A0B3A">
        <w:trPr>
          <w:trHeight w:val="411"/>
          <w:jc w:val="center"/>
        </w:trPr>
        <w:tc>
          <w:tcPr>
            <w:tcW w:w="3849" w:type="dxa"/>
            <w:tcBorders>
              <w:right w:val="single" w:sz="8" w:space="0" w:color="auto"/>
            </w:tcBorders>
            <w:tcMar>
              <w:top w:w="5" w:type="dxa"/>
              <w:left w:w="108" w:type="dxa"/>
              <w:bottom w:w="10" w:type="dxa"/>
              <w:right w:w="108" w:type="dxa"/>
            </w:tcMar>
            <w:vAlign w:val="center"/>
            <w:hideMark/>
          </w:tcPr>
          <w:p w:rsidR="004A0B3A" w:rsidRDefault="004A0B3A">
            <w:pPr>
              <w:jc w:val="center"/>
              <w:rPr>
                <w:rFonts w:eastAsia="Times New Roman"/>
                <w:sz w:val="21"/>
                <w:szCs w:val="21"/>
                <w:lang w:val="en-US" w:eastAsia="zh-CN" w:bidi="ar-SA"/>
              </w:rPr>
            </w:pPr>
            <w:r>
              <w:rPr>
                <w:rFonts w:ascii="宋体" w:hAnsi="宋体" w:cs="宋体"/>
                <w:sz w:val="21"/>
                <w:szCs w:val="21"/>
                <w:lang w:val="en-US" w:eastAsia="zh-CN" w:bidi="ar-SA"/>
              </w:rPr>
              <w:t>总</w:t>
            </w:r>
            <w:r w:rsidRPr="004A0B3A">
              <w:rPr>
                <w:sz w:val="21"/>
                <w:szCs w:val="21"/>
                <w:lang w:val="en-US" w:eastAsia="zh-CN" w:bidi="ar-SA"/>
              </w:rPr>
              <w:t> </w:t>
            </w:r>
            <w:r>
              <w:rPr>
                <w:rFonts w:ascii="宋体" w:hAnsi="宋体" w:cs="宋体"/>
                <w:sz w:val="21"/>
                <w:szCs w:val="21"/>
                <w:lang w:val="en-US" w:eastAsia="zh-CN" w:bidi="ar-SA"/>
              </w:rPr>
              <w:t xml:space="preserve"> 计</w:t>
            </w:r>
          </w:p>
        </w:tc>
        <w:tc>
          <w:tcPr>
            <w:tcW w:w="1841" w:type="dxa"/>
            <w:tcBorders>
              <w:right w:val="single" w:sz="8" w:space="0" w:color="auto"/>
            </w:tcBorders>
            <w:tcMar>
              <w:top w:w="5" w:type="dxa"/>
              <w:left w:w="113" w:type="dxa"/>
              <w:bottom w:w="10" w:type="dxa"/>
              <w:right w:w="108" w:type="dxa"/>
            </w:tcMar>
            <w:vAlign w:val="center"/>
            <w:hideMark/>
          </w:tcPr>
          <w:p w:rsidR="004A0B3A" w:rsidRDefault="004A0B3A">
            <w:pPr>
              <w:jc w:val="center"/>
              <w:rPr>
                <w:rFonts w:eastAsia="Times New Roman"/>
                <w:sz w:val="21"/>
                <w:szCs w:val="21"/>
                <w:lang w:val="en-US" w:eastAsia="zh-CN" w:bidi="ar-SA"/>
              </w:rPr>
            </w:pPr>
            <w:r w:rsidRPr="004A0B3A">
              <w:rPr>
                <w:sz w:val="21"/>
                <w:szCs w:val="21"/>
                <w:lang w:val="en-US" w:eastAsia="zh-CN" w:bidi="ar-SA"/>
              </w:rPr>
              <w:t>15,000</w:t>
            </w:r>
          </w:p>
        </w:tc>
        <w:tc>
          <w:tcPr>
            <w:tcW w:w="2211" w:type="dxa"/>
            <w:tcMar>
              <w:top w:w="5" w:type="dxa"/>
              <w:left w:w="113" w:type="dxa"/>
              <w:bottom w:w="10" w:type="dxa"/>
              <w:right w:w="108" w:type="dxa"/>
            </w:tcMar>
            <w:vAlign w:val="center"/>
            <w:hideMark/>
          </w:tcPr>
          <w:p w:rsidR="004A0B3A" w:rsidRDefault="004A0B3A">
            <w:pPr>
              <w:jc w:val="center"/>
              <w:rPr>
                <w:rFonts w:eastAsia="Times New Roman"/>
                <w:sz w:val="21"/>
                <w:szCs w:val="21"/>
                <w:lang w:val="en-US" w:eastAsia="zh-CN" w:bidi="ar-SA"/>
              </w:rPr>
            </w:pPr>
            <w:r w:rsidRPr="004A0B3A">
              <w:rPr>
                <w:sz w:val="21"/>
                <w:szCs w:val="21"/>
                <w:lang w:val="en-US" w:eastAsia="zh-CN" w:bidi="ar-SA"/>
              </w:rPr>
              <w:t>100%</w:t>
            </w:r>
          </w:p>
        </w:tc>
      </w:tr>
    </w:tbl>
    <w:p w:rsidR="004A0B3A" w:rsidRDefault="004A0B3A">
      <w:pPr>
        <w:spacing w:line="360" w:lineRule="auto"/>
        <w:ind w:firstLine="207"/>
        <w:jc w:val="both"/>
        <w:rPr>
          <w:rFonts w:eastAsia="Times New Roman"/>
          <w:sz w:val="21"/>
          <w:szCs w:val="21"/>
          <w:lang w:val="en-US" w:eastAsia="zh-CN" w:bidi="ar-SA"/>
        </w:rPr>
      </w:pPr>
      <w:r>
        <w:rPr>
          <w:b/>
          <w:bCs/>
          <w:sz w:val="21"/>
          <w:szCs w:val="21"/>
          <w:lang w:val="en-US" w:eastAsia="zh-CN" w:bidi="ar-SA"/>
        </w:rPr>
        <w:t> </w:t>
      </w:r>
    </w:p>
    <w:p w:rsidR="004A0B3A" w:rsidRDefault="004A0B3A">
      <w:pPr>
        <w:spacing w:line="480" w:lineRule="atLeast"/>
        <w:ind w:firstLine="408"/>
        <w:jc w:val="both"/>
        <w:rPr>
          <w:rFonts w:eastAsia="Times New Roman"/>
          <w:lang w:val="en-US" w:eastAsia="zh-CN" w:bidi="ar-SA"/>
        </w:rPr>
      </w:pPr>
      <w:r>
        <w:rPr>
          <w:rFonts w:ascii="宋体" w:hAnsi="宋体" w:cs="宋体"/>
          <w:b/>
          <w:bCs/>
          <w:sz w:val="21"/>
          <w:szCs w:val="21"/>
          <w:lang w:val="en-US" w:eastAsia="zh-CN" w:bidi="ar-SA"/>
        </w:rPr>
        <w:t>（二）主要人员情况</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1、基金管理人董事会成员</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何如先生,董事长,硕士，高级会计师，国籍：中国。历任中国电子器件公司深圳公司副总会计师兼财务处处长、总会计师、常务副总经理、总经理、党委书记，深圳发展银行行长助理、副行长、党委委员、副董事长、行长、党委副书记等职务。现任国信证券股份有限公司董事长、党委书记。自2008年12月开始担任鹏华基金管理有限公司董事长。</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邓召明先生,党委书记、董事、总裁,经济学博士，讲师，国籍：中国。历任北京理工大学管理与经济学院讲师、中国兵器工业总公司主任科员、中国证监会处长、南方基金管理有限公司副总裁、中国证监会第六、七届发审委委员，现任鹏华基金管理有限公司董事、总裁、党委书记。自2012年12月开始担任鹏华基金管理有限公司董事。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杜海江先生,董事,大学本科，国籍：中国。历任国信证券股份有限公司杭州萧然东路证券营业部电子商务部经理、杭州保俶路证券营业部总经理助理、浙江营销中心总经理、浙江管理总部总经理、杭州分公司总经理、浙江分公司总经理、公司总裁助理等职务。现任国信证券股份有限公司副总裁、经纪事业部总裁。自2019年8月开始担任鹏华基金管理有限公司董事。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周中国先生,董事,会计学硕士，高级会计师，注册会计师，国籍：中国。历任深圳华为技术有限公司定价中心经理助理，国信证券股份有限公司资金财务总部业务经理、深圳金地证券服务部财务经理、资金财务总部高级经理、资金财务总部总经理助理、资金财务总部副总经理、人力资源总部副总经理、人力资源总部总经理等职务。现任国信证券股份有限公司财务负责人、资金财务总部总经理。自2012年12月开始担任鹏华基金管理有限公司董事。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Massimo Mazzini先生,董事,经济和商学学士，国籍：意大利。曾在安达信（Arthur Andersen）从事风险管理和资产管理工作，历任CA AIPG SGR投资总监、CAAM AI SGR及CA AIPG SGR首席执行官和投资总监、东方汇理资产管理股份有限公司（CAAM SGR）投资副总监、农业信贷另类投资集团（Credit Agricole Alternative Investments Group）国际执行委员会委员、意大利欧利盛资本资产管理股份公司（Eurizon Capital SGR S.p.A.）投资方案部投资总监、Epsilon 资产管理股份公司（Epsilon SGR）首席执行官，欧利盛资本股份公司（Eurizon Capital S.A.）（卢森堡）首席执行官和总经理。现任意大利欧利盛资本资产管理股份公司（Eurizon Capital SGR S.p.A.）市场及业务发展总监。自2010年11月开始担任鹏华基金管理有限公司董事。</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Andrea Vismara先生,董事,法学学士，律师，国籍：意大利。曾在意大利多家律师事务所担任律师，先后在法国农业信贷集团（Credit Agricole Group）东方汇理资产管理股份有限公司（CAAM SGR）法务部、产品开发部，欧利盛资本资产管理股份公司（Eurizon Capital SGR S.p.A.）治理与股权部工作。现任意大利欧利盛资本资产管理股份公司（Eurizon Capital SGR S.p.A）董事会秘书兼任企业事务和战略发展部总经理。自2016年2月开始担任鹏华基金管理有限公司董事。</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史际春先生,独立董事,法学博士，国籍：中国。历任安徽大学讲师、中国人民大学副教授，现任中国人民大学法学院教授、博士生导师，国务院特殊津贴专家，兼任中国法学会经济法学研究会副会长、北京市人大常委会和法制委员会委员。自2008年9月开始担任鹏华基金管理有限公司董事。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张元先生,独立董事,大学本科，国籍：中国。曾任新疆军区干事、秘书、编辑，甘肃省委研究室干事、副处长、处长、副主任，中央金融工作委员会研究室主任，中国银监会政策法规部（研究局）主任（局长）等职务；2005年6月至2007年12月，任中央国债登记结算有限责任公司董事长兼党委书记；2007年12月至2010年12月，任中央国债登记结算有限责任公司监事长兼党委副书记。自2012年12月开始担任鹏华基金管理有限公司董事。</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高臻女士,独立董事,工商管理硕士，国籍：中国。曾任中国进出口银行副处长，负责贷款管理和运营，项目涉及制造业、能源、电信、跨国并购；2007年加入曼达林投资顾问有限公司，现任曼达林投资顾问有限公司执行合伙人。自2012年12月开始担任鹏华基金管理有限公司董事。</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2、基金管理人监事会成员</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黄俞先生,监事会主席,管理学硕士，国籍：中国。曾在中农信公司、正大财务公司工作，曾任鹏华基金管理有限公司董事、监事，深圳市北融信投资发展有限公司董事长。自2013年11月开始担任鹏华基金管理有限公司监事会主席。</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陈冰女士,监事,管理学学士，国籍：中国。曾任国信证券股份有限公司资金财务部会计、上海营业部财务科副科长、资金财务部财务科副经理、资金财务部资金科经理、资金财务部主任会计师兼科经理、资金财务部总经理助理、资金财务总部副总经理、融资融券部总经理等职务。现任国信证券总裁助理，兼证券金融事业部总裁、资金运营部总经理。自2015年6月开始担任鹏华基金管理有限公司监事。</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SANDRO VESPRINI先生,监事,工商管理学士，国籍：意大利。先后在米兰军医院出纳部、税务师事务所、菲亚特汽车发动机和变速器平台管控管理团队工作、圣保罗IMI资产管理SGR企业经管部、圣保罗财富管理企业管控部工作、曾任欧利盛资本资产管理股份公司（Eurizon Capital SGR S.p.A.）财务管理和投资经理，现任欧利盛资本资产管理股份公司（Eurizon Capital SGR S.p.A.）财务负责人。自2016年2月开始担任鹏华基金管理有限公司监事。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郝文高先生,职工监事,大专学历，国籍：中国。历任深圳奥尊电脑有限公司证券基金事业部副经理、招商基金管理有限公司基金事务部总监；2011年7月加盟鹏华基金管理有限公司，现任登记结算部总经理。自2015年9月开始担任鹏华基金管理有限公司监事。</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刘嵚先生,职工监事,管理学硕士，国籍：中国。历任毕马威（中国）管理顾问公司咨询顾问，南方基金管理有限公司北京分公司副总经理；2014年10月加入鹏华基金管理有限公司，现任总裁助理、机构理财部总经理、北京分公司总经理。自2015年9月开始担任鹏华基金管理有限公司监事。</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左彬先生,职工监事,法学硕士，国籍：中国。历任中国平安保险（集团）股份有限公司法律事务部律师；2016年 4 月加盟鹏华基金管理有限公司，历任监察稽核部高级合规经理，现任监察稽核部高级合规官。自2019年9月开始担任鹏华基金管理有限公司监事。</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3、高级管理人员情况</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何如先生,董事长,硕士，高级会计师，国籍：中国。历任中国电子器件公司深圳公司副总会计师兼财务处处长、总会计师、常务副总经理、总经理、党委书记，深圳发展银行行长助理、副行长、党委委员、副董事长、行长、党委副书记等职务。现任国信证券股份有限公司董事长、党委书记。自2008年12月开始担任鹏华基金管理有限公司董事长。</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邓召明先生,党委书记、董事、总裁,经济学博士，讲师，国籍：中国。历任北京理工大学管理与经济学院讲师、中国兵器工业总公司主任科员、中国证监会处长、南方基金管理有限公司副总裁、中国证监会第六、七届发审委委员，现任鹏华基金管理有限公司董事、总裁、党委书记。自2012年12月开始担任鹏华基金管理有限公司董事。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高阳先生,党委副书记、副总裁,特许金融分析师（CFA），经济学硕士，国籍：中国。历任中国国际金融有限公司经理，博时基金管理有限公司博时价值增长基金基金经理、固定收益部总经理、基金裕泽基金经理、基金裕隆基金经理、股票投资部总经理，自2008年12月起担任鹏华基金管理有限公司副总裁。</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邢彪先生,副总裁,工商管理硕士、法学硕士，国籍：中国。历任中国人民大学校办科员，中国证监会办公厅副处级秘书，全国社保基金理事会证券投资部处长、股权资产部（实业投资部）副主任，并于2014年至2015年期间担任中国证监会第16届主板发审委专职委员，自2015年10月起担任鹏华基金管理有限公司副总裁。</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高鹏先生,副总裁,经济学硕士，国籍：中国。历任博时基金管理有限公司监察法律部监察稽核经理，鹏华基金管理有限公司监察稽核部副总经理、监察稽核部总经理、职工监事、督察长，自2014年12月起担任鹏华基金管理有限公司副总裁。</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苏波先生,副总裁,管理学博士，国籍：中国。历任深圳经济特区证券公司研究所副所长、投资部经理，南方基金管理有限公司渠道服务二部总监助理，易方达基金管理有限公司信息技术部总经理助理，鹏华基金管理有限公司机构理财部总经理、职工监事、总裁助理，自2015年9月起担任鹏华基金管理有限公司副总裁。</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高永杰先生,纪委书记，督察长,法学硕士，国籍：中国。历任中共中央办公厅秘书局干部，中国证监会办公厅新闻处干部、秘书处副处级秘书、发行监管部副处长、人事教育部副处长、处长，自2015年2月担任鹏华基金管理有限公司纪委书记、督察长。</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韩亚庆先生,副总裁,经济学硕士，国籍：中国。历任国家开发银行资金局主任科员、全国社会保障基金理事会投资部副调研员、南方基金管理有限公司固定收益部基金经理、固定收益部总监，自2017年3月起担任鹏华基金管理有限公司副总裁、固定收益投资总监、固定收益总部总经理。</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4、本基金基金经理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张羽翔先生，国籍中国，工学硕士，13年证券基金从业经验。曾任招商银行软件中心(原深圳市融博技术公司)数据分析师；2011年3月加盟鹏华基金管理有限公司，历任监察稽核部资深金融工程师、量化及衍生品投资部资深量化研究员，先后从事金融工程、量化研究等工作；现任量化及衍生品投资部基金经理。2015年09月担任鹏华上证民企50ETF联接基金基金经理，2015年09月担任民企ETF基金基金经理，2016年06月至2018年05月担任鹏华新丝路分级基金基金经理，2016年07月担任鹏华高铁分级基金基金经理，2016年09月担任鹏华中证500指数（LOF）基金基金经理，2016年09月担任鹏华沪深300指数（LOF）基金基金经理，2016年11月担任鹏华新能源分级基金基金经理，2016年11月担任鹏华一带一路分级基金基金经理，2018年04月担任鹏华互联网分级基金基金经理，2018年04月担任鹏华创业板分级基金基金经理，2018年05月至2018年08月担任鹏华沪深300指数增强基金基金经理，2018年05月担任鹏华香港中小企业指数（LOF）基金基金经理，2018年05月担任鹏华钢铁分级基金基金经理，2019年04月担任酒ETF基金基金经理，2019年07月担任国防ETF基金基金经理，2019年11月担任鹏华香港银行指数（LOF）基金基金经理，2019年12月担任银行FUND基金基金经理，2020年02月担任证保ETF基金基金经理，2020年03月担任传媒ETF基金基金经理。张羽翔先生具备基金从业资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本基金基金经理管理的其他基金情况：</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2015年09月担任鹏华上证民企50ETF联接基金基金经理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2015年09月担任民企ETF基金基金经理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2016年06月至2018年05月担任鹏华新丝路分级基金基金经理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2016年07月担任鹏华高铁分级基金基金经理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2016年09月担任鹏华中证500指数（LOF）基金基金经理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2016年09月担任鹏华沪深300指数（LOF）基金基金经理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2016年11月担任鹏华一带一路分级基金基金经理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2018年04月担任鹏华互联网分级基金基金经理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2018年04月担任鹏华创业板分级基金基金经理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2018年05月至2018年08月担任鹏华沪深300指数增强基金基金经理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2018年05月担任鹏华香港中小企业指数（LOF）基金基金经理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2018年05月担任鹏华钢铁分级基金基金经理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2019年04月担任酒ETF基金基金经理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2019年07月担任国防ETF基金基金经理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2019年11月担任鹏华香港银行指数（LOF）基金基金经理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2019年12月担任银行FUND基金基金经理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2020年02月担任证保ETF基金基金经理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2020年03月担任传媒ETF基金基金经理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本基金历任的基金经理：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2015年05月至2016年12月           焦文龙先生</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5、投资决策委员会成员情况</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邓召明先生,鹏华基金管理有限公司党委书记、董事、总裁。</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高阳先生,鹏华基金管理有限公司党委副书记、副总裁。</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邢彪先生,鹏华基金管理有限公司副总裁。</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高鹏先生,鹏华基金管理有限公司副总裁。</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韩亚庆先生,鹏华基金管理有限公司副总裁。</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梁浩先生,鹏华基金管理有限公司研究部总经理/董事总经理（MD）/基金经理，鹏华新兴产业混合、鹏华研究精选混合、鹏华创新驱动混合、鹏华研究智选混合、鹏华价值驱动混合基金、鹏华科技创新混合基金经理。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赵强先生,鹏华基金管理有限公司资产配置与基金投资部FOF投资副总监/基金经理，鹏华养老2045混合发起式（FOF）基金经理。 </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6、上述人员之间不存在近亲属关系。</w:t>
      </w:r>
    </w:p>
    <w:p w:rsidR="004A0B3A" w:rsidRDefault="004A0B3A">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二、基金托管人</w:t>
      </w:r>
    </w:p>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（一）基金托管人概况</w:t>
      </w:r>
    </w:p>
    <w:p w:rsidR="00BD2777" w:rsidRPr="00BE3EB7" w:rsidRDefault="00BD2777" w:rsidP="00BD2777">
      <w:pPr>
        <w:spacing w:line="360" w:lineRule="auto"/>
        <w:ind w:firstLineChars="200" w:firstLine="420"/>
        <w:outlineLvl w:val="0"/>
        <w:rPr>
          <w:rFonts w:ascii="宋体" w:hAnsi="宋体" w:hint="eastAsia"/>
          <w:sz w:val="21"/>
          <w:szCs w:val="21"/>
        </w:rPr>
      </w:pPr>
      <w:r w:rsidRPr="00BE3EB7">
        <w:rPr>
          <w:rFonts w:ascii="宋体" w:hAnsi="宋体" w:hint="eastAsia"/>
          <w:sz w:val="21"/>
          <w:szCs w:val="21"/>
        </w:rPr>
        <w:t>1、基本情况</w:t>
      </w:r>
    </w:p>
    <w:p w:rsidR="00BD2777" w:rsidRPr="00BE3EB7" w:rsidRDefault="00BD2777" w:rsidP="00BD2777">
      <w:pPr>
        <w:autoSpaceDE w:val="0"/>
        <w:autoSpaceDN w:val="0"/>
        <w:adjustRightInd w:val="0"/>
        <w:spacing w:line="360" w:lineRule="auto"/>
        <w:ind w:firstLineChars="200" w:firstLine="420"/>
        <w:rPr>
          <w:rFonts w:ascii="宋体" w:hAnsi="宋体" w:hint="eastAsia"/>
          <w:sz w:val="21"/>
          <w:szCs w:val="21"/>
        </w:rPr>
      </w:pPr>
      <w:bookmarkStart w:id="0" w:name="_Toc112836316"/>
      <w:bookmarkStart w:id="1" w:name="OLE_LINK2"/>
      <w:r w:rsidRPr="00BE3EB7">
        <w:rPr>
          <w:rFonts w:ascii="宋体" w:hAnsi="宋体" w:hint="eastAsia"/>
          <w:sz w:val="21"/>
          <w:szCs w:val="21"/>
        </w:rPr>
        <w:t>名称：招商银行股份有限公司（以下简称“招商银行”）</w:t>
      </w:r>
    </w:p>
    <w:p w:rsidR="00BD2777" w:rsidRPr="00BE3EB7" w:rsidRDefault="00BD2777" w:rsidP="00BD2777">
      <w:pPr>
        <w:autoSpaceDE w:val="0"/>
        <w:autoSpaceDN w:val="0"/>
        <w:adjustRightInd w:val="0"/>
        <w:spacing w:line="360" w:lineRule="auto"/>
        <w:ind w:firstLineChars="200" w:firstLine="420"/>
        <w:rPr>
          <w:rFonts w:ascii="宋体" w:hAnsi="宋体" w:hint="eastAsia"/>
          <w:sz w:val="21"/>
          <w:szCs w:val="21"/>
        </w:rPr>
      </w:pPr>
      <w:r w:rsidRPr="00BE3EB7">
        <w:rPr>
          <w:rFonts w:ascii="宋体" w:hAnsi="宋体" w:hint="eastAsia"/>
          <w:sz w:val="21"/>
          <w:szCs w:val="21"/>
        </w:rPr>
        <w:t>设立日期：1987年4月8日</w:t>
      </w:r>
    </w:p>
    <w:p w:rsidR="00BD2777" w:rsidRPr="00BE3EB7" w:rsidRDefault="00BD2777" w:rsidP="00BD2777">
      <w:pPr>
        <w:autoSpaceDE w:val="0"/>
        <w:autoSpaceDN w:val="0"/>
        <w:adjustRightInd w:val="0"/>
        <w:spacing w:line="360" w:lineRule="auto"/>
        <w:ind w:firstLineChars="200" w:firstLine="420"/>
        <w:rPr>
          <w:rFonts w:ascii="宋体" w:hAnsi="宋体" w:hint="eastAsia"/>
          <w:sz w:val="21"/>
          <w:szCs w:val="21"/>
        </w:rPr>
      </w:pPr>
      <w:r w:rsidRPr="00BE3EB7">
        <w:rPr>
          <w:rFonts w:ascii="宋体" w:hAnsi="宋体" w:hint="eastAsia"/>
          <w:sz w:val="21"/>
          <w:szCs w:val="21"/>
        </w:rPr>
        <w:t>注册地址：深圳市深南大道7088号招商银行大厦</w:t>
      </w:r>
    </w:p>
    <w:p w:rsidR="00BD2777" w:rsidRPr="00BE3EB7" w:rsidRDefault="00BD2777" w:rsidP="00BD2777">
      <w:pPr>
        <w:autoSpaceDE w:val="0"/>
        <w:autoSpaceDN w:val="0"/>
        <w:adjustRightInd w:val="0"/>
        <w:spacing w:line="360" w:lineRule="auto"/>
        <w:ind w:firstLineChars="200" w:firstLine="420"/>
        <w:rPr>
          <w:rFonts w:ascii="宋体" w:hAnsi="宋体" w:hint="eastAsia"/>
          <w:sz w:val="21"/>
          <w:szCs w:val="21"/>
        </w:rPr>
      </w:pPr>
      <w:r w:rsidRPr="00BE3EB7">
        <w:rPr>
          <w:rFonts w:ascii="宋体" w:hAnsi="宋体" w:hint="eastAsia"/>
          <w:sz w:val="21"/>
          <w:szCs w:val="21"/>
        </w:rPr>
        <w:t>办公地址：深圳市深南大道7088号招商银行大厦</w:t>
      </w:r>
    </w:p>
    <w:p w:rsidR="00BD2777" w:rsidRPr="00BE3EB7" w:rsidRDefault="00BD2777" w:rsidP="00BD2777">
      <w:pPr>
        <w:autoSpaceDE w:val="0"/>
        <w:autoSpaceDN w:val="0"/>
        <w:adjustRightInd w:val="0"/>
        <w:spacing w:line="360" w:lineRule="auto"/>
        <w:ind w:firstLineChars="200" w:firstLine="420"/>
        <w:rPr>
          <w:rFonts w:ascii="宋体" w:hAnsi="宋体" w:hint="eastAsia"/>
          <w:bCs/>
          <w:sz w:val="21"/>
          <w:szCs w:val="21"/>
        </w:rPr>
      </w:pPr>
      <w:r w:rsidRPr="00BE3EB7">
        <w:rPr>
          <w:rFonts w:ascii="宋体" w:hAnsi="宋体" w:hint="eastAsia"/>
          <w:bCs/>
          <w:sz w:val="21"/>
          <w:szCs w:val="21"/>
        </w:rPr>
        <w:t>注册资本：252.20亿元</w:t>
      </w:r>
    </w:p>
    <w:p w:rsidR="00BD2777" w:rsidRPr="00BE3EB7" w:rsidRDefault="00BD2777" w:rsidP="00BD2777">
      <w:pPr>
        <w:autoSpaceDE w:val="0"/>
        <w:autoSpaceDN w:val="0"/>
        <w:adjustRightInd w:val="0"/>
        <w:spacing w:line="360" w:lineRule="auto"/>
        <w:ind w:firstLineChars="200" w:firstLine="420"/>
        <w:rPr>
          <w:rFonts w:ascii="宋体" w:hAnsi="宋体" w:hint="eastAsia"/>
          <w:sz w:val="21"/>
          <w:szCs w:val="21"/>
        </w:rPr>
      </w:pPr>
      <w:r w:rsidRPr="00BE3EB7">
        <w:rPr>
          <w:rFonts w:ascii="宋体" w:hAnsi="宋体" w:hint="eastAsia"/>
          <w:sz w:val="21"/>
          <w:szCs w:val="21"/>
        </w:rPr>
        <w:t>法定代表人：李建红</w:t>
      </w:r>
    </w:p>
    <w:p w:rsidR="00BD2777" w:rsidRPr="00BE3EB7" w:rsidRDefault="00BD2777" w:rsidP="00BD2777">
      <w:pPr>
        <w:autoSpaceDE w:val="0"/>
        <w:autoSpaceDN w:val="0"/>
        <w:adjustRightInd w:val="0"/>
        <w:spacing w:line="360" w:lineRule="auto"/>
        <w:ind w:firstLineChars="200" w:firstLine="420"/>
        <w:rPr>
          <w:rFonts w:ascii="宋体" w:hAnsi="宋体" w:hint="eastAsia"/>
          <w:sz w:val="21"/>
          <w:szCs w:val="21"/>
        </w:rPr>
      </w:pPr>
      <w:r w:rsidRPr="00BE3EB7">
        <w:rPr>
          <w:rFonts w:ascii="宋体" w:hAnsi="宋体" w:hint="eastAsia"/>
          <w:sz w:val="21"/>
          <w:szCs w:val="21"/>
        </w:rPr>
        <w:t>行长：田惠宇</w:t>
      </w:r>
    </w:p>
    <w:p w:rsidR="00BD2777" w:rsidRPr="00BE3EB7" w:rsidRDefault="00BD2777" w:rsidP="00BD2777">
      <w:pPr>
        <w:autoSpaceDE w:val="0"/>
        <w:autoSpaceDN w:val="0"/>
        <w:adjustRightInd w:val="0"/>
        <w:spacing w:line="360" w:lineRule="auto"/>
        <w:ind w:firstLineChars="200" w:firstLine="420"/>
        <w:rPr>
          <w:rFonts w:ascii="宋体" w:hAnsi="宋体" w:hint="eastAsia"/>
          <w:sz w:val="21"/>
          <w:szCs w:val="21"/>
        </w:rPr>
      </w:pPr>
      <w:r w:rsidRPr="00BE3EB7">
        <w:rPr>
          <w:rFonts w:ascii="宋体" w:hAnsi="宋体" w:hint="eastAsia"/>
          <w:sz w:val="21"/>
          <w:szCs w:val="21"/>
        </w:rPr>
        <w:t>资产托管业务批准文号：证监基金字[2002]83号</w:t>
      </w:r>
    </w:p>
    <w:p w:rsidR="00BD2777" w:rsidRPr="00BE3EB7" w:rsidRDefault="00BD2777" w:rsidP="00BD2777">
      <w:pPr>
        <w:autoSpaceDE w:val="0"/>
        <w:autoSpaceDN w:val="0"/>
        <w:adjustRightInd w:val="0"/>
        <w:spacing w:line="360" w:lineRule="auto"/>
        <w:ind w:firstLineChars="200" w:firstLine="420"/>
        <w:rPr>
          <w:rFonts w:ascii="宋体" w:hAnsi="宋体" w:hint="eastAsia"/>
          <w:sz w:val="21"/>
          <w:szCs w:val="21"/>
        </w:rPr>
      </w:pPr>
      <w:r w:rsidRPr="00BE3EB7">
        <w:rPr>
          <w:rFonts w:ascii="宋体" w:hAnsi="宋体" w:hint="eastAsia"/>
          <w:sz w:val="21"/>
          <w:szCs w:val="21"/>
        </w:rPr>
        <w:t>电话：0755-83199084</w:t>
      </w:r>
    </w:p>
    <w:p w:rsidR="00BD2777" w:rsidRPr="00BE3EB7" w:rsidRDefault="00BD2777" w:rsidP="00BD2777">
      <w:pPr>
        <w:autoSpaceDE w:val="0"/>
        <w:autoSpaceDN w:val="0"/>
        <w:adjustRightInd w:val="0"/>
        <w:spacing w:line="360" w:lineRule="auto"/>
        <w:ind w:firstLineChars="200" w:firstLine="420"/>
        <w:rPr>
          <w:rFonts w:ascii="宋体" w:hAnsi="宋体" w:hint="eastAsia"/>
          <w:sz w:val="21"/>
          <w:szCs w:val="21"/>
        </w:rPr>
      </w:pPr>
      <w:r w:rsidRPr="00BE3EB7">
        <w:rPr>
          <w:rFonts w:ascii="宋体" w:hAnsi="宋体" w:hint="eastAsia"/>
          <w:sz w:val="21"/>
          <w:szCs w:val="21"/>
        </w:rPr>
        <w:t>传真：0755-83195201</w:t>
      </w:r>
    </w:p>
    <w:p w:rsidR="00BD2777" w:rsidRPr="00BE3EB7" w:rsidRDefault="00BD2777" w:rsidP="00BD2777">
      <w:pPr>
        <w:autoSpaceDE w:val="0"/>
        <w:autoSpaceDN w:val="0"/>
        <w:adjustRightInd w:val="0"/>
        <w:spacing w:line="360" w:lineRule="auto"/>
        <w:ind w:firstLineChars="200" w:firstLine="420"/>
        <w:rPr>
          <w:rFonts w:ascii="宋体" w:hAnsi="宋体" w:hint="eastAsia"/>
          <w:sz w:val="21"/>
          <w:szCs w:val="21"/>
        </w:rPr>
      </w:pPr>
      <w:r w:rsidRPr="00BE3EB7">
        <w:rPr>
          <w:rFonts w:ascii="宋体" w:hAnsi="宋体" w:hint="eastAsia"/>
          <w:sz w:val="21"/>
          <w:szCs w:val="21"/>
        </w:rPr>
        <w:t>资产托管部信息披露负责人：张燕</w:t>
      </w:r>
    </w:p>
    <w:p w:rsidR="00BD2777" w:rsidRPr="00BE3EB7" w:rsidRDefault="00BD2777" w:rsidP="00BD2777">
      <w:pPr>
        <w:autoSpaceDE w:val="0"/>
        <w:autoSpaceDN w:val="0"/>
        <w:adjustRightInd w:val="0"/>
        <w:spacing w:line="360" w:lineRule="auto"/>
        <w:ind w:firstLineChars="200" w:firstLine="420"/>
        <w:rPr>
          <w:rFonts w:ascii="宋体" w:hAnsi="宋体" w:hint="eastAsia"/>
          <w:sz w:val="21"/>
          <w:szCs w:val="21"/>
        </w:rPr>
      </w:pPr>
      <w:r w:rsidRPr="00BE3EB7">
        <w:rPr>
          <w:rFonts w:ascii="宋体" w:hAnsi="宋体" w:hint="eastAsia"/>
          <w:sz w:val="21"/>
          <w:szCs w:val="21"/>
        </w:rPr>
        <w:t xml:space="preserve">2、发展概况 </w:t>
      </w:r>
    </w:p>
    <w:p w:rsidR="00BD2777" w:rsidRPr="00BE3EB7" w:rsidRDefault="00BD2777" w:rsidP="00BD2777">
      <w:pPr>
        <w:autoSpaceDE w:val="0"/>
        <w:autoSpaceDN w:val="0"/>
        <w:adjustRightInd w:val="0"/>
        <w:spacing w:line="360" w:lineRule="auto"/>
        <w:ind w:firstLine="420"/>
        <w:rPr>
          <w:rFonts w:ascii="宋体" w:hAnsi="宋体"/>
          <w:kern w:val="36"/>
          <w:sz w:val="21"/>
          <w:szCs w:val="21"/>
        </w:rPr>
      </w:pPr>
      <w:r w:rsidRPr="00BE3EB7">
        <w:rPr>
          <w:rFonts w:ascii="宋体" w:hAnsi="宋体" w:hint="eastAsia"/>
          <w:kern w:val="36"/>
          <w:sz w:val="21"/>
          <w:szCs w:val="21"/>
        </w:rPr>
        <w:t>招商银行成立于1987年4月8日，是我国第一家完全由企业法人持股的股份制商业银行，总行设在深圳。自成立以来，招商银行先后进行了三次增资扩股，并于2002年3月成功地发行了15亿A股，4月9日在上交所挂牌（股票代码：600036），是国内第一家采用国际会计标准上市的公司。2006年9月又成功发行了22亿H股，9月22日在香港联交所挂牌交易（股票代码：3968），10月5日行使H股超额配售，共发行了24.2亿H股。截至2019年12月31日，本集团总资产74,172.40亿元人民币，高级法下资本充足率</w:t>
      </w:r>
      <w:r w:rsidRPr="00BE3EB7">
        <w:rPr>
          <w:rFonts w:ascii="宋体" w:hAnsi="宋体"/>
          <w:kern w:val="36"/>
          <w:sz w:val="21"/>
          <w:szCs w:val="21"/>
        </w:rPr>
        <w:t>15</w:t>
      </w:r>
      <w:r w:rsidRPr="00BE3EB7">
        <w:rPr>
          <w:rFonts w:ascii="宋体" w:hAnsi="宋体" w:hint="eastAsia"/>
          <w:kern w:val="36"/>
          <w:sz w:val="21"/>
          <w:szCs w:val="21"/>
        </w:rPr>
        <w:t>.54</w:t>
      </w:r>
      <w:r w:rsidRPr="00BE3EB7">
        <w:rPr>
          <w:rFonts w:ascii="宋体" w:hAnsi="宋体"/>
          <w:kern w:val="36"/>
          <w:sz w:val="21"/>
          <w:szCs w:val="21"/>
        </w:rPr>
        <w:t>%</w:t>
      </w:r>
      <w:r w:rsidRPr="00BE3EB7">
        <w:rPr>
          <w:rFonts w:ascii="宋体" w:hAnsi="宋体" w:hint="eastAsia"/>
          <w:kern w:val="36"/>
          <w:sz w:val="21"/>
          <w:szCs w:val="21"/>
        </w:rPr>
        <w:t>，权重法下资本充足率13.02%。</w:t>
      </w:r>
    </w:p>
    <w:p w:rsidR="00BD2777" w:rsidRPr="00BE3EB7" w:rsidRDefault="00BD2777" w:rsidP="00BD2777">
      <w:pPr>
        <w:spacing w:line="360" w:lineRule="auto"/>
        <w:ind w:firstLineChars="200" w:firstLine="420"/>
        <w:rPr>
          <w:rFonts w:ascii="宋体" w:hAnsi="宋体" w:hint="eastAsia"/>
          <w:kern w:val="36"/>
          <w:sz w:val="21"/>
          <w:szCs w:val="21"/>
        </w:rPr>
      </w:pPr>
      <w:r w:rsidRPr="00BE3EB7">
        <w:rPr>
          <w:rFonts w:ascii="宋体" w:hAnsi="宋体" w:hint="eastAsia"/>
          <w:kern w:val="36"/>
          <w:sz w:val="21"/>
          <w:szCs w:val="21"/>
        </w:rPr>
        <w:t>20</w:t>
      </w:r>
      <w:r w:rsidRPr="00BE3EB7">
        <w:rPr>
          <w:rFonts w:ascii="宋体" w:hAnsi="宋体"/>
          <w:kern w:val="36"/>
          <w:sz w:val="21"/>
          <w:szCs w:val="21"/>
        </w:rPr>
        <w:t>02</w:t>
      </w:r>
      <w:r w:rsidRPr="00BE3EB7">
        <w:rPr>
          <w:rFonts w:ascii="宋体" w:hAnsi="宋体" w:hint="eastAsia"/>
          <w:kern w:val="36"/>
          <w:sz w:val="21"/>
          <w:szCs w:val="21"/>
        </w:rPr>
        <w:t>年</w:t>
      </w:r>
      <w:r w:rsidRPr="00BE3EB7">
        <w:rPr>
          <w:rFonts w:ascii="宋体" w:hAnsi="宋体"/>
          <w:kern w:val="36"/>
          <w:sz w:val="21"/>
          <w:szCs w:val="21"/>
        </w:rPr>
        <w:t>8</w:t>
      </w:r>
      <w:r w:rsidRPr="00BE3EB7">
        <w:rPr>
          <w:rFonts w:ascii="宋体" w:hAnsi="宋体" w:hint="eastAsia"/>
          <w:kern w:val="36"/>
          <w:sz w:val="21"/>
          <w:szCs w:val="21"/>
        </w:rPr>
        <w:t>月，招商银行成立基金托管部；</w:t>
      </w:r>
      <w:r w:rsidRPr="00BE3EB7">
        <w:rPr>
          <w:rFonts w:ascii="宋体" w:hAnsi="宋体"/>
          <w:kern w:val="36"/>
          <w:sz w:val="21"/>
          <w:szCs w:val="21"/>
        </w:rPr>
        <w:t>2005</w:t>
      </w:r>
      <w:r w:rsidRPr="00BE3EB7">
        <w:rPr>
          <w:rFonts w:ascii="宋体" w:hAnsi="宋体" w:hint="eastAsia"/>
          <w:kern w:val="36"/>
          <w:sz w:val="21"/>
          <w:szCs w:val="21"/>
        </w:rPr>
        <w:t>年</w:t>
      </w:r>
      <w:r w:rsidRPr="00BE3EB7">
        <w:rPr>
          <w:rFonts w:ascii="宋体" w:hAnsi="宋体"/>
          <w:kern w:val="36"/>
          <w:sz w:val="21"/>
          <w:szCs w:val="21"/>
        </w:rPr>
        <w:t>8</w:t>
      </w:r>
      <w:r w:rsidRPr="00BE3EB7">
        <w:rPr>
          <w:rFonts w:ascii="宋体" w:hAnsi="宋体" w:hint="eastAsia"/>
          <w:kern w:val="36"/>
          <w:sz w:val="21"/>
          <w:szCs w:val="21"/>
        </w:rPr>
        <w:t>月，经报中国证监会同意，更名为资产托管部，现下设业务管理团队、产品管理团队、项目管理</w:t>
      </w:r>
      <w:r w:rsidRPr="00BE3EB7">
        <w:rPr>
          <w:rFonts w:ascii="宋体" w:hAnsi="宋体"/>
          <w:kern w:val="36"/>
          <w:sz w:val="21"/>
          <w:szCs w:val="21"/>
        </w:rPr>
        <w:t>团队</w:t>
      </w:r>
      <w:r w:rsidRPr="00BE3EB7">
        <w:rPr>
          <w:rFonts w:ascii="宋体" w:hAnsi="宋体" w:hint="eastAsia"/>
          <w:kern w:val="36"/>
          <w:sz w:val="21"/>
          <w:szCs w:val="21"/>
        </w:rPr>
        <w:t>、稽核监察团队、基金外包业务团队、</w:t>
      </w:r>
      <w:r w:rsidRPr="00BE3EB7">
        <w:rPr>
          <w:rFonts w:ascii="宋体" w:hAnsi="宋体"/>
          <w:kern w:val="36"/>
          <w:sz w:val="21"/>
          <w:szCs w:val="21"/>
        </w:rPr>
        <w:t>养老金团队、系统与数据团队7</w:t>
      </w:r>
      <w:r w:rsidRPr="00BE3EB7">
        <w:rPr>
          <w:rFonts w:ascii="宋体" w:hAnsi="宋体" w:hint="eastAsia"/>
          <w:kern w:val="36"/>
          <w:sz w:val="21"/>
          <w:szCs w:val="21"/>
        </w:rPr>
        <w:t>个职能团队，现有员工86人。</w:t>
      </w:r>
      <w:r w:rsidRPr="00BE3EB7">
        <w:rPr>
          <w:rFonts w:ascii="宋体" w:hAnsi="宋体"/>
          <w:kern w:val="36"/>
          <w:sz w:val="21"/>
          <w:szCs w:val="21"/>
        </w:rPr>
        <w:t>2002</w:t>
      </w:r>
      <w:r w:rsidRPr="00BE3EB7">
        <w:rPr>
          <w:rFonts w:ascii="宋体" w:hAnsi="宋体" w:hint="eastAsia"/>
          <w:kern w:val="36"/>
          <w:sz w:val="21"/>
          <w:szCs w:val="21"/>
        </w:rPr>
        <w:t>年</w:t>
      </w:r>
      <w:r w:rsidRPr="00BE3EB7">
        <w:rPr>
          <w:rFonts w:ascii="宋体" w:hAnsi="宋体"/>
          <w:kern w:val="36"/>
          <w:sz w:val="21"/>
          <w:szCs w:val="21"/>
        </w:rPr>
        <w:t>11</w:t>
      </w:r>
      <w:r w:rsidRPr="00BE3EB7">
        <w:rPr>
          <w:rFonts w:ascii="宋体" w:hAnsi="宋体" w:hint="eastAsia"/>
          <w:kern w:val="36"/>
          <w:sz w:val="21"/>
          <w:szCs w:val="21"/>
        </w:rPr>
        <w:t>月，经中国人民银行和中国证监会批准获得证券投资基金托管业务资格，成为国内第一家获得该项业务资格上市银行；</w:t>
      </w:r>
      <w:r w:rsidRPr="00BE3EB7">
        <w:rPr>
          <w:rFonts w:ascii="宋体" w:hAnsi="宋体"/>
          <w:kern w:val="36"/>
          <w:sz w:val="21"/>
          <w:szCs w:val="21"/>
        </w:rPr>
        <w:t>2003</w:t>
      </w:r>
      <w:r w:rsidRPr="00BE3EB7">
        <w:rPr>
          <w:rFonts w:ascii="宋体" w:hAnsi="宋体" w:hint="eastAsia"/>
          <w:kern w:val="36"/>
          <w:sz w:val="21"/>
          <w:szCs w:val="21"/>
        </w:rPr>
        <w:t>年</w:t>
      </w:r>
      <w:r w:rsidRPr="00BE3EB7">
        <w:rPr>
          <w:rFonts w:ascii="宋体" w:hAnsi="宋体"/>
          <w:kern w:val="36"/>
          <w:sz w:val="21"/>
          <w:szCs w:val="21"/>
        </w:rPr>
        <w:t>4</w:t>
      </w:r>
      <w:r w:rsidRPr="00BE3EB7">
        <w:rPr>
          <w:rFonts w:ascii="宋体" w:hAnsi="宋体" w:hint="eastAsia"/>
          <w:kern w:val="36"/>
          <w:sz w:val="21"/>
          <w:szCs w:val="21"/>
        </w:rPr>
        <w:t>月，正 式办理基金托管业务。</w:t>
      </w:r>
      <w:bookmarkStart w:id="2" w:name="OLE_LINK1"/>
      <w:r w:rsidRPr="00BE3EB7">
        <w:rPr>
          <w:rFonts w:ascii="宋体" w:hAnsi="宋体" w:hint="eastAsia"/>
          <w:kern w:val="36"/>
          <w:sz w:val="21"/>
          <w:szCs w:val="21"/>
        </w:rPr>
        <w:t>招商银行作为托管业务资质最全的商业银行，拥有证券投资基金托管、受托投资管理托管、合格境外机构投资者托管（</w:t>
      </w:r>
      <w:r w:rsidRPr="00BE3EB7">
        <w:rPr>
          <w:rFonts w:ascii="宋体" w:hAnsi="宋体"/>
          <w:kern w:val="36"/>
          <w:sz w:val="21"/>
          <w:szCs w:val="21"/>
        </w:rPr>
        <w:t>QFII</w:t>
      </w:r>
      <w:r w:rsidRPr="00BE3EB7">
        <w:rPr>
          <w:rFonts w:ascii="宋体" w:hAnsi="宋体" w:hint="eastAsia"/>
          <w:kern w:val="36"/>
          <w:sz w:val="21"/>
          <w:szCs w:val="21"/>
        </w:rPr>
        <w:t>）、合格境内机构投资者托管（QDII）、全国社会保障基金托管、保险资金托管、企业年金基金托管、存托凭证</w:t>
      </w:r>
      <w:r w:rsidRPr="00BE3EB7">
        <w:rPr>
          <w:rFonts w:ascii="宋体" w:hAnsi="宋体"/>
          <w:kern w:val="36"/>
          <w:sz w:val="21"/>
          <w:szCs w:val="21"/>
        </w:rPr>
        <w:t>试点</w:t>
      </w:r>
      <w:r w:rsidRPr="00BE3EB7">
        <w:rPr>
          <w:rFonts w:ascii="宋体" w:hAnsi="宋体" w:hint="eastAsia"/>
          <w:kern w:val="36"/>
          <w:sz w:val="21"/>
          <w:szCs w:val="21"/>
        </w:rPr>
        <w:t>存</w:t>
      </w:r>
      <w:r w:rsidRPr="00BE3EB7">
        <w:rPr>
          <w:rFonts w:ascii="宋体" w:hAnsi="宋体"/>
          <w:kern w:val="36"/>
          <w:sz w:val="21"/>
          <w:szCs w:val="21"/>
        </w:rPr>
        <w:t>托人</w:t>
      </w:r>
      <w:r w:rsidRPr="00BE3EB7">
        <w:rPr>
          <w:rFonts w:ascii="宋体" w:hAnsi="宋体" w:hint="eastAsia"/>
          <w:kern w:val="36"/>
          <w:sz w:val="21"/>
          <w:szCs w:val="21"/>
        </w:rPr>
        <w:t>等业务资格。</w:t>
      </w:r>
    </w:p>
    <w:p w:rsidR="00BD2777" w:rsidRPr="00BE3EB7" w:rsidRDefault="00BD2777" w:rsidP="00BD2777">
      <w:pPr>
        <w:spacing w:line="360" w:lineRule="auto"/>
        <w:ind w:firstLineChars="200" w:firstLine="420"/>
        <w:rPr>
          <w:rFonts w:ascii="宋体" w:hAnsi="宋体" w:hint="eastAsia"/>
          <w:kern w:val="36"/>
          <w:sz w:val="21"/>
          <w:szCs w:val="21"/>
        </w:rPr>
      </w:pPr>
      <w:r w:rsidRPr="00BE3EB7">
        <w:rPr>
          <w:rFonts w:ascii="宋体" w:hAnsi="宋体" w:hint="eastAsia"/>
          <w:kern w:val="36"/>
          <w:sz w:val="21"/>
          <w:szCs w:val="21"/>
        </w:rPr>
        <w:t>招商银行确立“因势而变、先您所想”的托管理念和“财富所托、信守承诺”的托管核心价值，独创“6S托管银行”品牌体系，以“保护您的业务、保护您的财富”为历史使命，不断创新托管系统、服务和产品：在业内率先推出“网上托管银行系统”、托管业务综合系统和“6心”托管服务标准，首家发布私募基金绩效分析报告，开办国内首个托管银行网站，推出</w:t>
      </w:r>
      <w:r w:rsidRPr="00BE3EB7">
        <w:rPr>
          <w:rFonts w:ascii="宋体" w:hAnsi="宋体"/>
          <w:kern w:val="36"/>
          <w:sz w:val="21"/>
          <w:szCs w:val="21"/>
        </w:rPr>
        <w:t>国内首个托管大数据平台，</w:t>
      </w:r>
      <w:r w:rsidRPr="00BE3EB7">
        <w:rPr>
          <w:rFonts w:ascii="宋体" w:hAnsi="宋体" w:hint="eastAsia"/>
          <w:kern w:val="36"/>
          <w:sz w:val="21"/>
          <w:szCs w:val="21"/>
        </w:rPr>
        <w:t>成功托管国内第一只券商集合资产管理计划、第一只FOF、</w:t>
      </w:r>
      <w:r w:rsidRPr="00BE3EB7">
        <w:rPr>
          <w:rFonts w:ascii="宋体" w:hAnsi="宋体"/>
          <w:kern w:val="36"/>
          <w:sz w:val="21"/>
          <w:szCs w:val="21"/>
        </w:rPr>
        <w:t>第一只信托资金计划</w:t>
      </w:r>
      <w:r w:rsidRPr="00BE3EB7">
        <w:rPr>
          <w:rFonts w:ascii="宋体" w:hAnsi="宋体" w:hint="eastAsia"/>
          <w:kern w:val="36"/>
          <w:sz w:val="21"/>
          <w:szCs w:val="21"/>
        </w:rPr>
        <w:t>、第一只股权私募基金、第一家实现货币市场基金赎回资金T+1到账、</w:t>
      </w:r>
      <w:r w:rsidRPr="00BE3EB7">
        <w:rPr>
          <w:rFonts w:ascii="宋体" w:hAnsi="宋体"/>
          <w:kern w:val="36"/>
          <w:sz w:val="21"/>
          <w:szCs w:val="21"/>
        </w:rPr>
        <w:t>第一只境外银行QDII</w:t>
      </w:r>
      <w:r w:rsidRPr="00BE3EB7">
        <w:rPr>
          <w:rFonts w:ascii="宋体" w:hAnsi="宋体" w:hint="eastAsia"/>
          <w:kern w:val="36"/>
          <w:sz w:val="21"/>
          <w:szCs w:val="21"/>
        </w:rPr>
        <w:t>基金、</w:t>
      </w:r>
      <w:r w:rsidRPr="00BE3EB7">
        <w:rPr>
          <w:rFonts w:ascii="宋体" w:hAnsi="宋体"/>
          <w:kern w:val="36"/>
          <w:sz w:val="21"/>
          <w:szCs w:val="21"/>
        </w:rPr>
        <w:t>第一只红利ETF基金</w:t>
      </w:r>
      <w:r w:rsidRPr="00BE3EB7">
        <w:rPr>
          <w:rFonts w:ascii="宋体" w:hAnsi="宋体" w:hint="eastAsia"/>
          <w:kern w:val="36"/>
          <w:sz w:val="21"/>
          <w:szCs w:val="21"/>
        </w:rPr>
        <w:t>、第一只“1+N”基金专户理财、第一家大小非解禁资产、第一</w:t>
      </w:r>
      <w:r w:rsidRPr="00BE3EB7">
        <w:rPr>
          <w:rFonts w:ascii="宋体" w:hAnsi="宋体"/>
          <w:kern w:val="36"/>
          <w:sz w:val="21"/>
          <w:szCs w:val="21"/>
        </w:rPr>
        <w:t>单TOT保管</w:t>
      </w:r>
      <w:r w:rsidRPr="00BE3EB7">
        <w:rPr>
          <w:rFonts w:ascii="宋体" w:hAnsi="宋体" w:hint="eastAsia"/>
          <w:kern w:val="36"/>
          <w:sz w:val="21"/>
          <w:szCs w:val="21"/>
        </w:rPr>
        <w:t>，实现从单一托管服务商向全面投资者服务机构的转变，得到了同业认可。</w:t>
      </w:r>
      <w:bookmarkEnd w:id="2"/>
    </w:p>
    <w:p w:rsidR="00BD2777" w:rsidRPr="00BE3EB7" w:rsidRDefault="00BD2777" w:rsidP="00BD2777">
      <w:pPr>
        <w:spacing w:line="360" w:lineRule="auto"/>
        <w:ind w:firstLineChars="200" w:firstLine="420"/>
        <w:rPr>
          <w:rFonts w:ascii="宋体" w:hAnsi="宋体" w:cs="宋体" w:hint="eastAsia"/>
          <w:kern w:val="30"/>
          <w:sz w:val="21"/>
          <w:szCs w:val="21"/>
        </w:rPr>
      </w:pPr>
      <w:r w:rsidRPr="00BE3EB7">
        <w:rPr>
          <w:rFonts w:ascii="宋体" w:hAnsi="宋体" w:cs="宋体" w:hint="eastAsia"/>
          <w:kern w:val="30"/>
          <w:sz w:val="21"/>
          <w:szCs w:val="21"/>
        </w:rPr>
        <w:t>招商银行资产托管业务持续稳健发展，社会影响力不断提升,四度蝉联获《财资》“中国最佳托管专业银行”。2016年6月招商银行荣膺《财资》“中国最佳托管银行奖”，成为国内唯一获得该奖项的托管银行；“托管通”获得国内《银行家》2016中国金融创新“十佳金融产品创新奖”；7月荣膺2016年中国资产管理“金贝奖”“最佳资产托管银行”。2017年6月招商</w:t>
      </w:r>
      <w:r w:rsidRPr="00BE3EB7">
        <w:rPr>
          <w:rFonts w:ascii="宋体" w:hAnsi="宋体" w:cs="宋体"/>
          <w:kern w:val="30"/>
          <w:sz w:val="21"/>
          <w:szCs w:val="21"/>
        </w:rPr>
        <w:t>银行</w:t>
      </w:r>
      <w:r w:rsidRPr="00BE3EB7">
        <w:rPr>
          <w:rFonts w:ascii="宋体" w:hAnsi="宋体" w:cs="宋体" w:hint="eastAsia"/>
          <w:kern w:val="30"/>
          <w:sz w:val="21"/>
          <w:szCs w:val="21"/>
        </w:rPr>
        <w:t>再度荣膺《财资》“中国最佳托管银行奖”； “全功能网上托管银行</w:t>
      </w:r>
      <w:r w:rsidRPr="00BE3EB7">
        <w:rPr>
          <w:rFonts w:ascii="宋体" w:hAnsi="宋体" w:cs="宋体"/>
          <w:kern w:val="30"/>
          <w:sz w:val="21"/>
          <w:szCs w:val="21"/>
        </w:rPr>
        <w:t>2.0</w:t>
      </w:r>
      <w:r w:rsidRPr="00BE3EB7">
        <w:rPr>
          <w:rFonts w:ascii="宋体" w:hAnsi="宋体" w:cs="宋体" w:hint="eastAsia"/>
          <w:kern w:val="30"/>
          <w:sz w:val="21"/>
          <w:szCs w:val="21"/>
        </w:rPr>
        <w:t>”荣获《银行家》2017中国金融创新“十佳金融产品创新奖</w:t>
      </w:r>
      <w:r w:rsidRPr="00BE3EB7">
        <w:rPr>
          <w:rFonts w:ascii="宋体" w:hAnsi="宋体" w:cs="宋体"/>
          <w:kern w:val="30"/>
          <w:sz w:val="21"/>
          <w:szCs w:val="21"/>
        </w:rPr>
        <w:t>”</w:t>
      </w:r>
      <w:r w:rsidRPr="00BE3EB7">
        <w:rPr>
          <w:rFonts w:ascii="宋体" w:hAnsi="宋体" w:cs="宋体" w:hint="eastAsia"/>
          <w:kern w:val="30"/>
          <w:sz w:val="21"/>
          <w:szCs w:val="21"/>
        </w:rPr>
        <w:t>；8月荣膺国际财经权威媒体《亚洲</w:t>
      </w:r>
      <w:r w:rsidRPr="00BE3EB7">
        <w:rPr>
          <w:rFonts w:ascii="宋体" w:hAnsi="宋体" w:cs="宋体"/>
          <w:kern w:val="30"/>
          <w:sz w:val="21"/>
          <w:szCs w:val="21"/>
        </w:rPr>
        <w:t>银行家</w:t>
      </w:r>
      <w:r w:rsidRPr="00BE3EB7">
        <w:rPr>
          <w:rFonts w:ascii="宋体" w:hAnsi="宋体" w:cs="宋体" w:hint="eastAsia"/>
          <w:kern w:val="30"/>
          <w:sz w:val="21"/>
          <w:szCs w:val="21"/>
        </w:rPr>
        <w:t>》“中国年度托管银行奖”。2018年1月招商</w:t>
      </w:r>
      <w:r w:rsidRPr="00BE3EB7">
        <w:rPr>
          <w:rFonts w:ascii="宋体" w:hAnsi="宋体" w:cs="宋体"/>
          <w:kern w:val="30"/>
          <w:sz w:val="21"/>
          <w:szCs w:val="21"/>
        </w:rPr>
        <w:t>银行</w:t>
      </w:r>
      <w:r w:rsidRPr="00BE3EB7">
        <w:rPr>
          <w:rFonts w:ascii="宋体" w:hAnsi="宋体" w:cs="宋体" w:hint="eastAsia"/>
          <w:kern w:val="30"/>
          <w:sz w:val="21"/>
          <w:szCs w:val="21"/>
        </w:rPr>
        <w:t>荣膺中央国债登记结算有限责任公司“</w:t>
      </w:r>
      <w:r w:rsidRPr="00BE3EB7">
        <w:rPr>
          <w:rFonts w:ascii="宋体" w:hAnsi="宋体" w:cs="宋体"/>
          <w:kern w:val="30"/>
          <w:sz w:val="21"/>
          <w:szCs w:val="21"/>
        </w:rPr>
        <w:t>2017</w:t>
      </w:r>
      <w:r w:rsidRPr="00BE3EB7">
        <w:rPr>
          <w:rFonts w:ascii="宋体" w:hAnsi="宋体" w:cs="宋体" w:hint="eastAsia"/>
          <w:kern w:val="30"/>
          <w:sz w:val="21"/>
          <w:szCs w:val="21"/>
        </w:rPr>
        <w:t>年度优秀资产托管机构”奖项；同月，招商银行托管大数据平台风险管理系统荣获2016-2017年度银监会系统“金点子”方案一等奖，以及中央金融团工委、全国金融青联第五届“双提升”金点子方案二等奖；3月荣膺公募基金20年“最佳基金托管银行”奖；5月荣膺国际财经权威媒体《亚洲</w:t>
      </w:r>
      <w:r w:rsidRPr="00BE3EB7">
        <w:rPr>
          <w:rFonts w:ascii="宋体" w:hAnsi="宋体" w:cs="宋体"/>
          <w:kern w:val="30"/>
          <w:sz w:val="21"/>
          <w:szCs w:val="21"/>
        </w:rPr>
        <w:t>银行家</w:t>
      </w:r>
      <w:r w:rsidRPr="00BE3EB7">
        <w:rPr>
          <w:rFonts w:ascii="宋体" w:hAnsi="宋体" w:cs="宋体" w:hint="eastAsia"/>
          <w:kern w:val="30"/>
          <w:sz w:val="21"/>
          <w:szCs w:val="21"/>
        </w:rPr>
        <w:t>》“中国年度托管银行奖”；12月荣膺2018东方</w:t>
      </w:r>
      <w:r w:rsidRPr="00BE3EB7">
        <w:rPr>
          <w:rFonts w:ascii="宋体" w:hAnsi="宋体" w:cs="宋体"/>
          <w:kern w:val="30"/>
          <w:sz w:val="21"/>
          <w:szCs w:val="21"/>
        </w:rPr>
        <w:t>财富风云榜</w:t>
      </w:r>
      <w:r w:rsidRPr="00BE3EB7">
        <w:rPr>
          <w:rFonts w:ascii="宋体" w:hAnsi="宋体" w:cs="宋体" w:hint="eastAsia"/>
          <w:kern w:val="30"/>
          <w:sz w:val="21"/>
          <w:szCs w:val="21"/>
        </w:rPr>
        <w:t>“2018年度最佳托管银行”、“20年最值得信赖托管银行”奖。2019年3月</w:t>
      </w:r>
      <w:r w:rsidRPr="00BE3EB7">
        <w:rPr>
          <w:rFonts w:ascii="宋体" w:hAnsi="宋体" w:cs="宋体"/>
          <w:kern w:val="30"/>
          <w:sz w:val="21"/>
          <w:szCs w:val="21"/>
        </w:rPr>
        <w:t>招商银行</w:t>
      </w:r>
      <w:r w:rsidRPr="00BE3EB7">
        <w:rPr>
          <w:rFonts w:ascii="宋体" w:hAnsi="宋体" w:cs="宋体" w:hint="eastAsia"/>
          <w:kern w:val="30"/>
          <w:sz w:val="21"/>
          <w:szCs w:val="21"/>
        </w:rPr>
        <w:t>荣获《中国</w:t>
      </w:r>
      <w:r w:rsidRPr="00BE3EB7">
        <w:rPr>
          <w:rFonts w:ascii="宋体" w:hAnsi="宋体" w:cs="宋体"/>
          <w:kern w:val="30"/>
          <w:sz w:val="21"/>
          <w:szCs w:val="21"/>
        </w:rPr>
        <w:t>基金报》</w:t>
      </w:r>
      <w:r w:rsidRPr="00BE3EB7">
        <w:rPr>
          <w:rFonts w:ascii="宋体" w:hAnsi="宋体" w:cs="宋体" w:hint="eastAsia"/>
          <w:kern w:val="30"/>
          <w:sz w:val="21"/>
          <w:szCs w:val="21"/>
        </w:rPr>
        <w:t>“2018年度</w:t>
      </w:r>
      <w:r w:rsidRPr="00BE3EB7">
        <w:rPr>
          <w:rFonts w:ascii="宋体" w:hAnsi="宋体" w:cs="宋体"/>
          <w:kern w:val="30"/>
          <w:sz w:val="21"/>
          <w:szCs w:val="21"/>
        </w:rPr>
        <w:t>最佳</w:t>
      </w:r>
      <w:r w:rsidRPr="00BE3EB7">
        <w:rPr>
          <w:rFonts w:ascii="宋体" w:hAnsi="宋体" w:cs="宋体" w:hint="eastAsia"/>
          <w:kern w:val="30"/>
          <w:sz w:val="21"/>
          <w:szCs w:val="21"/>
        </w:rPr>
        <w:t>基金</w:t>
      </w:r>
      <w:r w:rsidRPr="00BE3EB7">
        <w:rPr>
          <w:rFonts w:ascii="宋体" w:hAnsi="宋体" w:cs="宋体"/>
          <w:kern w:val="30"/>
          <w:sz w:val="21"/>
          <w:szCs w:val="21"/>
        </w:rPr>
        <w:t>托管银行”</w:t>
      </w:r>
      <w:r w:rsidRPr="00BE3EB7">
        <w:rPr>
          <w:rFonts w:ascii="宋体" w:hAnsi="宋体" w:cs="宋体" w:hint="eastAsia"/>
          <w:kern w:val="30"/>
          <w:sz w:val="21"/>
          <w:szCs w:val="21"/>
        </w:rPr>
        <w:t>奖；6月</w:t>
      </w:r>
      <w:r w:rsidRPr="00BE3EB7">
        <w:rPr>
          <w:rFonts w:ascii="宋体" w:hAnsi="宋体" w:cs="宋体"/>
          <w:kern w:val="30"/>
          <w:sz w:val="21"/>
          <w:szCs w:val="21"/>
        </w:rPr>
        <w:t>荣获《</w:t>
      </w:r>
      <w:r w:rsidRPr="00BE3EB7">
        <w:rPr>
          <w:rFonts w:ascii="宋体" w:hAnsi="宋体" w:cs="宋体" w:hint="eastAsia"/>
          <w:kern w:val="30"/>
          <w:sz w:val="21"/>
          <w:szCs w:val="21"/>
        </w:rPr>
        <w:t>财资</w:t>
      </w:r>
      <w:r w:rsidRPr="00BE3EB7">
        <w:rPr>
          <w:rFonts w:ascii="宋体" w:hAnsi="宋体" w:cs="宋体"/>
          <w:kern w:val="30"/>
          <w:sz w:val="21"/>
          <w:szCs w:val="21"/>
        </w:rPr>
        <w:t>》</w:t>
      </w:r>
      <w:r w:rsidRPr="00BE3EB7">
        <w:rPr>
          <w:rFonts w:ascii="宋体" w:hAnsi="宋体" w:cs="宋体" w:hint="eastAsia"/>
          <w:kern w:val="30"/>
          <w:sz w:val="21"/>
          <w:szCs w:val="21"/>
        </w:rPr>
        <w:t>“中国最佳托管机构”“中国最佳养老金托管机构”“中国最佳零售基金行政外包”三项大奖；12月荣获2019东方</w:t>
      </w:r>
      <w:r w:rsidRPr="00BE3EB7">
        <w:rPr>
          <w:rFonts w:ascii="宋体" w:hAnsi="宋体" w:cs="宋体"/>
          <w:kern w:val="30"/>
          <w:sz w:val="21"/>
          <w:szCs w:val="21"/>
        </w:rPr>
        <w:t>财富风云榜</w:t>
      </w:r>
      <w:r w:rsidRPr="00BE3EB7">
        <w:rPr>
          <w:rFonts w:ascii="宋体" w:hAnsi="宋体" w:cs="宋体" w:hint="eastAsia"/>
          <w:kern w:val="30"/>
          <w:sz w:val="21"/>
          <w:szCs w:val="21"/>
        </w:rPr>
        <w:t>“2019年度最佳托管银行”奖。</w:t>
      </w:r>
    </w:p>
    <w:p w:rsidR="00BD2777" w:rsidRPr="00BE3EB7" w:rsidRDefault="00BD2777" w:rsidP="00BD2777">
      <w:pPr>
        <w:autoSpaceDE w:val="0"/>
        <w:autoSpaceDN w:val="0"/>
        <w:adjustRightInd w:val="0"/>
        <w:spacing w:line="360" w:lineRule="auto"/>
        <w:ind w:firstLine="420"/>
        <w:rPr>
          <w:rFonts w:ascii="宋体" w:hAnsi="宋体" w:hint="eastAsia"/>
          <w:sz w:val="21"/>
          <w:szCs w:val="21"/>
        </w:rPr>
      </w:pPr>
    </w:p>
    <w:p w:rsidR="00BD2777" w:rsidRPr="00BE3EB7" w:rsidRDefault="00BD2777" w:rsidP="00BD2777">
      <w:pPr>
        <w:autoSpaceDE w:val="0"/>
        <w:autoSpaceDN w:val="0"/>
        <w:adjustRightInd w:val="0"/>
        <w:spacing w:line="360" w:lineRule="auto"/>
        <w:ind w:firstLine="420"/>
        <w:rPr>
          <w:rFonts w:ascii="宋体" w:hAnsi="宋体" w:hint="eastAsia"/>
          <w:sz w:val="21"/>
          <w:szCs w:val="21"/>
        </w:rPr>
      </w:pPr>
      <w:r w:rsidRPr="00BE3EB7">
        <w:rPr>
          <w:rFonts w:ascii="宋体" w:hAnsi="宋体" w:hint="eastAsia"/>
          <w:sz w:val="21"/>
          <w:szCs w:val="21"/>
        </w:rPr>
        <w:t>（二）主要人员情况</w:t>
      </w:r>
    </w:p>
    <w:p w:rsidR="00BD2777" w:rsidRPr="00BE3EB7" w:rsidRDefault="00BD2777" w:rsidP="00BD2777">
      <w:pPr>
        <w:spacing w:line="360" w:lineRule="auto"/>
        <w:ind w:firstLine="420"/>
        <w:rPr>
          <w:rFonts w:ascii="宋体" w:hAnsi="宋体" w:hint="eastAsia"/>
          <w:sz w:val="21"/>
          <w:szCs w:val="21"/>
        </w:rPr>
      </w:pPr>
      <w:r w:rsidRPr="00BE3EB7">
        <w:rPr>
          <w:rFonts w:ascii="宋体" w:hAnsi="宋体" w:hint="eastAsia"/>
          <w:sz w:val="21"/>
          <w:szCs w:val="21"/>
        </w:rPr>
        <w:t>李建红先生，本行董事长、非执行董事，2014年7月起担任本行董事、董事长。英国东伦敦大学工商管理硕士、吉林大学经济管理专业硕士，高级经济师。招商局集团有限公司董事长，兼任招商局国际有限公司董事会主席、招商局能源运输股份有限公司董事长、中国国际海运集装箱（集团）股份有限公司董事长、招商局华建公路投资有限公司董事长和招商局资本投资有限责任公司董事长。曾任中国远洋运输（集团）总公司总裁助理、总经济师、副总裁，招商局集团有限公司董事、总裁。</w:t>
      </w:r>
    </w:p>
    <w:p w:rsidR="00BD2777" w:rsidRPr="00BE3EB7" w:rsidRDefault="00BD2777" w:rsidP="00BD2777">
      <w:pPr>
        <w:spacing w:line="360" w:lineRule="auto"/>
        <w:ind w:firstLine="420"/>
        <w:rPr>
          <w:rFonts w:ascii="宋体" w:hAnsi="宋体" w:cs="宋体" w:hint="eastAsia"/>
          <w:sz w:val="21"/>
          <w:szCs w:val="21"/>
        </w:rPr>
      </w:pPr>
      <w:r w:rsidRPr="00BE3EB7">
        <w:rPr>
          <w:rFonts w:ascii="宋体" w:hAnsi="宋体" w:hint="eastAsia"/>
          <w:sz w:val="21"/>
          <w:szCs w:val="21"/>
        </w:rPr>
        <w:t>田惠宇先生，本行行长、执行董事，2013年5月起担任本行行长、本行执行董事。美国哥伦比亚大学公共管理硕士学位，高级经济师。曾于2003 年7 月至2013年5月历任上海银行副行长、中国建设银行上海市分行副行长、深圳市分行行长、中国建设银行零售业务总监兼北京市分行行长。</w:t>
      </w:r>
    </w:p>
    <w:p w:rsidR="00BD2777" w:rsidRPr="00BE3EB7" w:rsidRDefault="00BD2777" w:rsidP="00BD2777">
      <w:pPr>
        <w:spacing w:line="360" w:lineRule="auto"/>
        <w:ind w:firstLine="420"/>
        <w:rPr>
          <w:rFonts w:ascii="宋体" w:hAnsi="宋体" w:hint="eastAsia"/>
          <w:sz w:val="21"/>
          <w:szCs w:val="21"/>
        </w:rPr>
      </w:pPr>
      <w:r w:rsidRPr="00BE3EB7">
        <w:rPr>
          <w:rFonts w:ascii="宋体" w:hAnsi="宋体" w:hint="eastAsia"/>
          <w:sz w:val="21"/>
          <w:szCs w:val="21"/>
        </w:rPr>
        <w:t>汪建中先生，本行副行长。1991年加入本行；2002年10月至2013年12月历任本行长沙分行行长，总行公司银行部副总经理，佛山分行筹备组组长，佛山分行行长，武汉分行行长；2013年12月至2016年10月任本行业务总监兼公司金融总部总裁，期间先后兼任公司金融综合管理部总经理、战略客户部总经理；2016年10月至2017年4月任本行业务总监兼北京分行行长；2017年4月起任本行党委委员兼北京分行行长。2019年4月起任本行副行长。</w:t>
      </w:r>
    </w:p>
    <w:p w:rsidR="00BD2777" w:rsidRPr="00BE3EB7" w:rsidRDefault="00BD2777" w:rsidP="00BD2777">
      <w:pPr>
        <w:spacing w:line="360" w:lineRule="auto"/>
        <w:ind w:firstLine="420"/>
        <w:rPr>
          <w:rFonts w:ascii="宋体" w:hAnsi="宋体" w:hint="eastAsia"/>
          <w:sz w:val="21"/>
          <w:szCs w:val="21"/>
        </w:rPr>
      </w:pPr>
    </w:p>
    <w:p w:rsidR="00BD2777" w:rsidRPr="00BE3EB7" w:rsidRDefault="00BD2777" w:rsidP="00BD2777">
      <w:pPr>
        <w:autoSpaceDE w:val="0"/>
        <w:autoSpaceDN w:val="0"/>
        <w:adjustRightInd w:val="0"/>
        <w:spacing w:line="360" w:lineRule="auto"/>
        <w:ind w:firstLine="420"/>
        <w:rPr>
          <w:rFonts w:ascii="宋体" w:hAnsi="宋体" w:hint="eastAsia"/>
          <w:sz w:val="21"/>
          <w:szCs w:val="21"/>
        </w:rPr>
      </w:pPr>
      <w:r w:rsidRPr="00BE3EB7">
        <w:rPr>
          <w:rFonts w:ascii="宋体" w:hAnsi="宋体" w:hint="eastAsia"/>
          <w:sz w:val="21"/>
          <w:szCs w:val="21"/>
        </w:rPr>
        <w:t>（三）基金托管业务经营情况</w:t>
      </w:r>
    </w:p>
    <w:p w:rsidR="00BD2777" w:rsidRPr="00BE3EB7" w:rsidRDefault="00BD2777" w:rsidP="00BD2777">
      <w:pPr>
        <w:spacing w:before="75" w:after="75" w:line="360" w:lineRule="auto"/>
        <w:ind w:firstLineChars="200" w:firstLine="420"/>
        <w:rPr>
          <w:rFonts w:ascii="宋体" w:hAnsi="宋体" w:hint="eastAsia"/>
          <w:sz w:val="21"/>
          <w:szCs w:val="21"/>
        </w:rPr>
      </w:pPr>
      <w:r w:rsidRPr="00BE3EB7">
        <w:rPr>
          <w:rFonts w:ascii="宋体" w:hAnsi="宋体" w:hint="eastAsia"/>
          <w:sz w:val="21"/>
          <w:szCs w:val="21"/>
        </w:rPr>
        <w:t>截至2019年12月31日，招商银行股份有限公司累计托管</w:t>
      </w:r>
      <w:r w:rsidRPr="00BE3EB7">
        <w:rPr>
          <w:rFonts w:ascii="宋体" w:hAnsi="宋体" w:cs="宋体" w:hint="eastAsia"/>
          <w:sz w:val="21"/>
          <w:szCs w:val="21"/>
        </w:rPr>
        <w:t>545只证券投资基金</w:t>
      </w:r>
      <w:r w:rsidRPr="00BE3EB7">
        <w:rPr>
          <w:rFonts w:ascii="宋体" w:hAnsi="宋体" w:hint="eastAsia"/>
          <w:sz w:val="21"/>
          <w:szCs w:val="21"/>
        </w:rPr>
        <w:t>。</w:t>
      </w:r>
    </w:p>
    <w:p w:rsidR="00BD2777" w:rsidRPr="00BE3EB7" w:rsidRDefault="00BD2777" w:rsidP="00BD2777">
      <w:pPr>
        <w:spacing w:line="360" w:lineRule="auto"/>
        <w:rPr>
          <w:rFonts w:ascii="宋体" w:hAnsi="宋体" w:hint="eastAsia"/>
          <w:sz w:val="21"/>
          <w:szCs w:val="21"/>
        </w:rPr>
      </w:pPr>
      <w:r w:rsidRPr="00BE3EB7">
        <w:rPr>
          <w:rFonts w:ascii="宋体" w:hAnsi="宋体" w:hint="eastAsia"/>
          <w:sz w:val="21"/>
          <w:szCs w:val="21"/>
        </w:rPr>
        <w:t xml:space="preserve">  </w:t>
      </w:r>
    </w:p>
    <w:bookmarkEnd w:id="0"/>
    <w:bookmarkEnd w:id="1"/>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(四) 托管人的内部控制制度</w:t>
      </w:r>
    </w:p>
    <w:p w:rsidR="00BD2777" w:rsidRPr="00BE3EB7" w:rsidRDefault="00BD2777" w:rsidP="00BD2777">
      <w:pPr>
        <w:widowControl w:val="0"/>
        <w:numPr>
          <w:ilvl w:val="0"/>
          <w:numId w:val="1"/>
        </w:numPr>
        <w:spacing w:line="360" w:lineRule="auto"/>
        <w:ind w:left="0" w:firstLineChars="200" w:firstLine="420"/>
        <w:jc w:val="both"/>
        <w:rPr>
          <w:rFonts w:ascii="宋体" w:hAnsi="宋体" w:hint="eastAsia"/>
          <w:sz w:val="21"/>
          <w:szCs w:val="21"/>
        </w:rPr>
      </w:pPr>
      <w:r w:rsidRPr="00BE3EB7">
        <w:rPr>
          <w:rFonts w:ascii="宋体" w:hAnsi="宋体" w:hint="eastAsia"/>
          <w:sz w:val="21"/>
          <w:szCs w:val="21"/>
        </w:rPr>
        <w:t>内部控制目标</w:t>
      </w:r>
    </w:p>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及时；确保内控机制、体制的不断改进和各项业务制度、流程的不断完善。</w:t>
      </w:r>
    </w:p>
    <w:p w:rsidR="00BD2777" w:rsidRPr="00BE3EB7" w:rsidRDefault="00BD2777" w:rsidP="00BD2777">
      <w:pPr>
        <w:widowControl w:val="0"/>
        <w:numPr>
          <w:ilvl w:val="0"/>
          <w:numId w:val="1"/>
        </w:numPr>
        <w:spacing w:line="360" w:lineRule="auto"/>
        <w:ind w:left="0" w:firstLineChars="200" w:firstLine="420"/>
        <w:jc w:val="both"/>
        <w:rPr>
          <w:rFonts w:ascii="宋体" w:hAnsi="宋体" w:hint="eastAsia"/>
          <w:sz w:val="21"/>
          <w:szCs w:val="21"/>
        </w:rPr>
      </w:pPr>
      <w:r w:rsidRPr="00BE3EB7">
        <w:rPr>
          <w:rFonts w:ascii="宋体" w:hAnsi="宋体" w:hint="eastAsia"/>
          <w:sz w:val="21"/>
          <w:szCs w:val="21"/>
        </w:rPr>
        <w:t>内部控制组织结构</w:t>
      </w:r>
    </w:p>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招商银行资产托管业务建立三级内部控制及风险防范体系：</w:t>
      </w:r>
    </w:p>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一级内部控制及风险防范是在招商银行总行风险管控层面对风险进行预防和控制；</w:t>
      </w:r>
    </w:p>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二级内部控制及风险防范是招商银行资产托管部设立</w:t>
      </w:r>
      <w:r w:rsidRPr="00BE3EB7">
        <w:rPr>
          <w:rFonts w:ascii="宋体" w:hAnsi="宋体" w:hint="eastAsia"/>
          <w:bCs/>
          <w:kern w:val="36"/>
          <w:sz w:val="21"/>
          <w:szCs w:val="21"/>
        </w:rPr>
        <w:t>稽核监察团队</w:t>
      </w:r>
      <w:r w:rsidRPr="00BE3EB7">
        <w:rPr>
          <w:rFonts w:ascii="宋体" w:hAnsi="宋体" w:hint="eastAsia"/>
          <w:sz w:val="21"/>
          <w:szCs w:val="21"/>
        </w:rPr>
        <w:t>，负责部门内部风险预防和控制；</w:t>
      </w:r>
    </w:p>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三级内部控制及风险防范是招商银行资产托管部在设置专业岗位时，遵循内控制衡原则，视业务的风险程度制定相应监督制衡机制。</w:t>
      </w:r>
    </w:p>
    <w:p w:rsidR="00BD2777" w:rsidRPr="00BE3EB7" w:rsidRDefault="00BD2777" w:rsidP="00BD2777">
      <w:pPr>
        <w:widowControl w:val="0"/>
        <w:numPr>
          <w:ilvl w:val="0"/>
          <w:numId w:val="1"/>
        </w:numPr>
        <w:spacing w:line="360" w:lineRule="auto"/>
        <w:ind w:left="0" w:firstLineChars="200" w:firstLine="420"/>
        <w:jc w:val="both"/>
        <w:rPr>
          <w:rFonts w:ascii="宋体" w:hAnsi="宋体" w:hint="eastAsia"/>
          <w:sz w:val="21"/>
          <w:szCs w:val="21"/>
        </w:rPr>
      </w:pPr>
      <w:r w:rsidRPr="00BE3EB7">
        <w:rPr>
          <w:rFonts w:ascii="宋体" w:hAnsi="宋体" w:hint="eastAsia"/>
          <w:sz w:val="21"/>
          <w:szCs w:val="21"/>
        </w:rPr>
        <w:t>内部控制原则</w:t>
      </w:r>
    </w:p>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（1）全面性原则。内部控制覆盖各项业务过程和操作环节、覆盖所有团队和岗位，并由全部人员参与。</w:t>
      </w:r>
    </w:p>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（2）审慎性原则。托管组织体系的构成、内部管理制度的建立均以防范风险、审慎经营为出发点，体现“内控优先”的要求。</w:t>
      </w:r>
    </w:p>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（3）独立性原则。招商银行资产托管部各团队、各岗位职责保持相对独立，不同托管资产之间、托管资产和自有资产之间相互分离。内部控制的检查、评价部门独立于内部控制的建立和执行部门。</w:t>
      </w:r>
    </w:p>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4）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（5）适应性原则。</w:t>
      </w:r>
      <w:r w:rsidRPr="00BE3EB7">
        <w:rPr>
          <w:rFonts w:ascii="宋体" w:hAnsi="宋体" w:hint="eastAsia"/>
          <w:bCs/>
          <w:sz w:val="21"/>
          <w:szCs w:val="21"/>
        </w:rPr>
        <w:t>内部控制适应招商银行托管业务风险管理的需要，并能够随着托管业务经营战略、经营方针、经营理念等内部环境的变化和国家法律、法规、政策制度等外部环境的改变及时进行修订和完善。</w:t>
      </w:r>
    </w:p>
    <w:p w:rsidR="00BD2777" w:rsidRPr="00BE3EB7" w:rsidRDefault="00BD2777" w:rsidP="00BD2777">
      <w:pPr>
        <w:spacing w:line="360" w:lineRule="auto"/>
        <w:ind w:firstLineChars="200" w:firstLine="420"/>
        <w:rPr>
          <w:rFonts w:ascii="宋体" w:hAnsi="宋体"/>
          <w:bCs/>
          <w:sz w:val="21"/>
          <w:szCs w:val="21"/>
        </w:rPr>
      </w:pPr>
      <w:r w:rsidRPr="00BE3EB7">
        <w:rPr>
          <w:rFonts w:ascii="宋体" w:hAnsi="宋体" w:hint="eastAsia"/>
          <w:sz w:val="21"/>
          <w:szCs w:val="21"/>
        </w:rPr>
        <w:t>（6）防火墙原则。</w:t>
      </w:r>
      <w:r w:rsidRPr="00BE3EB7">
        <w:rPr>
          <w:rFonts w:ascii="宋体" w:hAnsi="宋体" w:cs="宋体" w:hint="eastAsia"/>
          <w:sz w:val="21"/>
          <w:szCs w:val="21"/>
        </w:rPr>
        <w:t>招商银行资产</w:t>
      </w:r>
      <w:r w:rsidRPr="00BE3EB7">
        <w:rPr>
          <w:rFonts w:ascii="宋体" w:hAnsi="宋体"/>
          <w:bCs/>
          <w:sz w:val="21"/>
          <w:szCs w:val="21"/>
        </w:rPr>
        <w:t>托管部</w:t>
      </w:r>
      <w:r w:rsidRPr="00BE3EB7">
        <w:rPr>
          <w:rFonts w:ascii="宋体" w:hAnsi="宋体" w:hint="eastAsia"/>
          <w:bCs/>
          <w:sz w:val="21"/>
          <w:szCs w:val="21"/>
        </w:rPr>
        <w:t>办公场地与我行其他业务场地隔离，办公网和业务网物理分离，部门业务网和全行业务网防火墙</w:t>
      </w:r>
      <w:r w:rsidRPr="00BE3EB7">
        <w:rPr>
          <w:rFonts w:ascii="宋体" w:hAnsi="宋体"/>
          <w:bCs/>
          <w:sz w:val="21"/>
          <w:szCs w:val="21"/>
        </w:rPr>
        <w:t>策略</w:t>
      </w:r>
      <w:r w:rsidRPr="00BE3EB7">
        <w:rPr>
          <w:rFonts w:ascii="宋体" w:hAnsi="宋体" w:hint="eastAsia"/>
          <w:bCs/>
          <w:sz w:val="21"/>
          <w:szCs w:val="21"/>
        </w:rPr>
        <w:t>分离，以达到风险防范的目的。</w:t>
      </w:r>
      <w:r w:rsidRPr="00BE3EB7">
        <w:rPr>
          <w:rFonts w:ascii="宋体" w:hAnsi="宋体"/>
          <w:bCs/>
          <w:sz w:val="21"/>
          <w:szCs w:val="21"/>
        </w:rPr>
        <w:t xml:space="preserve"> </w:t>
      </w:r>
    </w:p>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（7）重要性原则。内部控制在实现全面控制的基础上，关注重要托管业务事项和高风险环节。</w:t>
      </w:r>
    </w:p>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（8）制衡性原则。内部控制能够实现在托管组织体系、机构设置及权责分配、业务流程等方面形成相互制约、相互监督，同时兼顾运营效率。</w:t>
      </w:r>
    </w:p>
    <w:p w:rsidR="00BD2777" w:rsidRPr="00BE3EB7" w:rsidRDefault="00BD2777" w:rsidP="00BD2777">
      <w:pPr>
        <w:widowControl w:val="0"/>
        <w:numPr>
          <w:ilvl w:val="0"/>
          <w:numId w:val="1"/>
        </w:numPr>
        <w:spacing w:line="360" w:lineRule="auto"/>
        <w:ind w:left="0" w:firstLineChars="200" w:firstLine="420"/>
        <w:jc w:val="both"/>
        <w:rPr>
          <w:rFonts w:ascii="宋体" w:hAnsi="宋体" w:hint="eastAsia"/>
          <w:sz w:val="21"/>
          <w:szCs w:val="21"/>
        </w:rPr>
      </w:pPr>
      <w:r w:rsidRPr="00BE3EB7">
        <w:rPr>
          <w:rFonts w:ascii="宋体" w:hAnsi="宋体" w:hint="eastAsia"/>
          <w:sz w:val="21"/>
          <w:szCs w:val="21"/>
        </w:rPr>
        <w:t>内部控制措施</w:t>
      </w:r>
    </w:p>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（1）完善的制度建设。招商银行资产托管部从资产托管业务内控管理、产品受理、会计核算、资金</w:t>
      </w:r>
      <w:r w:rsidRPr="00BE3EB7">
        <w:rPr>
          <w:rFonts w:ascii="宋体" w:hAnsi="宋体"/>
          <w:sz w:val="21"/>
          <w:szCs w:val="21"/>
        </w:rPr>
        <w:t>清算、</w:t>
      </w:r>
      <w:r w:rsidRPr="00BE3EB7">
        <w:rPr>
          <w:rFonts w:ascii="宋体" w:hAnsi="宋体" w:hint="eastAsia"/>
          <w:sz w:val="21"/>
          <w:szCs w:val="21"/>
        </w:rPr>
        <w:t>岗位管理、档案管理和信息管理等方面制定一系列规章制度，保证资产托管业务科学化、制度化、规范化运作。</w:t>
      </w:r>
    </w:p>
    <w:p w:rsidR="00BD2777" w:rsidRPr="00BE3EB7" w:rsidRDefault="00BD2777" w:rsidP="00BD2777">
      <w:pPr>
        <w:spacing w:line="360" w:lineRule="auto"/>
        <w:ind w:firstLine="420"/>
        <w:rPr>
          <w:rFonts w:ascii="宋体" w:hAnsi="宋体" w:hint="eastAsia"/>
          <w:sz w:val="21"/>
          <w:szCs w:val="21"/>
        </w:rPr>
      </w:pPr>
      <w:r w:rsidRPr="00BE3EB7">
        <w:rPr>
          <w:rFonts w:ascii="宋体" w:hAnsi="宋体" w:hint="eastAsia"/>
          <w:sz w:val="21"/>
          <w:szCs w:val="21"/>
        </w:rPr>
        <w:t>（2）业务信息风险控制。招商银行资产托管部在数据传输和保存方面有严格的加密和备份措施，采用加密、直连方式传输数据，数据执行异地实时备份，所有的业务信息须经过严格的授权方能进行访问。</w:t>
      </w:r>
    </w:p>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（3）客户资料风险控制。招商银行资产托管部对业务办理过程中形成的客户资料，视同会计资料保管。客户资料不得泄露，有关人员如需调用，须经总经理室成员审批，并做好调用登记。</w:t>
      </w:r>
    </w:p>
    <w:p w:rsidR="00BD2777" w:rsidRPr="00BE3EB7" w:rsidRDefault="00BD2777" w:rsidP="00BD2777">
      <w:pPr>
        <w:spacing w:line="360" w:lineRule="auto"/>
        <w:ind w:firstLine="420"/>
        <w:rPr>
          <w:rFonts w:ascii="宋体" w:hAnsi="宋体" w:hint="eastAsia"/>
          <w:sz w:val="21"/>
          <w:szCs w:val="21"/>
        </w:rPr>
      </w:pPr>
      <w:r w:rsidRPr="00BE3EB7">
        <w:rPr>
          <w:rFonts w:ascii="宋体" w:hAnsi="宋体" w:hint="eastAsia"/>
          <w:sz w:val="21"/>
          <w:szCs w:val="21"/>
        </w:rPr>
        <w:t>（4）信息技术系统风险控制。招商银行对信息技术系统管理实行双人双岗双责、机房24小时值班并设置门禁管理、电脑密码设置及权限管理、业务网和办公网、托管业务网与全行业务网双分离制度，与外部业务机构实行防火墙保护，对信息技术系统采取两地三中心的应急备份管理措施等，保证信息技术系统的安全。</w:t>
      </w:r>
    </w:p>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（5）人力资源控制。招商银行资产托管部通过建立良好的企业文化和员工培训、激励机制、加强人力资源管理及建立人才梯级队伍及人才储备机制，有效的进行人力资源管理。</w:t>
      </w:r>
    </w:p>
    <w:p w:rsidR="00BD2777" w:rsidRPr="00BE3EB7" w:rsidRDefault="00BD2777" w:rsidP="00BD2777">
      <w:pPr>
        <w:spacing w:line="360" w:lineRule="auto"/>
        <w:ind w:firstLineChars="200" w:firstLine="420"/>
        <w:rPr>
          <w:rFonts w:ascii="宋体" w:hAnsi="宋体"/>
          <w:sz w:val="21"/>
          <w:szCs w:val="21"/>
        </w:rPr>
      </w:pPr>
      <w:r w:rsidRPr="00BE3EB7">
        <w:rPr>
          <w:rFonts w:ascii="宋体" w:hAnsi="宋体" w:hint="eastAsia"/>
          <w:sz w:val="21"/>
          <w:szCs w:val="21"/>
        </w:rPr>
        <w:t xml:space="preserve">    </w:t>
      </w:r>
    </w:p>
    <w:p w:rsidR="00BD2777" w:rsidRPr="00BE3EB7" w:rsidRDefault="00BD2777" w:rsidP="00BD2777">
      <w:pPr>
        <w:spacing w:line="360" w:lineRule="auto"/>
        <w:ind w:firstLineChars="200" w:firstLine="420"/>
        <w:rPr>
          <w:rFonts w:ascii="宋体" w:hAnsi="宋体" w:hint="eastAsia"/>
          <w:sz w:val="21"/>
          <w:szCs w:val="21"/>
        </w:rPr>
      </w:pPr>
      <w:r w:rsidRPr="00BE3EB7">
        <w:rPr>
          <w:rFonts w:ascii="宋体" w:hAnsi="宋体" w:hint="eastAsia"/>
          <w:sz w:val="21"/>
          <w:szCs w:val="21"/>
        </w:rPr>
        <w:t>（五）基金托管人对基金管理人运作基金进行监督的方法和程序</w:t>
      </w:r>
    </w:p>
    <w:p w:rsidR="00BD2777" w:rsidRPr="00BE3EB7" w:rsidRDefault="00BD2777" w:rsidP="00BD2777">
      <w:pPr>
        <w:tabs>
          <w:tab w:val="left" w:pos="742"/>
        </w:tabs>
        <w:spacing w:line="360" w:lineRule="auto"/>
        <w:ind w:firstLineChars="200" w:firstLine="420"/>
        <w:rPr>
          <w:rFonts w:ascii="宋体" w:hAnsi="宋体" w:hint="eastAsia"/>
          <w:sz w:val="21"/>
          <w:szCs w:val="21"/>
        </w:rPr>
      </w:pPr>
      <w:r w:rsidRPr="00BE3EB7">
        <w:rPr>
          <w:rFonts w:ascii="宋体" w:hAnsi="宋体"/>
          <w:sz w:val="21"/>
          <w:szCs w:val="21"/>
        </w:rPr>
        <w:t>根据《</w:t>
      </w:r>
      <w:r w:rsidRPr="00BE3EB7">
        <w:rPr>
          <w:rFonts w:ascii="宋体" w:hAnsi="宋体" w:hint="eastAsia"/>
          <w:sz w:val="21"/>
          <w:szCs w:val="21"/>
        </w:rPr>
        <w:t>中华人民共和国证券投资</w:t>
      </w:r>
      <w:r w:rsidRPr="00BE3EB7">
        <w:rPr>
          <w:rFonts w:ascii="宋体" w:hAnsi="宋体"/>
          <w:sz w:val="21"/>
          <w:szCs w:val="21"/>
        </w:rPr>
        <w:t>基金法》、《公开募集证券投资基金运作管理办法》等有关法律法规的规定及基金合同</w:t>
      </w:r>
      <w:r w:rsidRPr="00BE3EB7">
        <w:rPr>
          <w:rFonts w:ascii="宋体" w:hAnsi="宋体" w:hint="eastAsia"/>
          <w:sz w:val="21"/>
          <w:szCs w:val="21"/>
        </w:rPr>
        <w:t>、</w:t>
      </w:r>
      <w:r w:rsidRPr="00BE3EB7">
        <w:rPr>
          <w:rFonts w:ascii="宋体" w:hAnsi="宋体"/>
          <w:sz w:val="21"/>
          <w:szCs w:val="21"/>
        </w:rPr>
        <w:t>托管协议的约定，对基金投资范围、</w:t>
      </w:r>
      <w:r w:rsidRPr="00BE3EB7">
        <w:rPr>
          <w:rFonts w:ascii="宋体" w:hAnsi="宋体" w:hint="eastAsia"/>
          <w:sz w:val="21"/>
          <w:szCs w:val="21"/>
        </w:rPr>
        <w:t>投资比例、投资组合等情况</w:t>
      </w:r>
      <w:r w:rsidRPr="00BE3EB7">
        <w:rPr>
          <w:rFonts w:ascii="宋体" w:hAnsi="宋体"/>
          <w:sz w:val="21"/>
          <w:szCs w:val="21"/>
        </w:rPr>
        <w:t>的合法性、合规性进行监督和核查</w:t>
      </w:r>
      <w:r w:rsidRPr="00BE3EB7">
        <w:rPr>
          <w:rFonts w:ascii="宋体" w:hAnsi="宋体" w:hint="eastAsia"/>
          <w:sz w:val="21"/>
          <w:szCs w:val="21"/>
        </w:rPr>
        <w:t>。</w:t>
      </w:r>
    </w:p>
    <w:p w:rsidR="00BD2777" w:rsidRPr="00BE3EB7" w:rsidRDefault="00BD2777" w:rsidP="00BD2777">
      <w:pPr>
        <w:tabs>
          <w:tab w:val="left" w:pos="742"/>
        </w:tabs>
        <w:spacing w:line="360" w:lineRule="auto"/>
        <w:ind w:firstLineChars="200" w:firstLine="420"/>
        <w:rPr>
          <w:rFonts w:ascii="宋体" w:hAnsi="宋体" w:cs="Arial" w:hint="eastAsia"/>
          <w:bCs/>
          <w:sz w:val="21"/>
          <w:szCs w:val="21"/>
        </w:rPr>
      </w:pPr>
      <w:r w:rsidRPr="00BE3EB7">
        <w:rPr>
          <w:rFonts w:ascii="宋体" w:hAnsi="宋体" w:hint="eastAsia"/>
          <w:sz w:val="21"/>
          <w:szCs w:val="21"/>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BD2777" w:rsidRPr="00BE3EB7" w:rsidRDefault="00BD2777" w:rsidP="00BD2777">
      <w:pPr>
        <w:spacing w:line="360" w:lineRule="auto"/>
        <w:ind w:firstLineChars="200" w:firstLine="420"/>
        <w:rPr>
          <w:rFonts w:ascii="宋体" w:hAnsi="宋体" w:hint="eastAsia"/>
          <w:sz w:val="21"/>
          <w:szCs w:val="21"/>
        </w:rPr>
      </w:pPr>
      <w:bookmarkStart w:id="3" w:name="_Hlt88821694"/>
      <w:bookmarkStart w:id="4" w:name="_Hlt140627910"/>
      <w:bookmarkStart w:id="5" w:name="_Hlt145312160"/>
      <w:bookmarkEnd w:id="3"/>
      <w:bookmarkEnd w:id="4"/>
      <w:r w:rsidRPr="00BE3EB7">
        <w:rPr>
          <w:rFonts w:ascii="宋体" w:hAnsi="宋体" w:cs="Arial" w:hint="eastAsia"/>
          <w:sz w:val="21"/>
          <w:szCs w:val="21"/>
        </w:rPr>
        <w:t>基金托管人如发现基金管理人依据交易程序已经生效的投资指令违反法律、行政法规和其他有关规定，或者违反基金合同约定，及时以书面形式通知基金管理人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bookmarkEnd w:id="5"/>
    </w:p>
    <w:p w:rsidR="004A0B3A" w:rsidRDefault="004A0B3A">
      <w:pPr>
        <w:widowControl w:val="0"/>
        <w:spacing w:line="360" w:lineRule="auto"/>
        <w:ind w:firstLine="420"/>
        <w:jc w:val="both"/>
        <w:rPr>
          <w:rFonts w:eastAsia="Times New Roman"/>
          <w:sz w:val="21"/>
          <w:szCs w:val="21"/>
          <w:lang w:val="en-US" w:eastAsia="zh-CN" w:bidi="ar-SA"/>
        </w:rPr>
      </w:pPr>
    </w:p>
    <w:p w:rsidR="004A0B3A" w:rsidRDefault="004A0B3A">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三、相关服务机构</w:t>
      </w:r>
    </w:p>
    <w:p w:rsidR="004A0B3A" w:rsidRDefault="004A0B3A">
      <w:pPr>
        <w:ind w:firstLine="422"/>
        <w:jc w:val="both"/>
        <w:rPr>
          <w:rFonts w:eastAsia="Times New Roman"/>
          <w:sz w:val="21"/>
          <w:szCs w:val="21"/>
          <w:lang w:val="en-US" w:eastAsia="zh-CN" w:bidi="ar-SA"/>
        </w:rPr>
      </w:pPr>
      <w:r>
        <w:rPr>
          <w:rFonts w:ascii="宋体" w:hAnsi="宋体" w:cs="宋体"/>
          <w:b/>
          <w:bCs/>
          <w:sz w:val="21"/>
          <w:szCs w:val="21"/>
          <w:lang w:val="en-US" w:eastAsia="zh-CN" w:bidi="ar-SA"/>
        </w:rPr>
        <w:t>（一）基金份额销售机构</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1、场外销售机构</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（1）直销机构</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1）鹏华基金管理有限公司直销中心</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办公地址：深圳市福田区福华三路168号深圳国际商会中心43层</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电话：（0755）82021233</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传真：（0755）82021155</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联系人：吕奇志</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2）鹏华基金管理有限公司北京分公司</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办公地址：北京市西城区金融大街甲9号502室</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电话：（010）88082426</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传真：（010）88082018</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联系人：张圆圆</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3）鹏华基金管理有限公司上海分公司</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办公地址：上海市浦东花园石桥路33号花旗大厦801B</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电话：（021）68876878</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传真：（021）68876821</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联系人：李化怡</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4）鹏华基金管理有限公司武汉分公司</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办公地址：武汉市江汉区建设大道568号新世界国贸大厦I座3305室</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电话：（027）85557881</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传真：（027）85557973</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联系人：祁明兵</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5）鹏华基金管理有限公司广州分公司</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办公地址：广州市珠江新城华夏路10号富力中心24楼07单元</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电话：（020）38927993</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传真：（020）38927990</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联系人：周樱</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（2）银行销售机构</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1）东莞农村商业银行股份有限公司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注册地址：广东省东莞市城区南城路2号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办公地址：广东省东莞市城区南城路2号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法定代表人：王耀球</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联系人：杨亢</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客户服务电话：0769-961122</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网址：www.drcbank.com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2）江苏江南农村商业银行股份有限公司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注册地址：江苏省常州市和平中路413号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办公地址：江苏省常州市和平中路413号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法定代表人：陆向阳</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联系人：蒋娇</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客户服务电话：0519-96005</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网址：www.jnbank.com.cn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3）交通银行股份有限公司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注册地址：上海市浦东新区银城中路188号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办公地址：上海市浦东新区银城中路188号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法定代表人：任德奇</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联系人：王菁</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客户服务电话：95559</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网址：www.bankcomm.com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4）招商银行股份有限公司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注册地址：深圳市深南大道7088号招商银行大厦</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办公地址：深圳市深南大道7088号招商银行大厦</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法定代表人：李建红</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联系人：邓炯鹏</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客户服务电话：95555</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网址：www.cmbchina.com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5）中国建设银行股份有限公司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注册地址：北京市西城区金融大街25号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办公地址：北京市西城区金融大街25号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法定代表人：田国立</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联系人：王未雨</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客户服务电话：95533</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网址：www.ccb.com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（3）证券公司销售机构</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1）爱建证券有限责任公司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注册地址：中国（上海）自由贸易试验区世纪大道1600号1幢32楼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办公地址：中国（上海）自由贸易试验区世纪大道1600号1幢32楼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法定代表人：祝健</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联系人：王冠昌</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客户服务电话：4001-962-502</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网址：www.ajzq.com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2）安信证券股份有限公司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注册地址：深圳市福田区金田路4018号安联大厦35层、28层A02单元</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办公地址：深圳市福田区金田路4018号安联大厦35层、28层A02单元</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法定代表人：王连志</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联系人：陈剑虹</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客户服务电话：95517或4008-001-001</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网址：www.essence.com.cn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3）渤海证券股份有限公司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注册地址：天津市经济技术开发区第二大街42号写字楼101室</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办公地址：天津市南开区宾水西道8号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法定代表人：王春峰</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联系人：蔡霆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客户服务电话：400-651-5988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网址：www.ewww.com.cn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4）长城证券股份有限公司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注册地址：深圳市福田区深南大道6008号特区报业大厦16楼-17楼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办公地址：深圳市福田区深南大道6008号特区报业大厦14楼、16楼、17楼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法定代表人：曹宏</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联系人：金夏</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客户服务电话：400-666-6888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网址：www.cgws.com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5）长江证券股份有限公司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注册地址：武汉市新华路特8号长江证券大厦</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办公地址：武汉市新华路特8号长江证券大厦</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法定代表人：尤习贵</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联系人：奚博宇</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客户服务电话：95579/4008-888-999</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网址：www.95579.com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6）大同证券有限责任公司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注册地址：山西省大同市城区迎宾街15号桐城中央21层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办公地址：山西省太原市小店区长治路世贸中心12层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法定代表人：董祥</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联系人：薛津</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客户服务电话：4007-121212</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网址：www.dtsbc.com.cn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7）德邦证券股份有限公司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注册地址：上海市普陀区曹杨路510号南半幢9楼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办公地址：上海市福山路500号城建国际中心26楼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法定代表人：武晓春</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联系人：刘熠</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客户服务电话：4008888128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网址：www.tebon.com.cn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8）第一创业证券股份有限公司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注册地址：深圳市福田区福华一路115号投行大厦20楼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办公地址：深圳市福田区福华一路115号投行大厦20楼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法定代表人：刘学民</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联系人：毛诗莉</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客户服务电话：95358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网址：www.firstcapital.com.cn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9）方正证券股份有限公司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注册地址：湖南省长沙市天心区湘江中路二段36号华远华中心4、5号楼3701-3717</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办公地址：北京市朝阳区北四环中路盘古大观A座40层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法定代表人：高利</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联系人：丁敏</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客户服务电话：95571</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网址：www.foundersc.com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10）光大证券股份有限公司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注册地址：上海市新闸路1508号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办公地址：上海市新闸路1508号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法定代表人：周健男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联系人：龚俊涛</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客户服务电话：95525</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网址：www.ebscn.com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11）国金证券股份有限公司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注册地址：四川省成都市东城根上街95号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办公地址：四川省成都市东城根上街95号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法定代表人：冉云</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联系人：贾鹏</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客户服务电话：95310</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网址：www.gjzq.com.cn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12）国联证券股份有限公司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注册地址：无锡市金融一街8号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办公地址：无锡市金融一街8号国联大厦</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法定代表人：姚志勇</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联系人：祁昊</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客户服务电话：95570</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网址：www.glsc.com.cn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13）国泰君安证券股份有限公司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注册地址：中国（上海）自由贸易试验区商城路618号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办公地址：上海市静安区南京西路768号国泰君安大厦</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法定代表人：贺青</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联系人：钟伟镇</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客户服务电话：95521/400-8888-666</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网址：www.gtja.com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14）国信证券股份有限公司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注册地址：深圳市罗湖区红岭中路1012号国信证券大厦十六层至二十六层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办公地址：深圳市罗湖区红岭中路1012号国信证券大厦十六层至二十六层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法定代表人：何如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联系人：李颖</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客户服务电话：95536</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网址：www.guosen.com.cn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15）海通证券股份有限公司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注册地址：上海市黄浦区广东路689号海通证券大厦</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办公地址：上海市黄浦区广东路689号海通证券大厦</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法定代表人：周杰</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联系人：赖奕欣</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客户服务电话：95553</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网址：www.htsec.com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16）恒泰证券股份有限公司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注册地址：内蒙古自治区呼和浩特市新城区海拉尔东街满世尚都办公商业综合楼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办公地址：呼和浩特市新城区海拉尔东街满世书香苑恒泰证券办公楼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法定代表人：庞介民</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联系人：熊丽</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客户服务电话：4001966188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网址：www.cnht.com.cn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17）华安证券股份有限公司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注册地址：安徽省合肥市政务文化新区天鹅湖路198号财智中心B</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办公地址：安徽省合肥市政务文化新区天鹅湖路198号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法定代表人：章宏韬</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联系人：范超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客户服务电话：95318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网址：www.hazq.com/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18）华融证券股份有限公司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注册地址：北京市西城区金融大街8号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办公地址：北京市朝阳区朝阳门北大街18号中国人保寿险大厦11至18层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法定代表人：祝献忠</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联系人：孙燕波</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客户服务电话：95390</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网址：www.hrsec.com.cn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19）华西证券股份有限公司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注册地址：四川省成都市高新区天府二街198号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办公地址：四川省成都市高新区天府二街198号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法定代表人：杨炯洋</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联系人：谢国梅</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客户服务电话：95584</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网址：www.hx168.com.cn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20）华鑫证券有限责任公司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注册地址：深圳市福田区莲花街道福中社区深南大道2008号中国凤凰大厦1栋20C-1房</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办公地址：上海市徐汇区宛平南路8号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法定代表人：俞洋</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联系人：杨莉娟</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客户服务电话：021-32109999；029-68918888；4001099918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网址：www.cfsc.com.cn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21）开源证券股份有限公司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注册地址：西安市高新区锦业路1号都市之门B座5层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办公地址：西安市高新区锦业路1号都市之门B座5层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法定代表人：李刚</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联系人：袁伟涛</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客户服务电话：95325/400-860-8866</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网址：www.kysec.cn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22）民生证券股份有限公司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注册地址：北京市东城区建国门内大街28号民生金融中心A座16-20层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办公地址：北京市东城区建国门内大街28号民生金融中心A座16-20层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法定代表人：冯鹤年</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联系人：韩秀萍</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客户服务电话：95376</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网址：www.mszq.com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23）平安证券股份有限公司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注册地址：深圳市福田区益田路5033号平安金融中心61层-64层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办公地址：深圳市福田区益田路5033号平安金融中心61层-64层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法定代表人：何之江</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联系人：周一涵</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客户服务电话：95511-8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网址：stock.pingan.com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24）申万宏源证券有限公司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注册地址：上海市徐汇区长乐路989号45层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办公地址：上海市徐汇区长乐路989号45层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法定代表人：李梅</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联系人：李玉婷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客户服务电话：95523/4008895523</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网址：www.swhysc.com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25）天风证券股份有限公司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注册地址：湖北省武汉市东湖新技术开发区关东园路2号高科大厦4楼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办公地址：湖北省武汉市武昌区中南路99号保利广场A座37楼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法定代表人：余磊</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联系人：夏旻</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客户服务电话：95391/4008005000</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网址：www.tfzq.com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26）西部证券股份有限公司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注册地址：西安市新城区东新街232号陕西信托大厦</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办公地址：西安市新城区东新街232号陕西信托大厦16-17层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法定代表人：刘建武</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联系人：梁承华</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客户服务电话：95582</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网址：www.westsecu.com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27）西南证券股份有限公司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注册地址：重庆市江北区桥北苑8号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办公地址：重庆市江北区桥北苑8号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法定代表人：廖庆轩</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联系人：周青</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客户服务电话：4008096096/95355</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网址：www.swsc.com.cn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28）湘财证券股份有限公司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注册地址：湖南省长沙市天心区湘府中路198号新南城商务中心A栋11楼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办公地址：湖南省长沙市天心区湘府中路198号新南城商务中心A栋11楼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法定代表人：孙永祥</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联系人：李欣</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客户服务电话：95351</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网址：www.xcsc.com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29）信达证券股份有限公司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注册地址：北京市西城区闹市口大街9号院1号楼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办公地址：北京市西城区闹市口大街9号院1号楼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法定代表人：张志刚</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联系人：尹旭航</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客户服务电话：95321</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网址：www.cindasc.com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30）兴业证券股份有限公司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注册地址：福州市湖东路268号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办公地址：上海市浦东新区长柳路36号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法定代表人：杨华辉</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联系人：乔琳雪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客户服务电话：95562</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网址：www.xyzq.com.cn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31）招商证券股份有限公司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注册地址：深圳市福田区益田路江苏大厦A座38—45层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办公地址：深圳市福田区益田路江苏大厦A座38—45层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法定代表人：宫少林</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联系人：林生迎</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客户服务电话：95565</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网址：www.newone.com.cn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32）中国国际金融股份有限公司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注册地址：北京市朝阳区建国门外大街1号国贸大厦2座27层及28层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办公地址：北京市朝阳区建国门外大街1号国贸大厦2座27层及28层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法定代表人：沈如军</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联系人：杨涵宇</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客户服务电话：4009101166</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网址：www.cicc.com.cn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33）中国民族证券有限责任公司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注册地址：北京市朝阳区北四环中路27号盘古大观40-43层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办公地址：北京市朝阳区北四环中路27号院5号楼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法定代表人：何亚刚</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联系人：胡创</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客户服务电话：40088-95618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网址：www.e5618.com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34）中国银河证券股份有限公司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注册地址：北京市西城区金融大街35号2-6层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办公地址：北京市西城区金融大街35号国际企业大厦C座</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法定代表人：陈共炎</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联系人：辛国政</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客户服务电话：4008-888-888或95551</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网址：www.chinastock.com.cn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35）中国中金财富证券有限公司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注册地址：深圳市福田区益田路与福中路交界处荣超商务中心A栋第18-21层及第04层01.02.03.05.11.12.13.15.16.18.19.20.21.22.23单元</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办公地址：深圳市福田区益田路6003号荣超商务中心A栋第4、18层至21层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法定代表人：高涛</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联系人：万玉琳</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客户服务电话：95532</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网址：www.ciccwm.com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36）中泰证券股份有限公司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注册地址：济南市市中区经七路86号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办公地址：上海市花园石桥路66号东亚银行金融大厦18层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法定代表人：李玮</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联系人：朱琴</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客户服务电话：95538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网址：www.zts.com.cn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37）中信建投证券股份有限公司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注册地址：北京市朝阳区安立路66号4号楼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办公地址：北京市朝阳门内大街188号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法定代表人：王常青</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联系人：刘畅</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客户服务电话：95587/4008-888-108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网址：www.csc108.com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38）中信证券股份有限公司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注册地址：广东省深圳市福田区中心三路8号卓越时代广场（二期）北座</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办公地址：北京市朝阳区亮马桥路48号中信证券大厦</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法定代表人：张佑君</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联系人：郑慧</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客户服务电话：95548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网址：www.cs.ecitic.com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39）中信证券华南股份有限公司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注册地址：广州市天河区珠江西路5号广州国际金融中心主塔19层、20层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办公地址：广州市天河区珠江西路5号广州国际金融中心主塔19层、20层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法定代表人：胡伏云</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联系人：梁微</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客户服务电话：95396</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网址：www.gzs.com.cn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40）中信证券（山东）有限责任公司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注册地址：青岛市崂山区深圳路222号1号楼2001</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办公地址：青岛市市南区东海西路28号龙翔广场东座5层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法定代表人：姜晓林</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联系人：焦刚</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客户服务电话：95548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网址：sd.citics.com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（4）期货公司销售机构</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1）中信建投期货有限公司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注册地址：重庆市渝中区中山三路107号上站大楼平街11-B，名义层11-A，8-B4，9-B、C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办公地址：重庆市渝中区中山三路107号皇冠大厦11楼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法定代表人：王广学</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联系人：刘芸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客户服务电话：4008877780</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网址：www.cfc108.com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2）中信期货有限公司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注册地址：广东省深圳市福田区中心三路8号卓越时代广场（二期）北座13层1301-1305、14层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办公地址：广东省深圳市福田区中心三路8号卓越时代广场（二期）北座13层1301-1305、14层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法定代表人：张皓</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联系人：刘宏莹</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客户服务电话：400-990-8826</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网址：www.citicsf.com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（5）第三方销售机构</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1）北京百度百盈基金销售有限公司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注册地址：北京市海淀区上地十街10号百度大厦2层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办公地址：北京市海淀区上地十街10号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法定代表人：梁志祥</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联系人：王笑宇</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客户服务电话：95055</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网址：www.baiyingfund.com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2）北京蛋卷基金销售有限公司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注册地址：北京市朝阳区阜通东大街1号院6号楼2单元21层222507</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办公地址：北京市朝阳区望京SOHO T3 A座19层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法定代表人：钟斐斐</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联系人：戚晓强</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客户服务电话：400-159-9288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网址：danjuanapp.com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3）北京汇成基金销售有限公司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注册地址：北京市海淀区中关村大街11号11层1108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办公地址：北京市海淀区中关村大街11号11层1108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法定代表人：王伟刚</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联系人：王晓晓</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客户服务电话：400-619-9059</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网址：www.hcjijin.com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4）北京肯特瑞基金销售有限公司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注册地址：北京市海淀区西三旗建材城中路12号17号平房157</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办公地址：北京市通州区亦庄经济技术开发区科创十一街18号院京东集团总部A座15层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 王苏宁</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联系人：韩锦星</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客户服务电话：95118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网址：kenterui.jd.com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5）北京新浪仓石基金销售有限公司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注册地址：北京市海淀区东北旺西路中关村软件园二期(西扩)N-1、N-2地块新浪总部科研楼5层518室</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办公地址：北京市海淀区东北旺西路中关村软件园二期(西扩)N-1、N-2地块新浪总部科研楼5层518室</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法定代表人：李昭琛</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联系人：吴翠</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客户服务电话：010-62675369</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网址：www.xincai.com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6）和讯信息科技有限公司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注册地址：北京市朝阳区朝外大街22号泛利大厦10层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办公地址：北京市朝阳区朝外大街22号泛利大厦10层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法定代表人：王莉</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联系人：于扬</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客户服务电话：400-920-0022</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网址：licaike.hexun.com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7）江苏汇林保大基金销售有限公司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注册地址：南京市高淳区经济开发区古檀大道47号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法定代表人：吴言林</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客户服务电话：025-66046166</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网址：www.huilinbd.com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8）蚂蚁（杭州）基金销售有限公司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注册地址：浙江省杭州市余杭区五常街道文一西路969号3幢5层599室</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办公地址：浙江省杭州市西湖区万塘路18号黄龙时代广场B座6F</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法定代表人：祖国明</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联系人：韩爱彬</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客户服务电话：4000-766-123</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网址：www.fund123.cn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9）南京苏宁基金销售有限公司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注册地址：南京市玄武区苏宁大道1-5号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办公地址：南京市玄武区苏宁大道1-5号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法定代表人：王锋</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联系人：张云飞</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客户服务电话：95177</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网址：www.snjijin.com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10）诺亚正行基金销售有限公司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注册地址：上海市虹口区飞虹路360弄9号3724室</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办公地址：上海市杨浦区秦皇岛路32号c栋</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法定代表人：汪静波</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联系人：朱了</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客户服务电话：400-821-5399</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网址：www.noah-fund.com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11）上海长量基金销售投资顾问有限公司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注册地址：上海市浦东新区高翔路526号2幢220室</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办公地址：上海市浦东新区东方路1267号11层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法定代表人：张跃伟</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联系人：张佳琳</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客户服务电话：400-820-2899</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网址：www.erichfund.com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12）上海好买基金销售有限公司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注册地址：上海市虹口区欧阳路196号26号楼2楼41号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办公地址：上海市浦东南路1118号鄂尔多斯大厦903～906室</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法定代表人：杨文斌</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联系人：王诗玙</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客户服务电话：400-700-9665</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网址：www.howbuy.com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13）上海华夏财富投资管理有限公司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注册地址：上海市虹口区东大名路687号1幢2楼268室</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办公地址：北京市西城区金融大街33号通泰大厦B座8层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法定代表人：李一梅</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联系人：仲秋玥</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客户服务电话：400-817-5666</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网址：www.amcfortune.com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14）上海基煜基金销售有限公司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注册地址：上海市崇明县长兴镇潘园公路1800号2号楼6153室（上海泰和经济发展区）</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办公地址：上海市浦东新区银城中路488号太平金融大厦1503室</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法定代表人：王翔</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联系人：吴鸿飞</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客户服务电话：400-820-5369</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网址：www.jiyufund.com.cn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15）上海陆金所基金销售有限公司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注册地址：上海市浦东新区陆家嘴环路1333号14楼09单元</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办公地址：上海市浦东新区陆家嘴环路1333号</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法定代表人：王之广</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联系人：宁博宇</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客户服务电话：400-821-9031</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网址：www.lufunds.com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16）上海天天基金销售有限公司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注册地址：上海市徐汇区龙田路190号2号楼2层</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办公地址：上海市徐汇区龙田路195号3C座10楼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法定代表人：其实</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联系人：高莉莉</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客户服务电话：400-1818-188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网址：www.1234567.com.cn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17）上海挖财基金销售有限公司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注册地址：中国（上海）自由贸易试验区杨高南路799号5层04室</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办公地址：中国（上海）自由贸易试验区杨高南路799号5层04室</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法定代表人：吕柳霞</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联系人：曾芸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客户服务电话：021-50810673</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网址：www.wacaijijin.com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18）上海万得基金销售有限公司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注册地址：中国（上海）自由贸易试验区福山路33号11楼B座</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办公地址：上海市浦东新区浦明路1500号万得大厦11楼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法定代表人：王廷富</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联系人：徐亚丹</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客户服务电话：400-799-1888</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网址：www.520fund.com.cn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19）深圳众禄基金销售股份有限公司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注册地址：深圳市罗湖区梨园路物资控股置地大厦8楼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办公地址：深圳市罗湖区笋岗街道梨园路物资控股置地大厦8楼801 </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法定代表人：薛峰</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联系人：邓爱萍</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客户服务电话：4006-788-887</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网址：www.zlfund.cn、 www.jjmmw.com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20）奕丰基金销售有限公司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注册地址：深圳市前海深港合作区前湾一号1号A栋201室（入驻深圳市前海商务秘书有限公司）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办公地址：深圳市南山区海德三道航天科技广场A座17楼1704室</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法定代表人：TEO WEE HOWE</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联系人：叶健</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客户服务电话：400-684-0500</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网址：www.ifastps.com.cn</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21）浙江同花顺基金销售有限公司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注册地址：浙江省杭州市文二西路一号元茂大厦903</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办公地址：杭州市余杭区五常街道同顺路18号同花顺大楼</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法定代表人：吴强</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联系人：洪泓</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客户服务电话：4008773772</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网址：www.5ifund.com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22）中欧钱滚滚基金销售（上海）有限公司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注册地址：上海自由贸易试验区陆家嘴环路333号729S室</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办公地址：上海市浦东新区商城路618号良友大厦B301-305</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法定代表人：许欣</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联系人：屠帅颖</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客户服务电话：400-700-9700</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网址：www.qiangungun.com</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23）珠海盈米基金销售有限公司</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注册地址：珠海市横琴新区宝华路6号105室-3491</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办公地址：广州市海珠区琶洲大道东1号保利国际广场南塔12楼B1201-1203</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法定代表人：肖雯</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联系人：黄敏嫦</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客户服务电话：020-89629066</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网址：www.yingmi.cn </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基金管理人可根据有关法律法规要求，根据实情，选择其他符合要求的机构销售本基金或变更上述销售机构，并在基金管理人网站公示。</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2、场内发售机构</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（1）本基金的场内发售机构为具有基金销售业务资格的深圳证券交易所会员单位（具体名单可在深圳证券交易所网站查询）。</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（2）本基金募集结束前获得基金销售资格的深圳证券交易所会员单位可新增为本基金的场内发售机构。</w:t>
      </w:r>
    </w:p>
    <w:p w:rsidR="004A0B3A" w:rsidRDefault="004A0B3A">
      <w:pPr>
        <w:ind w:firstLine="422"/>
        <w:jc w:val="both"/>
        <w:rPr>
          <w:rFonts w:eastAsia="Times New Roman"/>
          <w:sz w:val="21"/>
          <w:szCs w:val="21"/>
          <w:lang w:val="en-US" w:eastAsia="zh-CN" w:bidi="ar-SA"/>
        </w:rPr>
      </w:pPr>
      <w:r>
        <w:rPr>
          <w:rFonts w:ascii="宋体" w:hAnsi="宋体" w:cs="宋体"/>
          <w:b/>
          <w:bCs/>
          <w:sz w:val="21"/>
          <w:szCs w:val="21"/>
          <w:lang w:val="en-US" w:eastAsia="zh-CN" w:bidi="ar-SA"/>
        </w:rPr>
        <w:t>（二）登记机构</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名称：中国证券登记结算有限责任公司</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住所：北京市西城区太平桥大街17号</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法定代表人：周明</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办公室地址：北京市西城区太平桥大街17号</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联系电话：010-50938782</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传真：010-50938907</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 xml:space="preserve">负责人：丁志勇 </w:t>
      </w:r>
    </w:p>
    <w:p w:rsidR="004A0B3A" w:rsidRDefault="004A0B3A">
      <w:pPr>
        <w:ind w:firstLine="422"/>
        <w:jc w:val="both"/>
        <w:rPr>
          <w:rFonts w:eastAsia="Times New Roman"/>
          <w:sz w:val="21"/>
          <w:szCs w:val="21"/>
          <w:lang w:val="en-US" w:eastAsia="zh-CN" w:bidi="ar-SA"/>
        </w:rPr>
      </w:pPr>
      <w:r>
        <w:rPr>
          <w:rFonts w:ascii="宋体" w:hAnsi="宋体" w:cs="宋体"/>
          <w:b/>
          <w:bCs/>
          <w:sz w:val="21"/>
          <w:szCs w:val="21"/>
          <w:lang w:val="en-US" w:eastAsia="zh-CN" w:bidi="ar-SA"/>
        </w:rPr>
        <w:t>（三）出具法律意见书的律师事务所</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名称：上海通力律师事务所</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住所：上海市银城中路68号时代金融中心19楼</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法定代表人：俞卫锋</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办公室地址：上海市银城中路68号时代金融中心19楼</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联系电话：021-31358666</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传真：021-31358600</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联系人：陈颖华</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经办律师：黎明、孙睿</w:t>
      </w:r>
    </w:p>
    <w:p w:rsidR="004A0B3A" w:rsidRDefault="004A0B3A">
      <w:pPr>
        <w:ind w:firstLine="422"/>
        <w:jc w:val="both"/>
        <w:rPr>
          <w:rFonts w:eastAsia="Times New Roman"/>
          <w:sz w:val="21"/>
          <w:szCs w:val="21"/>
          <w:lang w:val="en-US" w:eastAsia="zh-CN" w:bidi="ar-SA"/>
        </w:rPr>
      </w:pPr>
      <w:r>
        <w:rPr>
          <w:rFonts w:ascii="宋体" w:hAnsi="宋体" w:cs="宋体"/>
          <w:b/>
          <w:bCs/>
          <w:sz w:val="21"/>
          <w:szCs w:val="21"/>
          <w:lang w:val="en-US" w:eastAsia="zh-CN" w:bidi="ar-SA"/>
        </w:rPr>
        <w:t>（四）审计基金资产的会计师事务所</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名称：普华永道中天会计师事务所（特殊普通合伙）</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住所：上海市浦东新区陆家嘴环路1318号星展银行大厦6楼</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执行事务合伙人：李丹</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办公室地址：上海市湖滨路202号领展企业广场2座普华永道中心11楼</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联系电话：（021）23238888</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传真：（021）23238800</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联系人：潘晓怡</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经办会计师：单峰、潘晓怡</w:t>
      </w:r>
    </w:p>
    <w:p w:rsidR="004A0B3A" w:rsidRDefault="004A0B3A">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四、基金的名称</w:t>
      </w:r>
    </w:p>
    <w:p w:rsidR="004A0B3A" w:rsidRDefault="004A0B3A">
      <w:pPr>
        <w:pStyle w:val="MsoNormal0"/>
        <w:spacing w:before="240" w:after="240" w:line="360" w:lineRule="auto"/>
        <w:ind w:firstLine="420"/>
        <w:rPr>
          <w:rFonts w:eastAsia="Times New Roman"/>
          <w:lang w:val="en-US" w:eastAsia="zh-CN" w:bidi="ar-SA"/>
        </w:rPr>
      </w:pPr>
      <w:r>
        <w:rPr>
          <w:rFonts w:ascii="宋体" w:hAnsi="宋体" w:cs="宋体"/>
          <w:lang w:val="en-US" w:eastAsia="zh-CN" w:bidi="ar-SA"/>
        </w:rPr>
        <w:t>本基金名称：鹏华中证新能源指数分级证券投资基金</w:t>
      </w:r>
    </w:p>
    <w:p w:rsidR="004A0B3A" w:rsidRDefault="004A0B3A">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五、基金运作方式及类型</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契约型开放式，股票型证券投资基金</w:t>
      </w:r>
    </w:p>
    <w:p w:rsidR="004A0B3A" w:rsidRDefault="004A0B3A">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六、基金的投资目标</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紧密跟踪标的指数，追求跟踪偏离度和跟踪误差最小化，力争将日均跟踪偏离度控制在0.35％以内，年跟踪误差控制在4％以内。</w:t>
      </w:r>
    </w:p>
    <w:p w:rsidR="004A0B3A" w:rsidRDefault="004A0B3A">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七、基金的投资方向</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投资范围为具有良好流动性的金融工具，包括标的指数成份股及其备选成份股（含中小板、创业板股票及其他中国证监会核准上市的股票）、债券、股指期货、权证、资产支持证券以及法律法规或中国证监会允许基金投资的其它金融工具（但须符合中国证监会的相关规定）。</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如法律法规或监管机构以后允许基金投资其他品种，基金管理人在履行适当程序后，可以将其纳入投资范围。</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的投资组合比例为：投资于股票部分的比例不低于基金资产的80%，其中投资于标的指数成份股及其备选成份股的比例不低于非现金基金资产的80%；每个交易日日终在扣除股指期货合约需缴纳的交易保证金后，现金或到期日在一年以内的政府债券的投资比例不低于基金资产净值的5％，其中现金不包括结算备付金、存出保证金、应收申购款等。</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如果法律法规对该比例要求有变更的，以变更后的比例为准，本基金的投资范围会做相应调整。</w:t>
      </w:r>
    </w:p>
    <w:p w:rsidR="004A0B3A" w:rsidRDefault="004A0B3A">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八、基金的投资策略</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本基金采用被动式指数化投资方法，按照成份股在标的指数中的基准权重构建指数化投资组合，并根据标的指数成份股及其权重的变化进行相应调整。</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当预期成份股发生调整或成份股发生配股、增发、分红等行为时，或因基金的申购和赎回等对本基金跟踪标的指数的效果可能带来影响时，或因某些特殊情况导致流动性不足时，或其他原因导致无法有效复制和跟踪标的指数时，基金管理人可以对投资组合管理进行适当变通和调整，力求降低跟踪误差。</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力争鹏华新能源份额净值增长率与同期业绩比较基准之间的日均跟踪偏离度不超过0.35％，年跟踪误差不超过4％。如因指数编制规则调整或其他因素导致跟踪偏离度和跟踪误差超过上述范围，基金管理人应采取合理措施避免跟踪偏离度、跟踪误差进一步扩大。</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1、股票投资策略</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（1）股票投资组合的构建</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在建仓期内，将按照标的指数各成份股的基准权重对其逐步买入，在力求跟踪误差最小化的前提下，本基金可采取适当方法，以降低买入成本。当遇到成份股停牌、流动性不足等其他市场因素而无法依指数权重购买某成份股及预期标的指数的成份股即将调整或其他影响指数复制的因素时，本基金可以根据市场情况，结合研究分析，对基金财产进行适当调整，以期在规定的风险承受限度之内，尽量缩小跟踪误差。</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（2）股票投资组合的调整</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所构建的股票投资组合将根据标的指数成份股及其权重的变动而进行相应调整，本基金还将根据法律法规中的投资比例限制、申购赎回变动情况，对其进行适时调整，以保证鹏华新能源份额净值增长率与标的指数收益率间的高度正相关和跟踪误差最小化。基金管理人将对成份股的流动性进行分析，如发现流动性欠佳的个股将可能采用合理方法寻求替代。由于受到各项持股比例限制，基金可能不能按照成份股权重持有成份股，基金将会采用合理方法寻求替代。</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1）定期调整</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根据标的指数的调整规则和备选股票的预期，对股票投资组合及时进行调整。</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2）不定期调整</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根据指数编制规则，当标的指数成份股因增发、送配等股权变动而需进行成份股权重新调整时，本基金将根据各成份股的权重变化进行相应调整；</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根据本基金的申购和赎回情况，对股票投资组合进行调整，从而有效跟踪标的指数；</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根据法律、法规规定，成份股在标的指数中的权重因其它特殊原因发生相应变化的，本基金可以对投资组合管理进行适当变通和调整，力求降低跟踪误差。</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2、债券投资策略</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可以根据流动性管理需要，选取到期日在一年以内的政府债券进行配置。本基金债券投资组合将采用自上而下的投资策略，根据宏观经济分析、资金面动向分析等判断未来利率变化，并利用债券定价技术，进行个券选择。</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3、衍生品投资策略</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本基金可投资股指期货、权证和其他经中国证监会允许的金融衍生产品。</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投资股指期货将根据风险管理的原则，以套期保值为目的，主要选择流动性好、交易活跃的股指期货合约。本基金力争利用股指期货的杠杆作用，降低申购赎回时现金资产对投资组合的影响及投资组合仓位调整的交易成本，达到稳定投资组合资产净值的目的。</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基金管理人将建立股指期货交易决策部门或小组，授权特定的管理人员负责股指期货的投资审批事项，同时针对股指期货交易制定投资决策流程和风险控制等制度并报董事会批准。</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本基金通过对权证标的证券基本面的研究，并结合权证定价模型及价值挖掘策略、价差策略、双向权证策略等寻求权证的合理估值水平，追求稳定的当期收益。</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4、资产支持证券的投资策略</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将综合运用战略资产配置和战术资产配置进行资产支持证券的投资组合管理，并根据信用风险、利率风险和流动性风险变化积极调整投资策略，严格遵守法律法规和基金合同的约定，在保证本金安全和基金资产流动性的基础上获得稳定收益。</w:t>
      </w:r>
    </w:p>
    <w:p w:rsidR="004A0B3A" w:rsidRDefault="004A0B3A">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九、基金的业绩比较基准</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中证新能源指数收益率×95％＋商业银行活期存款利率（税后）×5％</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中证新能源指数从可再生能源生产，能源应用、存储及交互设备以及其他相关行业上市公司中选取代表性的80只股票，反映新能源产业在A股的整体走势，为投资者提供新的投资标的。</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如果今后法律法规发生变化，或者有更权威的、更能为市场普遍接受的业绩比较基准推出，或者是市场上出现更加适合用于本基金的业绩基准的指数时，本基金管理人可以在取得基金托管人同意后变更业绩比较基准，不需要召集基金份额持有人大会，但需报中国证监会备案并及时公告。</w:t>
      </w:r>
    </w:p>
    <w:p w:rsidR="004A0B3A" w:rsidRDefault="004A0B3A">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十、基金的风险收益特征</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属于股票型基金，其预期的风险与收益高于混合型基金、债券型基金与货币市场基金，为证券投资基金中较高风险、较高预期收益的品种。同时本基金为指数基金，通过跟踪标的指数表现，具有与标的指数以及标的指数所代表的公司相似的风险收益特征。</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从本基金所分拆的两类基金份额来看，鹏华新能源A份额为稳健收益类份额，具有低风险且预期收益相对较低的特征；鹏华新能源B份额为积极收益类份额，具有高风险且预期收益相对较高的特征。</w:t>
      </w:r>
    </w:p>
    <w:p w:rsidR="004A0B3A" w:rsidRDefault="004A0B3A">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十一、基金的投资组合报告</w:t>
      </w:r>
    </w:p>
    <w:p w:rsidR="004A0B3A" w:rsidRDefault="004A0B3A">
      <w:pPr>
        <w:widowControl w:val="0"/>
        <w:spacing w:line="360" w:lineRule="auto"/>
        <w:ind w:firstLine="420"/>
        <w:jc w:val="both"/>
        <w:rPr>
          <w:rFonts w:eastAsia="Times New Roman"/>
          <w:sz w:val="21"/>
          <w:szCs w:val="21"/>
          <w:lang w:val="en-US" w:eastAsia="zh-CN" w:bidi="ar-SA"/>
        </w:rPr>
      </w:pPr>
      <w:bookmarkStart w:id="6" w:name="m101"/>
      <w:bookmarkStart w:id="7" w:name="m01_01"/>
      <w:bookmarkStart w:id="8" w:name="_Toc194311890"/>
      <w:bookmarkEnd w:id="7"/>
      <w:bookmarkEnd w:id="8"/>
      <w:r>
        <w:rPr>
          <w:rFonts w:ascii="宋体" w:hAnsi="宋体" w:cs="宋体"/>
          <w:color w:val="404040"/>
          <w:sz w:val="21"/>
          <w:szCs w:val="21"/>
          <w:lang w:val="en-US" w:eastAsia="zh-CN" w:bidi="ar-SA"/>
        </w:rPr>
        <w:t>基金管理人的董事会及董事保证本报告所载资料不存在虚假记载、误导性陈述或重大遗漏，并对其内容的真实性、准确性和完整性承担个别及连带责任。</w:t>
      </w:r>
      <w:bookmarkEnd w:id="6"/>
    </w:p>
    <w:p w:rsidR="004A0B3A" w:rsidRDefault="004A0B3A">
      <w:pPr>
        <w:widowControl w:val="0"/>
        <w:spacing w:line="360" w:lineRule="auto"/>
        <w:jc w:val="both"/>
        <w:rPr>
          <w:rFonts w:eastAsia="Times New Roman"/>
          <w:sz w:val="21"/>
          <w:szCs w:val="21"/>
          <w:lang w:val="en-US" w:eastAsia="zh-CN" w:bidi="ar-SA"/>
        </w:rPr>
      </w:pPr>
      <w:r>
        <w:rPr>
          <w:rFonts w:ascii="宋体" w:hAnsi="宋体" w:cs="宋体"/>
          <w:color w:val="404040"/>
          <w:sz w:val="21"/>
          <w:szCs w:val="21"/>
          <w:lang w:val="en-US" w:eastAsia="zh-CN" w:bidi="ar-SA"/>
        </w:rPr>
        <w:t xml:space="preserve">　 基金托管人招商银行股份有限公司根据本基金合同规定，于2020年01月17日复核了本报告中的财务指标、净值表现和投资组合报告等内容，保证复核内容不存在虚假记载、误导性陈述或者重大遗漏。</w:t>
      </w:r>
    </w:p>
    <w:p w:rsidR="004A0B3A" w:rsidRDefault="004A0B3A">
      <w:pPr>
        <w:widowControl w:val="0"/>
        <w:spacing w:line="360" w:lineRule="auto"/>
        <w:jc w:val="both"/>
        <w:rPr>
          <w:rFonts w:eastAsia="Times New Roman"/>
          <w:sz w:val="21"/>
          <w:szCs w:val="21"/>
          <w:lang w:val="en-US" w:eastAsia="zh-CN" w:bidi="ar-SA"/>
        </w:rPr>
      </w:pPr>
      <w:r>
        <w:rPr>
          <w:rFonts w:ascii="宋体" w:hAnsi="宋体" w:cs="宋体"/>
          <w:color w:val="404040"/>
          <w:sz w:val="21"/>
          <w:szCs w:val="21"/>
          <w:lang w:val="en-US" w:eastAsia="zh-CN" w:bidi="ar-SA"/>
        </w:rPr>
        <w:t xml:space="preserve">　 本报告中财务资料未经审计。</w:t>
      </w:r>
    </w:p>
    <w:p w:rsidR="004A0B3A" w:rsidRDefault="004A0B3A">
      <w:pPr>
        <w:widowControl w:val="0"/>
        <w:spacing w:line="360" w:lineRule="auto"/>
        <w:jc w:val="both"/>
        <w:rPr>
          <w:rFonts w:eastAsia="Times New Roman"/>
          <w:lang w:val="en-US" w:eastAsia="zh-CN" w:bidi="ar-SA"/>
        </w:rPr>
      </w:pPr>
      <w:r>
        <w:rPr>
          <w:rFonts w:ascii="宋体" w:hAnsi="宋体" w:cs="宋体"/>
          <w:color w:val="404040"/>
          <w:sz w:val="21"/>
          <w:szCs w:val="21"/>
          <w:lang w:val="en-US" w:eastAsia="zh-CN" w:bidi="ar-SA"/>
        </w:rPr>
        <w:t xml:space="preserve">　 本报告期自2019年10月01日起至12月31日止。</w:t>
      </w:r>
      <w:r>
        <w:rPr>
          <w:rFonts w:ascii="宋体" w:hAnsi="宋体" w:cs="宋体"/>
          <w:color w:val="404040"/>
          <w:lang w:val="en-US" w:eastAsia="zh-CN" w:bidi="ar-SA"/>
        </w:rPr>
        <w:t xml:space="preserve"> </w:t>
      </w:r>
      <w:bookmarkStart w:id="9" w:name="m201"/>
      <w:bookmarkStart w:id="10" w:name="m201_01"/>
      <w:bookmarkStart w:id="11" w:name="m401"/>
      <w:bookmarkStart w:id="12" w:name="m401_tab"/>
      <w:bookmarkEnd w:id="9"/>
      <w:bookmarkEnd w:id="10"/>
      <w:bookmarkEnd w:id="11"/>
      <w:bookmarkEnd w:id="12"/>
    </w:p>
    <w:p w:rsidR="004A0B3A" w:rsidRDefault="004A0B3A">
      <w:pPr>
        <w:widowControl w:val="0"/>
        <w:spacing w:line="360" w:lineRule="auto"/>
        <w:rPr>
          <w:rFonts w:eastAsia="Times New Roman"/>
          <w:sz w:val="21"/>
          <w:szCs w:val="21"/>
          <w:lang w:val="en-US" w:eastAsia="zh-CN" w:bidi="ar-SA"/>
        </w:rPr>
      </w:pPr>
      <w:bookmarkStart w:id="13" w:name="_Toc513379167"/>
      <w:bookmarkStart w:id="14" w:name="_Toc481075065"/>
      <w:bookmarkStart w:id="15" w:name="_Toc438646467"/>
      <w:bookmarkStart w:id="16" w:name="_Toc490050018"/>
      <w:bookmarkStart w:id="17" w:name="_Toc512519497"/>
      <w:bookmarkStart w:id="18" w:name="m501"/>
      <w:bookmarkEnd w:id="13"/>
      <w:bookmarkEnd w:id="14"/>
      <w:bookmarkEnd w:id="15"/>
      <w:bookmarkEnd w:id="16"/>
      <w:bookmarkEnd w:id="17"/>
      <w:r>
        <w:rPr>
          <w:rFonts w:ascii="宋体" w:hAnsi="宋体" w:cs="宋体"/>
          <w:b/>
          <w:bCs/>
          <w:sz w:val="21"/>
          <w:szCs w:val="21"/>
          <w:lang w:val="en-US" w:eastAsia="zh-CN" w:bidi="ar-SA"/>
        </w:rPr>
        <w:t xml:space="preserve">1、报告期末基金资产组合情况 </w:t>
      </w:r>
      <w:bookmarkEnd w:id="18"/>
    </w:p>
    <w:tbl>
      <w:tblPr>
        <w:tblW w:w="5000" w:type="pct"/>
        <w:tblInd w:w="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606"/>
        <w:gridCol w:w="3426"/>
        <w:gridCol w:w="2316"/>
        <w:gridCol w:w="2308"/>
      </w:tblGrid>
      <w:tr w:rsidR="004A0B3A" w:rsidRPr="004A0B3A">
        <w:trPr>
          <w:trHeight w:val="20"/>
        </w:trPr>
        <w:tc>
          <w:tcPr>
            <w:tcW w:w="350" w:type="pct"/>
            <w:tcBorders>
              <w:bottom w:val="single" w:sz="6" w:space="0" w:color="auto"/>
              <w:right w:val="single" w:sz="6" w:space="0" w:color="auto"/>
            </w:tcBorders>
            <w:shd w:val="clear" w:color="auto" w:fill="D9D9D9"/>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bookmarkStart w:id="19" w:name="m08QD_01_tab"/>
            <w:bookmarkEnd w:id="19"/>
            <w:r>
              <w:rPr>
                <w:rFonts w:ascii="宋体" w:hAnsi="宋体" w:cs="宋体"/>
                <w:sz w:val="21"/>
                <w:szCs w:val="21"/>
                <w:lang w:val="en-US" w:eastAsia="zh-CN" w:bidi="ar-SA"/>
              </w:rPr>
              <w:t xml:space="preserve">序号 </w:t>
            </w:r>
          </w:p>
        </w:tc>
        <w:tc>
          <w:tcPr>
            <w:tcW w:w="1979" w:type="pct"/>
            <w:tcBorders>
              <w:bottom w:val="single" w:sz="6" w:space="0" w:color="auto"/>
              <w:right w:val="single" w:sz="6" w:space="0" w:color="auto"/>
            </w:tcBorders>
            <w:shd w:val="clear" w:color="auto" w:fill="D9D9D9"/>
            <w:tcMar>
              <w:top w:w="8" w:type="dxa"/>
              <w:left w:w="5"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项目 </w:t>
            </w:r>
          </w:p>
        </w:tc>
        <w:tc>
          <w:tcPr>
            <w:tcW w:w="1338" w:type="pct"/>
            <w:tcBorders>
              <w:bottom w:val="single" w:sz="6" w:space="0" w:color="auto"/>
              <w:right w:val="single" w:sz="6" w:space="0" w:color="auto"/>
            </w:tcBorders>
            <w:shd w:val="clear" w:color="auto" w:fill="D9D9D9"/>
            <w:tcMar>
              <w:top w:w="8" w:type="dxa"/>
              <w:left w:w="5"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金额（元） </w:t>
            </w:r>
          </w:p>
        </w:tc>
        <w:tc>
          <w:tcPr>
            <w:tcW w:w="1333" w:type="pct"/>
            <w:tcBorders>
              <w:bottom w:val="single" w:sz="6" w:space="0" w:color="auto"/>
            </w:tcBorders>
            <w:shd w:val="clear" w:color="auto" w:fill="D9D9D9"/>
            <w:tcMar>
              <w:top w:w="8" w:type="dxa"/>
              <w:left w:w="5"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占基金总资产的比例（%） </w:t>
            </w:r>
          </w:p>
        </w:tc>
      </w:tr>
      <w:tr w:rsidR="004A0B3A" w:rsidRPr="004A0B3A">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1 </w:t>
            </w: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权益投资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30,564,368.75</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92.87</w:t>
            </w:r>
          </w:p>
        </w:tc>
      </w:tr>
      <w:tr w:rsidR="004A0B3A" w:rsidRPr="004A0B3A">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tcPr>
          <w:p w:rsidR="004A0B3A" w:rsidRDefault="004A0B3A">
            <w:pPr>
              <w:widowControl w:val="0"/>
              <w:jc w:val="center"/>
              <w:rPr>
                <w:rFonts w:eastAsia="Times New Roman"/>
                <w:sz w:val="21"/>
                <w:szCs w:val="21"/>
                <w:lang w:val="en-US" w:eastAsia="zh-CN" w:bidi="ar-SA"/>
              </w:rPr>
            </w:pP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其中：股票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30,564,368.75</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92.87</w:t>
            </w:r>
          </w:p>
        </w:tc>
      </w:tr>
      <w:tr w:rsidR="004A0B3A" w:rsidRPr="004A0B3A">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2</w:t>
            </w: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基金投资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3 </w:t>
            </w: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固定收益投资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tcPr>
          <w:p w:rsidR="004A0B3A" w:rsidRDefault="004A0B3A">
            <w:pPr>
              <w:widowControl w:val="0"/>
              <w:jc w:val="center"/>
              <w:rPr>
                <w:rFonts w:eastAsia="Times New Roman"/>
                <w:sz w:val="21"/>
                <w:szCs w:val="21"/>
                <w:lang w:val="en-US" w:eastAsia="zh-CN" w:bidi="ar-SA"/>
              </w:rPr>
            </w:pP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其中：债券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tcPr>
          <w:p w:rsidR="004A0B3A" w:rsidRDefault="004A0B3A">
            <w:pPr>
              <w:widowControl w:val="0"/>
              <w:jc w:val="center"/>
              <w:rPr>
                <w:rFonts w:eastAsia="Times New Roman"/>
                <w:sz w:val="21"/>
                <w:szCs w:val="21"/>
                <w:lang w:val="en-US" w:eastAsia="zh-CN" w:bidi="ar-SA"/>
              </w:rPr>
            </w:pP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      资产支持证券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4 </w:t>
            </w: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贵金属投资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5 </w:t>
            </w: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金融衍生品投资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6 </w:t>
            </w: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买入返售金融资产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tcPr>
          <w:p w:rsidR="004A0B3A" w:rsidRDefault="004A0B3A">
            <w:pPr>
              <w:widowControl w:val="0"/>
              <w:jc w:val="center"/>
              <w:rPr>
                <w:rFonts w:eastAsia="Times New Roman"/>
                <w:sz w:val="21"/>
                <w:szCs w:val="21"/>
                <w:lang w:val="en-US" w:eastAsia="zh-CN" w:bidi="ar-SA"/>
              </w:rPr>
            </w:pP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其中：买断式回购的买入返售金融资产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7 </w:t>
            </w: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银行存款和结算备付金合计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2,127,264.22</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6.46</w:t>
            </w:r>
          </w:p>
        </w:tc>
      </w:tr>
      <w:tr w:rsidR="004A0B3A" w:rsidRPr="004A0B3A">
        <w:trPr>
          <w:trHeight w:val="20"/>
        </w:trPr>
        <w:tc>
          <w:tcPr>
            <w:tcW w:w="350"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8</w:t>
            </w:r>
          </w:p>
        </w:tc>
        <w:tc>
          <w:tcPr>
            <w:tcW w:w="1979"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其他资产 </w:t>
            </w:r>
          </w:p>
        </w:tc>
        <w:tc>
          <w:tcPr>
            <w:tcW w:w="1338" w:type="pct"/>
            <w:tcBorders>
              <w:top w:val="single" w:sz="6" w:space="0" w:color="auto"/>
              <w:bottom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218,616.68</w:t>
            </w:r>
          </w:p>
        </w:tc>
        <w:tc>
          <w:tcPr>
            <w:tcW w:w="1333" w:type="pct"/>
            <w:tcBorders>
              <w:top w:val="single" w:sz="6" w:space="0" w:color="auto"/>
              <w:bottom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0.66</w:t>
            </w:r>
          </w:p>
        </w:tc>
      </w:tr>
      <w:tr w:rsidR="004A0B3A" w:rsidRPr="004A0B3A">
        <w:trPr>
          <w:trHeight w:val="20"/>
        </w:trPr>
        <w:tc>
          <w:tcPr>
            <w:tcW w:w="350" w:type="pct"/>
            <w:tcBorders>
              <w:top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9</w:t>
            </w:r>
          </w:p>
        </w:tc>
        <w:tc>
          <w:tcPr>
            <w:tcW w:w="1979" w:type="pct"/>
            <w:tcBorders>
              <w:top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ind w:left="105"/>
              <w:jc w:val="both"/>
              <w:rPr>
                <w:rFonts w:eastAsia="Times New Roman"/>
                <w:sz w:val="21"/>
                <w:szCs w:val="21"/>
                <w:lang w:val="en-US" w:eastAsia="zh-CN" w:bidi="ar-SA"/>
              </w:rPr>
            </w:pPr>
            <w:r>
              <w:rPr>
                <w:rFonts w:ascii="宋体" w:hAnsi="宋体" w:cs="宋体"/>
                <w:sz w:val="21"/>
                <w:szCs w:val="21"/>
                <w:lang w:val="en-US" w:eastAsia="zh-CN" w:bidi="ar-SA"/>
              </w:rPr>
              <w:t xml:space="preserve">合计 </w:t>
            </w:r>
          </w:p>
        </w:tc>
        <w:tc>
          <w:tcPr>
            <w:tcW w:w="1338" w:type="pct"/>
            <w:tcBorders>
              <w:top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32,910,249.65</w:t>
            </w:r>
          </w:p>
        </w:tc>
        <w:tc>
          <w:tcPr>
            <w:tcW w:w="1333" w:type="pct"/>
            <w:tcBorders>
              <w:top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100.00</w:t>
            </w:r>
          </w:p>
        </w:tc>
      </w:tr>
    </w:tbl>
    <w:p w:rsidR="004A0B3A" w:rsidRDefault="004A0B3A">
      <w:pPr>
        <w:widowControl w:val="0"/>
        <w:spacing w:line="360" w:lineRule="auto"/>
        <w:rPr>
          <w:rFonts w:eastAsia="Times New Roman"/>
          <w:sz w:val="21"/>
          <w:szCs w:val="21"/>
          <w:lang w:val="en-US" w:eastAsia="zh-CN" w:bidi="ar-SA"/>
        </w:rPr>
      </w:pPr>
      <w:bookmarkStart w:id="20" w:name="_Toc513379168"/>
      <w:bookmarkStart w:id="21" w:name="_Toc512519498"/>
      <w:bookmarkStart w:id="22" w:name="_Toc481075066"/>
      <w:bookmarkStart w:id="23" w:name="_Toc438646468"/>
      <w:bookmarkStart w:id="24" w:name="_Toc490050019"/>
      <w:bookmarkStart w:id="25" w:name="m502"/>
      <w:bookmarkStart w:id="26" w:name="_Toc438646470"/>
      <w:bookmarkStart w:id="27" w:name="m504"/>
      <w:bookmarkEnd w:id="20"/>
      <w:bookmarkEnd w:id="21"/>
      <w:bookmarkEnd w:id="22"/>
      <w:bookmarkEnd w:id="23"/>
      <w:bookmarkEnd w:id="24"/>
      <w:bookmarkEnd w:id="25"/>
      <w:bookmarkEnd w:id="26"/>
      <w:r>
        <w:rPr>
          <w:rFonts w:ascii="宋体" w:hAnsi="宋体" w:cs="宋体"/>
          <w:b/>
          <w:bCs/>
          <w:sz w:val="21"/>
          <w:szCs w:val="21"/>
          <w:lang w:val="en-US" w:eastAsia="zh-CN" w:bidi="ar-SA"/>
        </w:rPr>
        <w:t xml:space="preserve">2、报告期末按行业分类的股票投资组合 </w:t>
      </w:r>
      <w:bookmarkEnd w:id="27"/>
    </w:p>
    <w:p w:rsidR="004A0B3A" w:rsidRDefault="004A0B3A">
      <w:pPr>
        <w:widowControl w:val="0"/>
        <w:spacing w:line="360" w:lineRule="auto"/>
        <w:rPr>
          <w:rFonts w:eastAsia="Times New Roman"/>
          <w:sz w:val="21"/>
          <w:szCs w:val="21"/>
          <w:lang w:val="en-US" w:eastAsia="zh-CN" w:bidi="ar-SA"/>
        </w:rPr>
      </w:pPr>
      <w:bookmarkStart w:id="28" w:name="_Toc513379169"/>
      <w:bookmarkStart w:id="29" w:name="_Toc481075067"/>
      <w:bookmarkStart w:id="30" w:name="_Toc490050020"/>
      <w:bookmarkStart w:id="31" w:name="_Toc512519499"/>
      <w:bookmarkEnd w:id="28"/>
      <w:bookmarkEnd w:id="29"/>
      <w:bookmarkEnd w:id="30"/>
      <w:r>
        <w:rPr>
          <w:rFonts w:ascii="宋体" w:hAnsi="宋体" w:cs="宋体"/>
          <w:b/>
          <w:bCs/>
          <w:sz w:val="21"/>
          <w:szCs w:val="21"/>
          <w:lang w:val="en-US" w:eastAsia="zh-CN" w:bidi="ar-SA"/>
        </w:rPr>
        <w:t>（1）报告期末指数投资按行业分类的境内股票投资组合</w:t>
      </w:r>
      <w:bookmarkEnd w:id="31"/>
    </w:p>
    <w:tbl>
      <w:tblPr>
        <w:tblW w:w="5000" w:type="pct"/>
        <w:tblInd w:w="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791"/>
        <w:gridCol w:w="2611"/>
        <w:gridCol w:w="3016"/>
        <w:gridCol w:w="2238"/>
      </w:tblGrid>
      <w:tr w:rsidR="004A0B3A" w:rsidRPr="004A0B3A">
        <w:tc>
          <w:tcPr>
            <w:tcW w:w="457" w:type="pct"/>
            <w:tcBorders>
              <w:bottom w:val="single" w:sz="6" w:space="0" w:color="auto"/>
              <w:right w:val="single" w:sz="6" w:space="0" w:color="auto"/>
            </w:tcBorders>
            <w:shd w:val="clear" w:color="auto" w:fill="D9D9D9"/>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bookmarkStart w:id="32" w:name="m502_tab"/>
            <w:bookmarkStart w:id="33" w:name="m08QD_01"/>
            <w:bookmarkEnd w:id="32"/>
            <w:r>
              <w:rPr>
                <w:rFonts w:ascii="宋体" w:hAnsi="宋体" w:cs="宋体"/>
                <w:sz w:val="21"/>
                <w:szCs w:val="21"/>
                <w:lang w:val="en-US" w:eastAsia="zh-CN" w:bidi="ar-SA"/>
              </w:rPr>
              <w:t xml:space="preserve">代码 </w:t>
            </w:r>
            <w:bookmarkEnd w:id="33"/>
          </w:p>
        </w:tc>
        <w:tc>
          <w:tcPr>
            <w:tcW w:w="1508" w:type="pct"/>
            <w:tcBorders>
              <w:left w:val="single" w:sz="6" w:space="0" w:color="auto"/>
              <w:bottom w:val="single" w:sz="6" w:space="0" w:color="auto"/>
              <w:right w:val="single" w:sz="6" w:space="0" w:color="auto"/>
            </w:tcBorders>
            <w:shd w:val="clear" w:color="auto" w:fill="D9D9D9"/>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行业类别 </w:t>
            </w:r>
          </w:p>
        </w:tc>
        <w:tc>
          <w:tcPr>
            <w:tcW w:w="1742" w:type="pct"/>
            <w:tcBorders>
              <w:left w:val="single" w:sz="6" w:space="0" w:color="auto"/>
              <w:bottom w:val="single" w:sz="6" w:space="0" w:color="auto"/>
              <w:right w:val="single" w:sz="6" w:space="0" w:color="auto"/>
            </w:tcBorders>
            <w:shd w:val="clear" w:color="auto" w:fill="D9D9D9"/>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公允价值（元） </w:t>
            </w:r>
          </w:p>
        </w:tc>
        <w:tc>
          <w:tcPr>
            <w:tcW w:w="1292" w:type="pct"/>
            <w:tcBorders>
              <w:left w:val="single" w:sz="6" w:space="0" w:color="auto"/>
              <w:bottom w:val="single" w:sz="6" w:space="0" w:color="auto"/>
            </w:tcBorders>
            <w:shd w:val="clear" w:color="auto" w:fill="D9D9D9"/>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占基金资产净值比例(%) </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A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农、林、牧、渔业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B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采矿业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C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制造业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25,670,909.69</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79.33</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D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电力、热力、燃气及水生产和供应业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2,162,699.45</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6.68</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E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建筑业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160,425.00</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0.50</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F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批发和零售业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G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交通运输、仓储和邮政业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H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住宿和餐饮业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I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信息传输、软件和信息技术服务业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1,818,047.80</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5.62</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J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金融业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K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房地产业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L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租赁和商务服务业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M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科学研究和技术服务业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N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水利、环境和公共设施管理业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270,177.00</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0.83</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O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居民服务、修理和其他服务业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P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教育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Q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卫生和社会工作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R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文化、体育和娱乐业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7"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S </w:t>
            </w:r>
          </w:p>
        </w:tc>
        <w:tc>
          <w:tcPr>
            <w:tcW w:w="130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综合 </w:t>
            </w:r>
          </w:p>
        </w:tc>
        <w:tc>
          <w:tcPr>
            <w:tcW w:w="1742"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455,336.40</w:t>
            </w:r>
          </w:p>
        </w:tc>
        <w:tc>
          <w:tcPr>
            <w:tcW w:w="1742" w:type="pct"/>
            <w:tcBorders>
              <w:top w:val="single" w:sz="6" w:space="0" w:color="auto"/>
              <w:left w:val="single" w:sz="6" w:space="0" w:color="auto"/>
              <w:bottom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1.41</w:t>
            </w:r>
          </w:p>
        </w:tc>
      </w:tr>
      <w:tr w:rsidR="004A0B3A" w:rsidRPr="004A0B3A">
        <w:tc>
          <w:tcPr>
            <w:tcW w:w="457" w:type="pct"/>
            <w:tcBorders>
              <w:top w:val="single" w:sz="6" w:space="0" w:color="auto"/>
              <w:right w:val="single" w:sz="6" w:space="0" w:color="auto"/>
            </w:tcBorders>
            <w:tcMar>
              <w:top w:w="8" w:type="dxa"/>
              <w:left w:w="8" w:type="dxa"/>
              <w:bottom w:w="8" w:type="dxa"/>
              <w:right w:w="8" w:type="dxa"/>
            </w:tcMar>
            <w:vAlign w:val="center"/>
          </w:tcPr>
          <w:p w:rsidR="004A0B3A" w:rsidRDefault="004A0B3A">
            <w:pPr>
              <w:widowControl w:val="0"/>
              <w:jc w:val="both"/>
              <w:rPr>
                <w:rFonts w:eastAsia="Times New Roman"/>
                <w:sz w:val="21"/>
                <w:szCs w:val="21"/>
                <w:lang w:val="en-US" w:eastAsia="zh-CN" w:bidi="ar-SA"/>
              </w:rPr>
            </w:pPr>
          </w:p>
        </w:tc>
        <w:tc>
          <w:tcPr>
            <w:tcW w:w="1308" w:type="pct"/>
            <w:tcBorders>
              <w:top w:val="single" w:sz="6" w:space="0" w:color="auto"/>
              <w:left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合计 </w:t>
            </w:r>
          </w:p>
        </w:tc>
        <w:tc>
          <w:tcPr>
            <w:tcW w:w="1742" w:type="pct"/>
            <w:tcBorders>
              <w:top w:val="single" w:sz="6" w:space="0" w:color="auto"/>
              <w:left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30,537,595.34</w:t>
            </w:r>
          </w:p>
        </w:tc>
        <w:tc>
          <w:tcPr>
            <w:tcW w:w="1742" w:type="pct"/>
            <w:tcBorders>
              <w:top w:val="single" w:sz="6" w:space="0" w:color="auto"/>
              <w:left w:val="single" w:sz="6" w:space="0" w:color="auto"/>
            </w:tcBorders>
            <w:tcMar>
              <w:top w:w="8" w:type="dxa"/>
              <w:left w:w="8"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94.37</w:t>
            </w:r>
          </w:p>
        </w:tc>
      </w:tr>
    </w:tbl>
    <w:p w:rsidR="004A0B3A" w:rsidRDefault="004A0B3A">
      <w:pPr>
        <w:widowControl w:val="0"/>
        <w:spacing w:line="360" w:lineRule="auto"/>
        <w:rPr>
          <w:rFonts w:eastAsia="Times New Roman"/>
          <w:sz w:val="21"/>
          <w:szCs w:val="21"/>
          <w:lang w:val="en-US" w:eastAsia="zh-CN" w:bidi="ar-SA"/>
        </w:rPr>
      </w:pPr>
      <w:bookmarkStart w:id="34" w:name="_Toc513379170"/>
      <w:r>
        <w:rPr>
          <w:rFonts w:ascii="宋体" w:hAnsi="宋体" w:cs="宋体"/>
          <w:b/>
          <w:bCs/>
          <w:sz w:val="21"/>
          <w:szCs w:val="21"/>
          <w:lang w:val="en-US" w:eastAsia="zh-CN" w:bidi="ar-SA"/>
        </w:rPr>
        <w:t>（2）报告期末积极投资按行业分类的境内股票投资组合</w:t>
      </w:r>
      <w:bookmarkEnd w:id="34"/>
      <w:r>
        <w:rPr>
          <w:rFonts w:ascii="宋体" w:hAnsi="宋体" w:cs="宋体"/>
          <w:b/>
          <w:bCs/>
          <w:sz w:val="21"/>
          <w:szCs w:val="21"/>
          <w:lang w:val="en-US" w:eastAsia="zh-CN" w:bidi="ar-SA"/>
        </w:rPr>
        <w:t xml:space="preserve"> </w:t>
      </w:r>
    </w:p>
    <w:tbl>
      <w:tblPr>
        <w:tblW w:w="5000" w:type="pct"/>
        <w:tblInd w:w="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781"/>
        <w:gridCol w:w="2604"/>
        <w:gridCol w:w="3026"/>
        <w:gridCol w:w="2245"/>
      </w:tblGrid>
      <w:tr w:rsidR="004A0B3A" w:rsidRPr="004A0B3A">
        <w:tc>
          <w:tcPr>
            <w:tcW w:w="451" w:type="pct"/>
            <w:tcBorders>
              <w:bottom w:val="single" w:sz="6" w:space="0" w:color="auto"/>
              <w:right w:val="single" w:sz="6" w:space="0" w:color="auto"/>
            </w:tcBorders>
            <w:shd w:val="clear" w:color="auto" w:fill="D9D9D9"/>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代码 </w:t>
            </w:r>
          </w:p>
        </w:tc>
        <w:tc>
          <w:tcPr>
            <w:tcW w:w="1504" w:type="pct"/>
            <w:tcBorders>
              <w:left w:val="single" w:sz="6" w:space="0" w:color="auto"/>
              <w:bottom w:val="single" w:sz="6" w:space="0" w:color="auto"/>
              <w:right w:val="single" w:sz="6" w:space="0" w:color="auto"/>
            </w:tcBorders>
            <w:shd w:val="clear" w:color="auto" w:fill="D9D9D9"/>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行业类别 </w:t>
            </w:r>
          </w:p>
        </w:tc>
        <w:tc>
          <w:tcPr>
            <w:tcW w:w="1748" w:type="pct"/>
            <w:tcBorders>
              <w:left w:val="single" w:sz="6" w:space="0" w:color="auto"/>
              <w:bottom w:val="single" w:sz="6" w:space="0" w:color="auto"/>
              <w:right w:val="single" w:sz="6" w:space="0" w:color="auto"/>
            </w:tcBorders>
            <w:shd w:val="clear" w:color="auto" w:fill="D9D9D9"/>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公允价值（元） </w:t>
            </w:r>
          </w:p>
        </w:tc>
        <w:tc>
          <w:tcPr>
            <w:tcW w:w="1298" w:type="pct"/>
            <w:tcBorders>
              <w:left w:val="single" w:sz="6" w:space="0" w:color="auto"/>
              <w:bottom w:val="single" w:sz="6" w:space="0" w:color="auto"/>
            </w:tcBorders>
            <w:shd w:val="clear" w:color="auto" w:fill="D9D9D9"/>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占基金资产净值比例(%) </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A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农、林、牧、渔业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B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采矿业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C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制造业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21,509.83</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0.07</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D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电力、热力、燃气及水生产和供应业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E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建筑业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F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批发和零售业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G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交通运输、仓储和邮政业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H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住宿和餐饮业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I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信息传输、软件和信息技术服务业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J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金融业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K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房地产业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L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租赁和商务服务业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M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科学研究和技术服务业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N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水利、环境和公共设施管理业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5,263.58</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0.02</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O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居民服务、修理和其他服务业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P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教育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Q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卫生和社会工作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R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文化、体育和娱乐业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1" w:type="pct"/>
            <w:tcBorders>
              <w:top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S </w:t>
            </w:r>
          </w:p>
        </w:tc>
        <w:tc>
          <w:tcPr>
            <w:tcW w:w="1054"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综合 </w:t>
            </w:r>
          </w:p>
        </w:tc>
        <w:tc>
          <w:tcPr>
            <w:tcW w:w="1748" w:type="pct"/>
            <w:tcBorders>
              <w:top w:val="single" w:sz="6" w:space="0" w:color="auto"/>
              <w:left w:val="single" w:sz="6" w:space="0" w:color="auto"/>
              <w:bottom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c>
          <w:tcPr>
            <w:tcW w:w="1748" w:type="pct"/>
            <w:tcBorders>
              <w:top w:val="single" w:sz="6" w:space="0" w:color="auto"/>
              <w:left w:val="single" w:sz="6" w:space="0" w:color="auto"/>
              <w:bottom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c>
          <w:tcPr>
            <w:tcW w:w="451" w:type="pct"/>
            <w:tcBorders>
              <w:top w:val="single" w:sz="6" w:space="0" w:color="auto"/>
              <w:right w:val="single" w:sz="6" w:space="0" w:color="auto"/>
            </w:tcBorders>
            <w:tcMar>
              <w:top w:w="8" w:type="dxa"/>
              <w:left w:w="8" w:type="dxa"/>
              <w:bottom w:w="8" w:type="dxa"/>
              <w:right w:w="8" w:type="dxa"/>
            </w:tcMar>
            <w:vAlign w:val="center"/>
          </w:tcPr>
          <w:p w:rsidR="004A0B3A" w:rsidRDefault="004A0B3A">
            <w:pPr>
              <w:widowControl w:val="0"/>
              <w:jc w:val="both"/>
              <w:rPr>
                <w:rFonts w:eastAsia="Times New Roman"/>
                <w:sz w:val="21"/>
                <w:szCs w:val="21"/>
                <w:lang w:val="en-US" w:eastAsia="zh-CN" w:bidi="ar-SA"/>
              </w:rPr>
            </w:pPr>
          </w:p>
        </w:tc>
        <w:tc>
          <w:tcPr>
            <w:tcW w:w="1054" w:type="pct"/>
            <w:tcBorders>
              <w:top w:val="single" w:sz="6" w:space="0" w:color="auto"/>
              <w:left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合计 </w:t>
            </w:r>
          </w:p>
        </w:tc>
        <w:tc>
          <w:tcPr>
            <w:tcW w:w="1748" w:type="pct"/>
            <w:tcBorders>
              <w:top w:val="single" w:sz="6" w:space="0" w:color="auto"/>
              <w:left w:val="single" w:sz="6" w:space="0" w:color="auto"/>
              <w:righ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26,773.41</w:t>
            </w:r>
          </w:p>
        </w:tc>
        <w:tc>
          <w:tcPr>
            <w:tcW w:w="1748" w:type="pct"/>
            <w:tcBorders>
              <w:top w:val="single" w:sz="6" w:space="0" w:color="auto"/>
              <w:left w:val="single" w:sz="6" w:space="0" w:color="auto"/>
            </w:tcBorders>
            <w:tcMar>
              <w:top w:w="8" w:type="dxa"/>
              <w:left w:w="8" w:type="dxa"/>
              <w:bottom w:w="8" w:type="dxa"/>
              <w:right w:w="8" w:type="dxa"/>
            </w:tcMar>
            <w:vAlign w:val="bottom"/>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0.08</w:t>
            </w:r>
          </w:p>
        </w:tc>
      </w:tr>
    </w:tbl>
    <w:p w:rsidR="004A0B3A" w:rsidRDefault="004A0B3A">
      <w:pPr>
        <w:widowControl w:val="0"/>
        <w:spacing w:line="360" w:lineRule="auto"/>
        <w:rPr>
          <w:rFonts w:eastAsia="Times New Roman"/>
          <w:sz w:val="21"/>
          <w:szCs w:val="21"/>
          <w:lang w:val="en-US" w:eastAsia="zh-CN" w:bidi="ar-SA"/>
        </w:rPr>
      </w:pPr>
      <w:bookmarkStart w:id="35" w:name="_Toc513379171"/>
      <w:bookmarkStart w:id="36" w:name="_Toc481075068"/>
      <w:bookmarkStart w:id="37" w:name="_Toc490050021"/>
      <w:bookmarkStart w:id="38" w:name="_Toc512519500"/>
      <w:bookmarkEnd w:id="35"/>
      <w:bookmarkEnd w:id="36"/>
      <w:bookmarkEnd w:id="37"/>
      <w:r>
        <w:rPr>
          <w:rFonts w:ascii="宋体" w:hAnsi="宋体" w:cs="宋体"/>
          <w:b/>
          <w:bCs/>
          <w:sz w:val="21"/>
          <w:szCs w:val="21"/>
          <w:lang w:val="en-US" w:eastAsia="zh-CN" w:bidi="ar-SA"/>
        </w:rPr>
        <w:t>（3）报告期末按行业分类的港股通投资股票投资组合</w:t>
      </w:r>
      <w:bookmarkEnd w:id="38"/>
      <w:r>
        <w:rPr>
          <w:rFonts w:ascii="宋体" w:hAnsi="宋体" w:cs="宋体"/>
          <w:b/>
          <w:bCs/>
          <w:sz w:val="21"/>
          <w:szCs w:val="21"/>
          <w:lang w:val="en-US" w:eastAsia="zh-CN" w:bidi="ar-SA"/>
        </w:rPr>
        <w:t xml:space="preserve"> </w:t>
      </w:r>
    </w:p>
    <w:p w:rsidR="004A0B3A" w:rsidRDefault="004A0B3A">
      <w:pPr>
        <w:widowControl w:val="0"/>
        <w:spacing w:line="360" w:lineRule="auto"/>
        <w:jc w:val="both"/>
        <w:rPr>
          <w:rFonts w:eastAsia="Times New Roman"/>
          <w:lang w:val="en-US" w:eastAsia="zh-CN" w:bidi="ar-SA"/>
        </w:rPr>
      </w:pPr>
      <w:r>
        <w:rPr>
          <w:rFonts w:ascii="宋体" w:hAnsi="宋体" w:cs="宋体"/>
          <w:lang w:val="en-US" w:eastAsia="zh-CN" w:bidi="ar-SA"/>
        </w:rPr>
        <w:t>注:</w:t>
      </w:r>
      <w:r>
        <w:rPr>
          <w:rFonts w:ascii="宋体" w:hAnsi="宋体" w:cs="宋体"/>
          <w:sz w:val="21"/>
          <w:szCs w:val="21"/>
          <w:lang w:val="en-US" w:eastAsia="zh-CN" w:bidi="ar-SA"/>
        </w:rPr>
        <w:t>无。</w:t>
      </w:r>
    </w:p>
    <w:p w:rsidR="004A0B3A" w:rsidRDefault="004A0B3A">
      <w:pPr>
        <w:widowControl w:val="0"/>
        <w:spacing w:line="360" w:lineRule="auto"/>
        <w:rPr>
          <w:rFonts w:eastAsia="Times New Roman"/>
          <w:sz w:val="21"/>
          <w:szCs w:val="21"/>
          <w:lang w:val="en-US" w:eastAsia="zh-CN" w:bidi="ar-SA"/>
        </w:rPr>
      </w:pPr>
      <w:bookmarkStart w:id="39" w:name="_Toc513379172"/>
      <w:bookmarkStart w:id="40" w:name="_Toc512609352"/>
      <w:bookmarkStart w:id="41" w:name="_Toc512605565"/>
      <w:bookmarkStart w:id="42" w:name="_Toc512600998"/>
      <w:bookmarkStart w:id="43" w:name="_Toc512605774"/>
      <w:bookmarkStart w:id="44" w:name="_Toc481075437"/>
      <w:bookmarkStart w:id="45" w:name="_Toc481075070"/>
      <w:bookmarkStart w:id="46" w:name="_Toc438646471"/>
      <w:bookmarkStart w:id="47" w:name="_Toc490050023"/>
      <w:bookmarkStart w:id="48" w:name="_Toc512519502"/>
      <w:bookmarkStart w:id="49" w:name="m505"/>
      <w:bookmarkEnd w:id="39"/>
      <w:bookmarkEnd w:id="40"/>
      <w:bookmarkEnd w:id="41"/>
      <w:bookmarkEnd w:id="42"/>
      <w:bookmarkEnd w:id="43"/>
      <w:bookmarkEnd w:id="44"/>
      <w:bookmarkEnd w:id="45"/>
      <w:bookmarkEnd w:id="46"/>
      <w:bookmarkEnd w:id="47"/>
      <w:bookmarkEnd w:id="48"/>
      <w:r>
        <w:rPr>
          <w:rFonts w:ascii="宋体" w:hAnsi="宋体" w:cs="宋体"/>
          <w:b/>
          <w:bCs/>
          <w:sz w:val="21"/>
          <w:szCs w:val="21"/>
          <w:lang w:val="en-US" w:eastAsia="zh-CN" w:bidi="ar-SA"/>
        </w:rPr>
        <w:t xml:space="preserve">3、报告期末按公允价值占基金资产净值比例大小排序的前十名股票投资明细 </w:t>
      </w:r>
      <w:bookmarkEnd w:id="49"/>
    </w:p>
    <w:p w:rsidR="004A0B3A" w:rsidRDefault="004A0B3A">
      <w:pPr>
        <w:widowControl w:val="0"/>
        <w:spacing w:line="360" w:lineRule="auto"/>
        <w:rPr>
          <w:rFonts w:eastAsia="Times New Roman"/>
          <w:sz w:val="21"/>
          <w:szCs w:val="21"/>
          <w:lang w:val="en-US" w:eastAsia="zh-CN" w:bidi="ar-SA"/>
        </w:rPr>
      </w:pPr>
      <w:bookmarkStart w:id="50" w:name="_Toc513379173"/>
      <w:bookmarkStart w:id="51" w:name="m504_tab"/>
      <w:bookmarkEnd w:id="50"/>
      <w:r>
        <w:rPr>
          <w:rFonts w:ascii="宋体" w:hAnsi="宋体" w:cs="宋体"/>
          <w:b/>
          <w:bCs/>
          <w:sz w:val="21"/>
          <w:szCs w:val="21"/>
          <w:lang w:val="en-US" w:eastAsia="zh-CN" w:bidi="ar-SA"/>
        </w:rPr>
        <w:t>（1）报告期末指数投资按公允价值占基金资产净值比例大小排序的前十名股票投资明细</w:t>
      </w:r>
      <w:bookmarkEnd w:id="51"/>
    </w:p>
    <w:tbl>
      <w:tblPr>
        <w:tblW w:w="5000" w:type="pct"/>
        <w:tblInd w:w="24"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882"/>
        <w:gridCol w:w="930"/>
        <w:gridCol w:w="1219"/>
        <w:gridCol w:w="1242"/>
        <w:gridCol w:w="1764"/>
        <w:gridCol w:w="2635"/>
      </w:tblGrid>
      <w:tr w:rsidR="004A0B3A" w:rsidRPr="004A0B3A">
        <w:trPr>
          <w:trHeight w:val="315"/>
        </w:trPr>
        <w:tc>
          <w:tcPr>
            <w:tcW w:w="509" w:type="pct"/>
            <w:tcBorders>
              <w:bottom w:val="single" w:sz="6" w:space="0" w:color="auto"/>
              <w:right w:val="single" w:sz="6" w:space="0" w:color="auto"/>
            </w:tcBorders>
            <w:shd w:val="clear" w:color="auto" w:fill="D9D9D9"/>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序号 </w:t>
            </w:r>
          </w:p>
        </w:tc>
        <w:tc>
          <w:tcPr>
            <w:tcW w:w="536" w:type="pct"/>
            <w:tcBorders>
              <w:left w:val="single" w:sz="6" w:space="0" w:color="auto"/>
              <w:bottom w:val="single" w:sz="6" w:space="0" w:color="auto"/>
              <w:right w:val="single" w:sz="6" w:space="0" w:color="auto"/>
            </w:tcBorders>
            <w:shd w:val="clear" w:color="auto" w:fill="D9D9D9"/>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股票代码 </w:t>
            </w:r>
          </w:p>
        </w:tc>
        <w:tc>
          <w:tcPr>
            <w:tcW w:w="703" w:type="pct"/>
            <w:tcBorders>
              <w:left w:val="single" w:sz="6" w:space="0" w:color="auto"/>
              <w:bottom w:val="single" w:sz="6" w:space="0" w:color="auto"/>
              <w:right w:val="single" w:sz="6" w:space="0" w:color="auto"/>
            </w:tcBorders>
            <w:shd w:val="clear" w:color="auto" w:fill="D9D9D9"/>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股票名称 </w:t>
            </w:r>
          </w:p>
        </w:tc>
        <w:tc>
          <w:tcPr>
            <w:tcW w:w="716" w:type="pct"/>
            <w:tcBorders>
              <w:left w:val="single" w:sz="6" w:space="0" w:color="auto"/>
              <w:bottom w:val="single" w:sz="6" w:space="0" w:color="auto"/>
              <w:right w:val="single" w:sz="6" w:space="0" w:color="auto"/>
            </w:tcBorders>
            <w:shd w:val="clear" w:color="auto" w:fill="D9D9D9"/>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数量（股） </w:t>
            </w:r>
          </w:p>
        </w:tc>
        <w:tc>
          <w:tcPr>
            <w:tcW w:w="1017" w:type="pct"/>
            <w:tcBorders>
              <w:left w:val="single" w:sz="6" w:space="0" w:color="auto"/>
              <w:bottom w:val="single" w:sz="6" w:space="0" w:color="auto"/>
              <w:right w:val="single" w:sz="6" w:space="0" w:color="auto"/>
            </w:tcBorders>
            <w:shd w:val="clear" w:color="auto" w:fill="D9D9D9"/>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公允价值（元） </w:t>
            </w:r>
          </w:p>
        </w:tc>
        <w:tc>
          <w:tcPr>
            <w:tcW w:w="1519" w:type="pct"/>
            <w:tcBorders>
              <w:left w:val="single" w:sz="6" w:space="0" w:color="auto"/>
              <w:bottom w:val="single" w:sz="6" w:space="0" w:color="auto"/>
            </w:tcBorders>
            <w:shd w:val="clear" w:color="auto" w:fill="D9D9D9"/>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占基金资产净值比例（%） </w:t>
            </w:r>
          </w:p>
        </w:tc>
      </w:tr>
      <w:tr w:rsidR="004A0B3A" w:rsidRPr="004A0B3A">
        <w:trPr>
          <w:trHeight w:val="285"/>
        </w:trPr>
        <w:tc>
          <w:tcPr>
            <w:tcW w:w="50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1</w:t>
            </w:r>
          </w:p>
        </w:tc>
        <w:tc>
          <w:tcPr>
            <w:tcW w:w="53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300750</w:t>
            </w:r>
          </w:p>
        </w:tc>
        <w:tc>
          <w:tcPr>
            <w:tcW w:w="703"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宁德时代</w:t>
            </w:r>
          </w:p>
        </w:tc>
        <w:tc>
          <w:tcPr>
            <w:tcW w:w="71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30,600</w:t>
            </w:r>
          </w:p>
        </w:tc>
        <w:tc>
          <w:tcPr>
            <w:tcW w:w="1017"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3,255,840.00</w:t>
            </w:r>
          </w:p>
        </w:tc>
        <w:tc>
          <w:tcPr>
            <w:tcW w:w="1519"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10.06</w:t>
            </w:r>
          </w:p>
        </w:tc>
      </w:tr>
      <w:tr w:rsidR="004A0B3A" w:rsidRPr="004A0B3A">
        <w:trPr>
          <w:trHeight w:val="285"/>
        </w:trPr>
        <w:tc>
          <w:tcPr>
            <w:tcW w:w="50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2</w:t>
            </w:r>
          </w:p>
        </w:tc>
        <w:tc>
          <w:tcPr>
            <w:tcW w:w="53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601012</w:t>
            </w:r>
          </w:p>
        </w:tc>
        <w:tc>
          <w:tcPr>
            <w:tcW w:w="703"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隆基股份</w:t>
            </w:r>
          </w:p>
        </w:tc>
        <w:tc>
          <w:tcPr>
            <w:tcW w:w="71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75,320</w:t>
            </w:r>
          </w:p>
        </w:tc>
        <w:tc>
          <w:tcPr>
            <w:tcW w:w="1017"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1,870,195.60</w:t>
            </w:r>
          </w:p>
        </w:tc>
        <w:tc>
          <w:tcPr>
            <w:tcW w:w="1519"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5.78</w:t>
            </w:r>
          </w:p>
        </w:tc>
      </w:tr>
      <w:tr w:rsidR="004A0B3A" w:rsidRPr="004A0B3A">
        <w:trPr>
          <w:trHeight w:val="285"/>
        </w:trPr>
        <w:tc>
          <w:tcPr>
            <w:tcW w:w="50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3</w:t>
            </w:r>
          </w:p>
        </w:tc>
        <w:tc>
          <w:tcPr>
            <w:tcW w:w="53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600406</w:t>
            </w:r>
          </w:p>
        </w:tc>
        <w:tc>
          <w:tcPr>
            <w:tcW w:w="703"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国电南瑞</w:t>
            </w:r>
          </w:p>
        </w:tc>
        <w:tc>
          <w:tcPr>
            <w:tcW w:w="71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65,910</w:t>
            </w:r>
          </w:p>
        </w:tc>
        <w:tc>
          <w:tcPr>
            <w:tcW w:w="1017"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1,395,973.80</w:t>
            </w:r>
          </w:p>
        </w:tc>
        <w:tc>
          <w:tcPr>
            <w:tcW w:w="1519"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4.31</w:t>
            </w:r>
          </w:p>
        </w:tc>
      </w:tr>
      <w:tr w:rsidR="004A0B3A" w:rsidRPr="004A0B3A">
        <w:trPr>
          <w:trHeight w:val="285"/>
        </w:trPr>
        <w:tc>
          <w:tcPr>
            <w:tcW w:w="50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4</w:t>
            </w:r>
          </w:p>
        </w:tc>
        <w:tc>
          <w:tcPr>
            <w:tcW w:w="53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002594</w:t>
            </w:r>
          </w:p>
        </w:tc>
        <w:tc>
          <w:tcPr>
            <w:tcW w:w="703"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比亚迪</w:t>
            </w:r>
          </w:p>
        </w:tc>
        <w:tc>
          <w:tcPr>
            <w:tcW w:w="71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25,900</w:t>
            </w:r>
          </w:p>
        </w:tc>
        <w:tc>
          <w:tcPr>
            <w:tcW w:w="1017"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1,234,653.00</w:t>
            </w:r>
          </w:p>
        </w:tc>
        <w:tc>
          <w:tcPr>
            <w:tcW w:w="1519"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3.82</w:t>
            </w:r>
          </w:p>
        </w:tc>
      </w:tr>
      <w:tr w:rsidR="004A0B3A" w:rsidRPr="004A0B3A">
        <w:trPr>
          <w:trHeight w:val="285"/>
        </w:trPr>
        <w:tc>
          <w:tcPr>
            <w:tcW w:w="50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5</w:t>
            </w:r>
          </w:p>
        </w:tc>
        <w:tc>
          <w:tcPr>
            <w:tcW w:w="53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002202</w:t>
            </w:r>
          </w:p>
        </w:tc>
        <w:tc>
          <w:tcPr>
            <w:tcW w:w="703"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金风科技</w:t>
            </w:r>
          </w:p>
        </w:tc>
        <w:tc>
          <w:tcPr>
            <w:tcW w:w="71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78,754</w:t>
            </w:r>
          </w:p>
        </w:tc>
        <w:tc>
          <w:tcPr>
            <w:tcW w:w="1017"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941,110.30</w:t>
            </w:r>
          </w:p>
        </w:tc>
        <w:tc>
          <w:tcPr>
            <w:tcW w:w="1519"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2.91</w:t>
            </w:r>
          </w:p>
        </w:tc>
      </w:tr>
      <w:tr w:rsidR="004A0B3A" w:rsidRPr="004A0B3A">
        <w:trPr>
          <w:trHeight w:val="285"/>
        </w:trPr>
        <w:tc>
          <w:tcPr>
            <w:tcW w:w="50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6</w:t>
            </w:r>
          </w:p>
        </w:tc>
        <w:tc>
          <w:tcPr>
            <w:tcW w:w="53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300124</w:t>
            </w:r>
          </w:p>
        </w:tc>
        <w:tc>
          <w:tcPr>
            <w:tcW w:w="703"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汇川技术</w:t>
            </w:r>
          </w:p>
        </w:tc>
        <w:tc>
          <w:tcPr>
            <w:tcW w:w="71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29,700</w:t>
            </w:r>
          </w:p>
        </w:tc>
        <w:tc>
          <w:tcPr>
            <w:tcW w:w="1017"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910,008.00</w:t>
            </w:r>
          </w:p>
        </w:tc>
        <w:tc>
          <w:tcPr>
            <w:tcW w:w="1519"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2.81</w:t>
            </w:r>
          </w:p>
        </w:tc>
      </w:tr>
      <w:tr w:rsidR="004A0B3A" w:rsidRPr="004A0B3A">
        <w:trPr>
          <w:trHeight w:val="285"/>
        </w:trPr>
        <w:tc>
          <w:tcPr>
            <w:tcW w:w="50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7</w:t>
            </w:r>
          </w:p>
        </w:tc>
        <w:tc>
          <w:tcPr>
            <w:tcW w:w="53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601985</w:t>
            </w:r>
          </w:p>
        </w:tc>
        <w:tc>
          <w:tcPr>
            <w:tcW w:w="703"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中国核电</w:t>
            </w:r>
          </w:p>
        </w:tc>
        <w:tc>
          <w:tcPr>
            <w:tcW w:w="71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177,600</w:t>
            </w:r>
          </w:p>
        </w:tc>
        <w:tc>
          <w:tcPr>
            <w:tcW w:w="1017"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888,000.00</w:t>
            </w:r>
          </w:p>
        </w:tc>
        <w:tc>
          <w:tcPr>
            <w:tcW w:w="1519"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2.74</w:t>
            </w:r>
          </w:p>
        </w:tc>
      </w:tr>
      <w:tr w:rsidR="004A0B3A" w:rsidRPr="004A0B3A">
        <w:trPr>
          <w:trHeight w:val="285"/>
        </w:trPr>
        <w:tc>
          <w:tcPr>
            <w:tcW w:w="50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8</w:t>
            </w:r>
          </w:p>
        </w:tc>
        <w:tc>
          <w:tcPr>
            <w:tcW w:w="53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601877</w:t>
            </w:r>
          </w:p>
        </w:tc>
        <w:tc>
          <w:tcPr>
            <w:tcW w:w="703"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正泰电器</w:t>
            </w:r>
          </w:p>
        </w:tc>
        <w:tc>
          <w:tcPr>
            <w:tcW w:w="71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30,700</w:t>
            </w:r>
          </w:p>
        </w:tc>
        <w:tc>
          <w:tcPr>
            <w:tcW w:w="1017"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822,760.00</w:t>
            </w:r>
          </w:p>
        </w:tc>
        <w:tc>
          <w:tcPr>
            <w:tcW w:w="1519"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2.54</w:t>
            </w:r>
          </w:p>
        </w:tc>
      </w:tr>
      <w:tr w:rsidR="004A0B3A" w:rsidRPr="004A0B3A">
        <w:trPr>
          <w:trHeight w:val="285"/>
        </w:trPr>
        <w:tc>
          <w:tcPr>
            <w:tcW w:w="50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9</w:t>
            </w:r>
          </w:p>
        </w:tc>
        <w:tc>
          <w:tcPr>
            <w:tcW w:w="53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002466</w:t>
            </w:r>
          </w:p>
        </w:tc>
        <w:tc>
          <w:tcPr>
            <w:tcW w:w="703"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天齐锂业</w:t>
            </w:r>
          </w:p>
        </w:tc>
        <w:tc>
          <w:tcPr>
            <w:tcW w:w="71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25,412</w:t>
            </w:r>
          </w:p>
        </w:tc>
        <w:tc>
          <w:tcPr>
            <w:tcW w:w="1017"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766,934.16</w:t>
            </w:r>
          </w:p>
        </w:tc>
        <w:tc>
          <w:tcPr>
            <w:tcW w:w="1519"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2.37</w:t>
            </w:r>
          </w:p>
        </w:tc>
      </w:tr>
      <w:tr w:rsidR="004A0B3A" w:rsidRPr="004A0B3A">
        <w:trPr>
          <w:trHeight w:val="285"/>
        </w:trPr>
        <w:tc>
          <w:tcPr>
            <w:tcW w:w="509" w:type="pct"/>
            <w:tcBorders>
              <w:top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10</w:t>
            </w:r>
          </w:p>
        </w:tc>
        <w:tc>
          <w:tcPr>
            <w:tcW w:w="536" w:type="pct"/>
            <w:tcBorders>
              <w:top w:val="single" w:sz="6" w:space="0" w:color="auto"/>
              <w:left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002460</w:t>
            </w:r>
          </w:p>
        </w:tc>
        <w:tc>
          <w:tcPr>
            <w:tcW w:w="703" w:type="pct"/>
            <w:tcBorders>
              <w:top w:val="single" w:sz="6" w:space="0" w:color="auto"/>
              <w:left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赣锋锂业</w:t>
            </w:r>
          </w:p>
        </w:tc>
        <w:tc>
          <w:tcPr>
            <w:tcW w:w="716" w:type="pct"/>
            <w:tcBorders>
              <w:top w:val="single" w:sz="6" w:space="0" w:color="auto"/>
              <w:left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21,850</w:t>
            </w:r>
          </w:p>
        </w:tc>
        <w:tc>
          <w:tcPr>
            <w:tcW w:w="1017" w:type="pct"/>
            <w:tcBorders>
              <w:top w:val="single" w:sz="6" w:space="0" w:color="auto"/>
              <w:left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761,035.50</w:t>
            </w:r>
          </w:p>
        </w:tc>
        <w:tc>
          <w:tcPr>
            <w:tcW w:w="1519" w:type="pct"/>
            <w:tcBorders>
              <w:top w:val="single" w:sz="6" w:space="0" w:color="auto"/>
              <w:lef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2.35</w:t>
            </w:r>
          </w:p>
        </w:tc>
      </w:tr>
    </w:tbl>
    <w:p w:rsidR="004A0B3A" w:rsidRDefault="004A0B3A">
      <w:pPr>
        <w:widowControl w:val="0"/>
        <w:spacing w:line="360" w:lineRule="auto"/>
        <w:rPr>
          <w:rFonts w:eastAsia="Times New Roman"/>
          <w:sz w:val="21"/>
          <w:szCs w:val="21"/>
          <w:lang w:val="en-US" w:eastAsia="zh-CN" w:bidi="ar-SA"/>
        </w:rPr>
      </w:pPr>
      <w:bookmarkStart w:id="52" w:name="_Toc513379174"/>
      <w:r>
        <w:rPr>
          <w:rFonts w:ascii="宋体" w:hAnsi="宋体" w:cs="宋体"/>
          <w:b/>
          <w:bCs/>
          <w:sz w:val="21"/>
          <w:szCs w:val="21"/>
          <w:lang w:val="en-US" w:eastAsia="zh-CN" w:bidi="ar-SA"/>
        </w:rPr>
        <w:t>（2）报告期末积极投资按公允价值占基金资产净值比例大小排序的前五名股票投资明细</w:t>
      </w:r>
      <w:bookmarkEnd w:id="52"/>
    </w:p>
    <w:tbl>
      <w:tblPr>
        <w:tblW w:w="5000" w:type="pct"/>
        <w:tblInd w:w="1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1162"/>
        <w:gridCol w:w="1321"/>
        <w:gridCol w:w="1412"/>
        <w:gridCol w:w="1420"/>
        <w:gridCol w:w="1502"/>
        <w:gridCol w:w="2039"/>
      </w:tblGrid>
      <w:tr w:rsidR="004A0B3A" w:rsidRPr="004A0B3A">
        <w:tc>
          <w:tcPr>
            <w:tcW w:w="1179" w:type="dxa"/>
            <w:tcBorders>
              <w:bottom w:val="single" w:sz="6" w:space="0" w:color="auto"/>
              <w:right w:val="single" w:sz="6" w:space="0" w:color="auto"/>
            </w:tcBorders>
            <w:shd w:val="clear" w:color="auto" w:fill="D9D9D9"/>
            <w:tcMar>
              <w:top w:w="8" w:type="dxa"/>
              <w:left w:w="108" w:type="dxa"/>
              <w:bottom w:w="8" w:type="dxa"/>
              <w:right w:w="10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序号 </w:t>
            </w:r>
          </w:p>
        </w:tc>
        <w:tc>
          <w:tcPr>
            <w:tcW w:w="1331" w:type="dxa"/>
            <w:tcBorders>
              <w:left w:val="single" w:sz="6" w:space="0" w:color="auto"/>
              <w:bottom w:val="single" w:sz="6" w:space="0" w:color="auto"/>
              <w:right w:val="single" w:sz="6" w:space="0" w:color="auto"/>
            </w:tcBorders>
            <w:shd w:val="clear" w:color="auto" w:fill="D9D9D9"/>
            <w:tcMar>
              <w:top w:w="8" w:type="dxa"/>
              <w:left w:w="108" w:type="dxa"/>
              <w:bottom w:w="8" w:type="dxa"/>
              <w:right w:w="10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股票代码 </w:t>
            </w:r>
          </w:p>
        </w:tc>
        <w:tc>
          <w:tcPr>
            <w:tcW w:w="1433" w:type="dxa"/>
            <w:tcBorders>
              <w:left w:val="single" w:sz="6" w:space="0" w:color="auto"/>
              <w:bottom w:val="single" w:sz="6" w:space="0" w:color="auto"/>
              <w:right w:val="single" w:sz="6" w:space="0" w:color="auto"/>
            </w:tcBorders>
            <w:shd w:val="clear" w:color="auto" w:fill="D9D9D9"/>
            <w:tcMar>
              <w:top w:w="8" w:type="dxa"/>
              <w:left w:w="108" w:type="dxa"/>
              <w:bottom w:w="8" w:type="dxa"/>
              <w:right w:w="10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股票名称 </w:t>
            </w:r>
          </w:p>
        </w:tc>
        <w:tc>
          <w:tcPr>
            <w:tcW w:w="1433" w:type="dxa"/>
            <w:tcBorders>
              <w:left w:val="single" w:sz="6" w:space="0" w:color="auto"/>
              <w:bottom w:val="single" w:sz="6" w:space="0" w:color="auto"/>
              <w:right w:val="single" w:sz="6" w:space="0" w:color="auto"/>
            </w:tcBorders>
            <w:shd w:val="clear" w:color="auto" w:fill="D9D9D9"/>
            <w:tcMar>
              <w:top w:w="8" w:type="dxa"/>
              <w:left w:w="108" w:type="dxa"/>
              <w:bottom w:w="8" w:type="dxa"/>
              <w:right w:w="10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数量（股） </w:t>
            </w:r>
          </w:p>
        </w:tc>
        <w:tc>
          <w:tcPr>
            <w:tcW w:w="1509" w:type="dxa"/>
            <w:tcBorders>
              <w:left w:val="single" w:sz="6" w:space="0" w:color="auto"/>
              <w:bottom w:val="single" w:sz="6" w:space="0" w:color="auto"/>
              <w:right w:val="single" w:sz="6" w:space="0" w:color="auto"/>
            </w:tcBorders>
            <w:shd w:val="clear" w:color="auto" w:fill="D9D9D9"/>
            <w:tcMar>
              <w:top w:w="8" w:type="dxa"/>
              <w:left w:w="108" w:type="dxa"/>
              <w:bottom w:w="8" w:type="dxa"/>
              <w:right w:w="10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公允价值（元） </w:t>
            </w:r>
          </w:p>
        </w:tc>
        <w:tc>
          <w:tcPr>
            <w:tcW w:w="2067" w:type="dxa"/>
            <w:tcBorders>
              <w:left w:val="single" w:sz="6" w:space="0" w:color="auto"/>
              <w:bottom w:val="single" w:sz="6" w:space="0" w:color="auto"/>
            </w:tcBorders>
            <w:shd w:val="clear" w:color="auto" w:fill="D9D9D9"/>
            <w:tcMar>
              <w:top w:w="8" w:type="dxa"/>
              <w:left w:w="108" w:type="dxa"/>
              <w:bottom w:w="8" w:type="dxa"/>
              <w:right w:w="10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占基金资产净值比例（%） </w:t>
            </w:r>
          </w:p>
        </w:tc>
      </w:tr>
      <w:tr w:rsidR="004A0B3A" w:rsidRPr="004A0B3A">
        <w:tc>
          <w:tcPr>
            <w:tcW w:w="1179"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1</w:t>
            </w:r>
          </w:p>
        </w:tc>
        <w:tc>
          <w:tcPr>
            <w:tcW w:w="1331"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002972</w:t>
            </w:r>
          </w:p>
        </w:tc>
        <w:tc>
          <w:tcPr>
            <w:tcW w:w="1433"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科安达</w:t>
            </w:r>
          </w:p>
        </w:tc>
        <w:tc>
          <w:tcPr>
            <w:tcW w:w="1433"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725</w:t>
            </w:r>
          </w:p>
        </w:tc>
        <w:tc>
          <w:tcPr>
            <w:tcW w:w="1509"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14,521.75</w:t>
            </w:r>
          </w:p>
        </w:tc>
        <w:tc>
          <w:tcPr>
            <w:tcW w:w="2067"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0.04</w:t>
            </w:r>
          </w:p>
        </w:tc>
      </w:tr>
      <w:tr w:rsidR="004A0B3A" w:rsidRPr="004A0B3A">
        <w:tc>
          <w:tcPr>
            <w:tcW w:w="1179" w:type="dxa"/>
            <w:tcBorders>
              <w:top w:val="single" w:sz="6" w:space="0" w:color="auto"/>
              <w:bottom w:val="single" w:sz="6" w:space="0" w:color="auto"/>
              <w:right w:val="single" w:sz="6" w:space="0" w:color="auto"/>
            </w:tcBorders>
            <w:tcMar>
              <w:top w:w="8" w:type="dxa"/>
              <w:left w:w="108" w:type="dxa"/>
              <w:bottom w:w="8" w:type="dxa"/>
              <w:right w:w="10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2</w:t>
            </w:r>
          </w:p>
        </w:tc>
        <w:tc>
          <w:tcPr>
            <w:tcW w:w="1331"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603109</w:t>
            </w:r>
          </w:p>
        </w:tc>
        <w:tc>
          <w:tcPr>
            <w:tcW w:w="1433"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神驰机电</w:t>
            </w:r>
          </w:p>
        </w:tc>
        <w:tc>
          <w:tcPr>
            <w:tcW w:w="1433"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264</w:t>
            </w:r>
          </w:p>
        </w:tc>
        <w:tc>
          <w:tcPr>
            <w:tcW w:w="1509" w:type="dxa"/>
            <w:tcBorders>
              <w:top w:val="single" w:sz="6" w:space="0" w:color="auto"/>
              <w:left w:val="single" w:sz="6" w:space="0" w:color="auto"/>
              <w:bottom w:val="single" w:sz="6" w:space="0" w:color="auto"/>
              <w:right w:val="single" w:sz="6" w:space="0" w:color="auto"/>
            </w:tcBorders>
            <w:tcMar>
              <w:top w:w="8" w:type="dxa"/>
              <w:left w:w="108" w:type="dxa"/>
              <w:bottom w:w="8" w:type="dxa"/>
              <w:right w:w="10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6,988.08</w:t>
            </w:r>
          </w:p>
        </w:tc>
        <w:tc>
          <w:tcPr>
            <w:tcW w:w="2067" w:type="dxa"/>
            <w:tcBorders>
              <w:top w:val="single" w:sz="6" w:space="0" w:color="auto"/>
              <w:left w:val="single" w:sz="6" w:space="0" w:color="auto"/>
              <w:bottom w:val="single" w:sz="6" w:space="0" w:color="auto"/>
            </w:tcBorders>
            <w:tcMar>
              <w:top w:w="8" w:type="dxa"/>
              <w:left w:w="108" w:type="dxa"/>
              <w:bottom w:w="8" w:type="dxa"/>
              <w:right w:w="10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0.02</w:t>
            </w:r>
          </w:p>
        </w:tc>
      </w:tr>
      <w:tr w:rsidR="004A0B3A" w:rsidRPr="004A0B3A">
        <w:tc>
          <w:tcPr>
            <w:tcW w:w="1179" w:type="dxa"/>
            <w:tcBorders>
              <w:top w:val="single" w:sz="6" w:space="0" w:color="auto"/>
              <w:right w:val="single" w:sz="6" w:space="0" w:color="auto"/>
            </w:tcBorders>
            <w:tcMar>
              <w:top w:w="8" w:type="dxa"/>
              <w:left w:w="108" w:type="dxa"/>
              <w:bottom w:w="8" w:type="dxa"/>
              <w:right w:w="10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3</w:t>
            </w:r>
          </w:p>
        </w:tc>
        <w:tc>
          <w:tcPr>
            <w:tcW w:w="1331" w:type="dxa"/>
            <w:tcBorders>
              <w:top w:val="single" w:sz="6" w:space="0" w:color="auto"/>
              <w:left w:val="single" w:sz="6" w:space="0" w:color="auto"/>
              <w:right w:val="single" w:sz="6" w:space="0" w:color="auto"/>
            </w:tcBorders>
            <w:tcMar>
              <w:top w:w="8" w:type="dxa"/>
              <w:left w:w="108" w:type="dxa"/>
              <w:bottom w:w="8" w:type="dxa"/>
              <w:right w:w="10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002973</w:t>
            </w:r>
          </w:p>
        </w:tc>
        <w:tc>
          <w:tcPr>
            <w:tcW w:w="1433" w:type="dxa"/>
            <w:tcBorders>
              <w:top w:val="single" w:sz="6" w:space="0" w:color="auto"/>
              <w:left w:val="single" w:sz="6" w:space="0" w:color="auto"/>
              <w:right w:val="single" w:sz="6" w:space="0" w:color="auto"/>
            </w:tcBorders>
            <w:tcMar>
              <w:top w:w="8" w:type="dxa"/>
              <w:left w:w="108" w:type="dxa"/>
              <w:bottom w:w="8" w:type="dxa"/>
              <w:right w:w="10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侨银环保</w:t>
            </w:r>
          </w:p>
        </w:tc>
        <w:tc>
          <w:tcPr>
            <w:tcW w:w="1433" w:type="dxa"/>
            <w:tcBorders>
              <w:top w:val="single" w:sz="6" w:space="0" w:color="auto"/>
              <w:left w:val="single" w:sz="6" w:space="0" w:color="auto"/>
              <w:right w:val="single" w:sz="6" w:space="0" w:color="auto"/>
            </w:tcBorders>
            <w:tcMar>
              <w:top w:w="8" w:type="dxa"/>
              <w:left w:w="108" w:type="dxa"/>
              <w:bottom w:w="8" w:type="dxa"/>
              <w:right w:w="10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917</w:t>
            </w:r>
          </w:p>
        </w:tc>
        <w:tc>
          <w:tcPr>
            <w:tcW w:w="1509" w:type="dxa"/>
            <w:tcBorders>
              <w:top w:val="single" w:sz="6" w:space="0" w:color="auto"/>
              <w:left w:val="single" w:sz="6" w:space="0" w:color="auto"/>
              <w:right w:val="single" w:sz="6" w:space="0" w:color="auto"/>
            </w:tcBorders>
            <w:tcMar>
              <w:top w:w="8" w:type="dxa"/>
              <w:left w:w="108" w:type="dxa"/>
              <w:bottom w:w="8" w:type="dxa"/>
              <w:right w:w="10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5,263.58</w:t>
            </w:r>
          </w:p>
        </w:tc>
        <w:tc>
          <w:tcPr>
            <w:tcW w:w="2067" w:type="dxa"/>
            <w:tcBorders>
              <w:top w:val="single" w:sz="6" w:space="0" w:color="auto"/>
              <w:left w:val="single" w:sz="6" w:space="0" w:color="auto"/>
            </w:tcBorders>
            <w:tcMar>
              <w:top w:w="8" w:type="dxa"/>
              <w:left w:w="108" w:type="dxa"/>
              <w:bottom w:w="8" w:type="dxa"/>
              <w:right w:w="10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0.02</w:t>
            </w:r>
          </w:p>
        </w:tc>
      </w:tr>
    </w:tbl>
    <w:p w:rsidR="004A0B3A" w:rsidRDefault="004A0B3A">
      <w:pPr>
        <w:widowControl w:val="0"/>
        <w:spacing w:line="360" w:lineRule="auto"/>
        <w:rPr>
          <w:rFonts w:eastAsia="Times New Roman"/>
          <w:sz w:val="21"/>
          <w:szCs w:val="21"/>
          <w:lang w:val="en-US" w:eastAsia="zh-CN" w:bidi="ar-SA"/>
        </w:rPr>
      </w:pPr>
      <w:r>
        <w:rPr>
          <w:rFonts w:ascii="宋体" w:hAnsi="宋体" w:cs="宋体"/>
          <w:sz w:val="21"/>
          <w:szCs w:val="21"/>
          <w:lang w:val="en-US" w:eastAsia="zh-CN" w:bidi="ar-SA"/>
        </w:rPr>
        <w:t>注:以上为本基金持有的全部积极股票投资。</w:t>
      </w:r>
    </w:p>
    <w:p w:rsidR="004A0B3A" w:rsidRDefault="004A0B3A">
      <w:pPr>
        <w:widowControl w:val="0"/>
        <w:spacing w:line="360" w:lineRule="auto"/>
        <w:rPr>
          <w:rFonts w:eastAsia="Times New Roman"/>
          <w:sz w:val="21"/>
          <w:szCs w:val="21"/>
          <w:lang w:val="en-US" w:eastAsia="zh-CN" w:bidi="ar-SA"/>
        </w:rPr>
      </w:pPr>
      <w:bookmarkStart w:id="53" w:name="_Toc513379175"/>
      <w:r>
        <w:rPr>
          <w:rFonts w:ascii="宋体" w:hAnsi="宋体" w:cs="宋体"/>
          <w:b/>
          <w:bCs/>
          <w:sz w:val="21"/>
          <w:szCs w:val="21"/>
          <w:lang w:val="en-US" w:eastAsia="zh-CN" w:bidi="ar-SA"/>
        </w:rPr>
        <w:t>4、报告期末按债券品种分类的债券投资组合</w:t>
      </w:r>
      <w:bookmarkEnd w:id="53"/>
      <w:r>
        <w:rPr>
          <w:rFonts w:ascii="宋体" w:hAnsi="宋体" w:cs="宋体"/>
          <w:b/>
          <w:bCs/>
          <w:sz w:val="21"/>
          <w:szCs w:val="21"/>
          <w:lang w:val="en-US" w:eastAsia="zh-CN" w:bidi="ar-SA"/>
        </w:rPr>
        <w:t xml:space="preserve"> </w:t>
      </w:r>
    </w:p>
    <w:p w:rsidR="004A0B3A" w:rsidRDefault="004A0B3A">
      <w:pPr>
        <w:widowControl w:val="0"/>
        <w:spacing w:line="360" w:lineRule="auto"/>
        <w:rPr>
          <w:rFonts w:eastAsia="Times New Roman"/>
          <w:sz w:val="21"/>
          <w:szCs w:val="21"/>
          <w:lang w:val="en-US" w:eastAsia="zh-CN" w:bidi="ar-SA"/>
        </w:rPr>
      </w:pPr>
      <w:r>
        <w:rPr>
          <w:rFonts w:ascii="宋体" w:hAnsi="宋体" w:cs="宋体"/>
          <w:sz w:val="21"/>
          <w:szCs w:val="21"/>
          <w:lang w:val="en-US" w:eastAsia="zh-CN" w:bidi="ar-SA"/>
        </w:rPr>
        <w:t>注:无。</w:t>
      </w:r>
    </w:p>
    <w:p w:rsidR="004A0B3A" w:rsidRDefault="004A0B3A">
      <w:pPr>
        <w:widowControl w:val="0"/>
        <w:spacing w:line="360" w:lineRule="auto"/>
        <w:rPr>
          <w:rFonts w:eastAsia="Times New Roman"/>
          <w:sz w:val="21"/>
          <w:szCs w:val="21"/>
          <w:lang w:val="en-US" w:eastAsia="zh-CN" w:bidi="ar-SA"/>
        </w:rPr>
      </w:pPr>
      <w:bookmarkStart w:id="54" w:name="m08QD_06"/>
      <w:bookmarkStart w:id="55" w:name="_Toc513379176"/>
      <w:bookmarkStart w:id="56" w:name="_Toc481075071"/>
      <w:bookmarkStart w:id="57" w:name="_Toc438646472"/>
      <w:bookmarkStart w:id="58" w:name="_Toc490050024"/>
      <w:bookmarkStart w:id="59" w:name="_Toc512519503"/>
      <w:bookmarkStart w:id="60" w:name="m506"/>
      <w:bookmarkEnd w:id="54"/>
      <w:bookmarkEnd w:id="55"/>
      <w:bookmarkEnd w:id="56"/>
      <w:bookmarkEnd w:id="57"/>
      <w:bookmarkEnd w:id="58"/>
      <w:bookmarkEnd w:id="59"/>
      <w:r>
        <w:rPr>
          <w:rFonts w:ascii="宋体" w:hAnsi="宋体" w:cs="宋体"/>
          <w:b/>
          <w:bCs/>
          <w:sz w:val="21"/>
          <w:szCs w:val="21"/>
          <w:lang w:val="en-US" w:eastAsia="zh-CN" w:bidi="ar-SA"/>
        </w:rPr>
        <w:t>5、报告期末按公允价值占基金资产净值比例大小排序的前五名债券投资明细</w:t>
      </w:r>
      <w:r>
        <w:rPr>
          <w:rFonts w:ascii="宋体" w:hAnsi="宋体" w:cs="宋体"/>
          <w:sz w:val="21"/>
          <w:szCs w:val="21"/>
          <w:lang w:val="en-US" w:eastAsia="zh-CN" w:bidi="ar-SA"/>
        </w:rPr>
        <w:t xml:space="preserve"> </w:t>
      </w:r>
      <w:bookmarkEnd w:id="60"/>
    </w:p>
    <w:p w:rsidR="004A0B3A" w:rsidRDefault="004A0B3A">
      <w:pPr>
        <w:widowControl w:val="0"/>
        <w:spacing w:line="360" w:lineRule="auto"/>
        <w:jc w:val="both"/>
        <w:rPr>
          <w:rFonts w:eastAsia="Times New Roman"/>
          <w:sz w:val="21"/>
          <w:szCs w:val="21"/>
          <w:lang w:val="en-US" w:eastAsia="zh-CN" w:bidi="ar-SA"/>
        </w:rPr>
      </w:pPr>
      <w:r>
        <w:rPr>
          <w:rFonts w:ascii="宋体" w:hAnsi="宋体" w:cs="宋体"/>
          <w:sz w:val="21"/>
          <w:szCs w:val="21"/>
          <w:lang w:val="en-US" w:eastAsia="zh-CN" w:bidi="ar-SA"/>
        </w:rPr>
        <w:t xml:space="preserve">注:无。 </w:t>
      </w:r>
    </w:p>
    <w:p w:rsidR="004A0B3A" w:rsidRDefault="004A0B3A">
      <w:pPr>
        <w:widowControl w:val="0"/>
        <w:spacing w:line="360" w:lineRule="auto"/>
        <w:rPr>
          <w:rFonts w:eastAsia="Times New Roman"/>
          <w:sz w:val="21"/>
          <w:szCs w:val="21"/>
          <w:lang w:val="en-US" w:eastAsia="zh-CN" w:bidi="ar-SA"/>
        </w:rPr>
      </w:pPr>
      <w:bookmarkStart w:id="61" w:name="_Toc513379177"/>
      <w:bookmarkStart w:id="62" w:name="_Toc481075072"/>
      <w:bookmarkStart w:id="63" w:name="_Toc438646473"/>
      <w:bookmarkStart w:id="64" w:name="_Toc490050025"/>
      <w:bookmarkStart w:id="65" w:name="_Toc512519504"/>
      <w:bookmarkStart w:id="66" w:name="m507"/>
      <w:bookmarkEnd w:id="61"/>
      <w:bookmarkEnd w:id="62"/>
      <w:bookmarkEnd w:id="63"/>
      <w:bookmarkEnd w:id="64"/>
      <w:bookmarkEnd w:id="65"/>
      <w:r>
        <w:rPr>
          <w:rFonts w:ascii="宋体" w:hAnsi="宋体" w:cs="宋体"/>
          <w:b/>
          <w:bCs/>
          <w:sz w:val="21"/>
          <w:szCs w:val="21"/>
          <w:lang w:val="en-US" w:eastAsia="zh-CN" w:bidi="ar-SA"/>
        </w:rPr>
        <w:t xml:space="preserve">6、报告期末按公允价值占基金资产净值比例大小排序的前十名资产支持证券投资明细 </w:t>
      </w:r>
      <w:bookmarkEnd w:id="66"/>
    </w:p>
    <w:p w:rsidR="004A0B3A" w:rsidRDefault="004A0B3A">
      <w:pPr>
        <w:widowControl w:val="0"/>
        <w:spacing w:line="360" w:lineRule="auto"/>
        <w:jc w:val="both"/>
        <w:rPr>
          <w:rFonts w:eastAsia="Times New Roman"/>
          <w:sz w:val="21"/>
          <w:szCs w:val="21"/>
          <w:lang w:val="en-US" w:eastAsia="zh-CN" w:bidi="ar-SA"/>
        </w:rPr>
      </w:pPr>
      <w:r>
        <w:rPr>
          <w:rFonts w:ascii="宋体" w:hAnsi="宋体" w:cs="宋体"/>
          <w:sz w:val="21"/>
          <w:szCs w:val="21"/>
          <w:lang w:val="en-US" w:eastAsia="zh-CN" w:bidi="ar-SA"/>
        </w:rPr>
        <w:t>注:无。</w:t>
      </w:r>
      <w:r>
        <w:rPr>
          <w:rFonts w:ascii="宋体" w:hAnsi="宋体" w:cs="宋体"/>
          <w:color w:val="0000FF"/>
          <w:sz w:val="18"/>
          <w:szCs w:val="18"/>
          <w:lang w:val="en-US" w:eastAsia="zh-CN" w:bidi="ar-SA"/>
        </w:rPr>
        <w:t xml:space="preserve"> </w:t>
      </w:r>
    </w:p>
    <w:p w:rsidR="004A0B3A" w:rsidRDefault="004A0B3A">
      <w:pPr>
        <w:widowControl w:val="0"/>
        <w:spacing w:line="360" w:lineRule="auto"/>
        <w:rPr>
          <w:rFonts w:eastAsia="Times New Roman"/>
          <w:sz w:val="21"/>
          <w:szCs w:val="21"/>
          <w:lang w:val="en-US" w:eastAsia="zh-CN" w:bidi="ar-SA"/>
        </w:rPr>
      </w:pPr>
      <w:bookmarkStart w:id="67" w:name="_Toc513379178"/>
      <w:bookmarkStart w:id="68" w:name="_Toc481075073"/>
      <w:bookmarkStart w:id="69" w:name="_Toc438646474"/>
      <w:bookmarkStart w:id="70" w:name="_Toc490050026"/>
      <w:bookmarkStart w:id="71" w:name="_Toc512519505"/>
      <w:bookmarkStart w:id="72" w:name="m508"/>
      <w:bookmarkEnd w:id="67"/>
      <w:bookmarkEnd w:id="68"/>
      <w:bookmarkEnd w:id="69"/>
      <w:bookmarkEnd w:id="70"/>
      <w:bookmarkEnd w:id="71"/>
      <w:r>
        <w:rPr>
          <w:rFonts w:ascii="宋体" w:hAnsi="宋体" w:cs="宋体"/>
          <w:b/>
          <w:bCs/>
          <w:sz w:val="21"/>
          <w:szCs w:val="21"/>
          <w:lang w:val="en-US" w:eastAsia="zh-CN" w:bidi="ar-SA"/>
        </w:rPr>
        <w:t xml:space="preserve">7、报告期末按公允价值占基金资产净值比例大小排序的前五名贵金属投资明细 </w:t>
      </w:r>
      <w:bookmarkEnd w:id="72"/>
    </w:p>
    <w:p w:rsidR="004A0B3A" w:rsidRDefault="004A0B3A">
      <w:pPr>
        <w:widowControl w:val="0"/>
        <w:spacing w:line="360" w:lineRule="auto"/>
        <w:jc w:val="both"/>
        <w:rPr>
          <w:rFonts w:eastAsia="Times New Roman"/>
          <w:sz w:val="21"/>
          <w:szCs w:val="21"/>
          <w:lang w:val="en-US" w:eastAsia="zh-CN" w:bidi="ar-SA"/>
        </w:rPr>
      </w:pPr>
      <w:r>
        <w:rPr>
          <w:rFonts w:ascii="宋体" w:hAnsi="宋体" w:cs="宋体"/>
          <w:sz w:val="21"/>
          <w:szCs w:val="21"/>
          <w:lang w:val="en-US" w:eastAsia="zh-CN" w:bidi="ar-SA"/>
        </w:rPr>
        <w:t>注:无。</w:t>
      </w:r>
    </w:p>
    <w:p w:rsidR="004A0B3A" w:rsidRDefault="004A0B3A">
      <w:pPr>
        <w:widowControl w:val="0"/>
        <w:spacing w:line="360" w:lineRule="auto"/>
        <w:rPr>
          <w:rFonts w:eastAsia="Times New Roman"/>
          <w:sz w:val="21"/>
          <w:szCs w:val="21"/>
          <w:lang w:val="en-US" w:eastAsia="zh-CN" w:bidi="ar-SA"/>
        </w:rPr>
      </w:pPr>
      <w:bookmarkStart w:id="73" w:name="_Toc513379179"/>
      <w:bookmarkStart w:id="74" w:name="_Toc481075074"/>
      <w:bookmarkStart w:id="75" w:name="_Toc438646475"/>
      <w:bookmarkStart w:id="76" w:name="_Toc490050027"/>
      <w:bookmarkStart w:id="77" w:name="_Toc512519506"/>
      <w:bookmarkStart w:id="78" w:name="m509"/>
      <w:bookmarkEnd w:id="73"/>
      <w:bookmarkEnd w:id="74"/>
      <w:bookmarkEnd w:id="75"/>
      <w:bookmarkEnd w:id="76"/>
      <w:bookmarkEnd w:id="77"/>
      <w:r>
        <w:rPr>
          <w:rFonts w:ascii="宋体" w:hAnsi="宋体" w:cs="宋体"/>
          <w:b/>
          <w:bCs/>
          <w:sz w:val="21"/>
          <w:szCs w:val="21"/>
          <w:lang w:val="en-US" w:eastAsia="zh-CN" w:bidi="ar-SA"/>
        </w:rPr>
        <w:t xml:space="preserve">8、报告期末按公允价值占基金资产净值比例大小排序的前五名权证投资明细 </w:t>
      </w:r>
      <w:bookmarkEnd w:id="78"/>
    </w:p>
    <w:p w:rsidR="004A0B3A" w:rsidRDefault="004A0B3A">
      <w:pPr>
        <w:widowControl w:val="0"/>
        <w:spacing w:line="360" w:lineRule="auto"/>
        <w:jc w:val="both"/>
        <w:rPr>
          <w:rFonts w:eastAsia="Times New Roman"/>
          <w:sz w:val="21"/>
          <w:szCs w:val="21"/>
          <w:lang w:val="en-US" w:eastAsia="zh-CN" w:bidi="ar-SA"/>
        </w:rPr>
      </w:pPr>
      <w:r>
        <w:rPr>
          <w:rFonts w:ascii="宋体" w:hAnsi="宋体" w:cs="宋体"/>
          <w:sz w:val="21"/>
          <w:szCs w:val="21"/>
          <w:lang w:val="en-US" w:eastAsia="zh-CN" w:bidi="ar-SA"/>
        </w:rPr>
        <w:t>注:无。</w:t>
      </w:r>
    </w:p>
    <w:p w:rsidR="004A0B3A" w:rsidRDefault="004A0B3A">
      <w:pPr>
        <w:widowControl w:val="0"/>
        <w:spacing w:line="360" w:lineRule="auto"/>
        <w:rPr>
          <w:rFonts w:eastAsia="Times New Roman"/>
          <w:sz w:val="21"/>
          <w:szCs w:val="21"/>
          <w:lang w:val="en-US" w:eastAsia="zh-CN" w:bidi="ar-SA"/>
        </w:rPr>
      </w:pPr>
      <w:bookmarkStart w:id="79" w:name="_Toc513379180"/>
      <w:bookmarkStart w:id="80" w:name="_Toc512519507"/>
      <w:bookmarkStart w:id="81" w:name="_Toc481075075"/>
      <w:bookmarkStart w:id="82" w:name="_Toc490050028"/>
      <w:bookmarkEnd w:id="79"/>
      <w:bookmarkEnd w:id="80"/>
      <w:bookmarkEnd w:id="81"/>
      <w:r>
        <w:rPr>
          <w:rFonts w:ascii="宋体" w:hAnsi="宋体" w:cs="宋体"/>
          <w:b/>
          <w:bCs/>
          <w:sz w:val="21"/>
          <w:szCs w:val="21"/>
          <w:lang w:val="en-US" w:eastAsia="zh-CN" w:bidi="ar-SA"/>
        </w:rPr>
        <w:t>9、报告期末本基金投资的股指期货交易情况说明</w:t>
      </w:r>
      <w:bookmarkEnd w:id="82"/>
      <w:r>
        <w:rPr>
          <w:rFonts w:ascii="宋体" w:hAnsi="宋体" w:cs="宋体"/>
          <w:b/>
          <w:bCs/>
          <w:sz w:val="21"/>
          <w:szCs w:val="21"/>
          <w:lang w:val="en-US" w:eastAsia="zh-CN" w:bidi="ar-SA"/>
        </w:rPr>
        <w:t xml:space="preserve"> </w:t>
      </w:r>
    </w:p>
    <w:p w:rsidR="004A0B3A" w:rsidRDefault="004A0B3A">
      <w:pPr>
        <w:widowControl w:val="0"/>
        <w:spacing w:line="360" w:lineRule="auto"/>
        <w:rPr>
          <w:rFonts w:eastAsia="Times New Roman"/>
          <w:sz w:val="21"/>
          <w:szCs w:val="21"/>
          <w:lang w:val="en-US" w:eastAsia="zh-CN" w:bidi="ar-SA"/>
        </w:rPr>
      </w:pPr>
      <w:bookmarkStart w:id="83" w:name="_Toc513379181"/>
      <w:bookmarkStart w:id="84" w:name="_Toc481075076"/>
      <w:bookmarkStart w:id="85" w:name="_Toc490050029"/>
      <w:bookmarkStart w:id="86" w:name="_Toc512519508"/>
      <w:bookmarkEnd w:id="83"/>
      <w:bookmarkEnd w:id="84"/>
      <w:bookmarkEnd w:id="85"/>
      <w:r>
        <w:rPr>
          <w:rFonts w:ascii="宋体" w:hAnsi="宋体" w:cs="宋体"/>
          <w:b/>
          <w:bCs/>
          <w:sz w:val="21"/>
          <w:szCs w:val="21"/>
          <w:lang w:val="en-US" w:eastAsia="zh-CN" w:bidi="ar-SA"/>
        </w:rPr>
        <w:t>（1）报告期末本基金投资的股指期货持仓和损益明细</w:t>
      </w:r>
      <w:bookmarkEnd w:id="86"/>
    </w:p>
    <w:p w:rsidR="004A0B3A" w:rsidRDefault="004A0B3A">
      <w:pPr>
        <w:widowControl w:val="0"/>
        <w:spacing w:line="360" w:lineRule="auto"/>
        <w:jc w:val="both"/>
        <w:rPr>
          <w:rFonts w:eastAsia="Times New Roman"/>
          <w:sz w:val="21"/>
          <w:szCs w:val="21"/>
          <w:lang w:val="en-US" w:eastAsia="zh-CN" w:bidi="ar-SA"/>
        </w:rPr>
      </w:pPr>
      <w:r>
        <w:rPr>
          <w:rFonts w:ascii="宋体" w:hAnsi="宋体" w:cs="宋体"/>
          <w:sz w:val="21"/>
          <w:szCs w:val="21"/>
          <w:lang w:val="en-US" w:eastAsia="zh-CN" w:bidi="ar-SA"/>
        </w:rPr>
        <w:t>注:无。</w:t>
      </w:r>
    </w:p>
    <w:p w:rsidR="004A0B3A" w:rsidRDefault="004A0B3A">
      <w:pPr>
        <w:widowControl w:val="0"/>
        <w:spacing w:line="360" w:lineRule="auto"/>
        <w:rPr>
          <w:rFonts w:eastAsia="Times New Roman"/>
          <w:sz w:val="21"/>
          <w:szCs w:val="21"/>
          <w:lang w:val="en-US" w:eastAsia="zh-CN" w:bidi="ar-SA"/>
        </w:rPr>
      </w:pPr>
      <w:bookmarkStart w:id="87" w:name="_Toc513379182"/>
      <w:bookmarkStart w:id="88" w:name="_Toc512519509"/>
      <w:bookmarkStart w:id="89" w:name="_Toc481075077"/>
      <w:bookmarkStart w:id="90" w:name="_Toc490050030"/>
      <w:bookmarkStart w:id="91" w:name="_Toc438646476"/>
      <w:bookmarkEnd w:id="87"/>
      <w:bookmarkEnd w:id="88"/>
      <w:bookmarkEnd w:id="89"/>
      <w:bookmarkEnd w:id="90"/>
      <w:r>
        <w:rPr>
          <w:rFonts w:ascii="宋体" w:hAnsi="宋体" w:cs="宋体"/>
          <w:b/>
          <w:bCs/>
          <w:sz w:val="21"/>
          <w:szCs w:val="21"/>
          <w:lang w:val="en-US" w:eastAsia="zh-CN" w:bidi="ar-SA"/>
        </w:rPr>
        <w:t>（2）本基金投资股指期货的投资政策</w:t>
      </w:r>
      <w:bookmarkEnd w:id="91"/>
    </w:p>
    <w:p w:rsidR="004A0B3A" w:rsidRDefault="004A0B3A">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投资股指期货将根据风险管理的原则，以套期保值为目的，主要选择流动性好、交易活跃的股指期货合约。本基金力争利用股指期货的杠杆作用，降低申购赎回时现金资产对投资组合的影响及投资组合仓位调整的交易成本，达到稳定投资组合资产净值的目的。</w:t>
      </w:r>
    </w:p>
    <w:p w:rsidR="004A0B3A" w:rsidRDefault="004A0B3A">
      <w:pPr>
        <w:widowControl w:val="0"/>
        <w:spacing w:line="360" w:lineRule="auto"/>
        <w:rPr>
          <w:rFonts w:eastAsia="Times New Roman"/>
          <w:sz w:val="21"/>
          <w:szCs w:val="21"/>
          <w:lang w:val="en-US" w:eastAsia="zh-CN" w:bidi="ar-SA"/>
        </w:rPr>
      </w:pPr>
      <w:bookmarkStart w:id="92" w:name="_Toc513379183"/>
      <w:bookmarkStart w:id="93" w:name="_Toc512519510"/>
      <w:bookmarkStart w:id="94" w:name="_Toc481075078"/>
      <w:bookmarkStart w:id="95" w:name="_Toc490050031"/>
      <w:bookmarkEnd w:id="92"/>
      <w:bookmarkEnd w:id="93"/>
      <w:bookmarkEnd w:id="94"/>
      <w:r>
        <w:rPr>
          <w:rFonts w:ascii="宋体" w:hAnsi="宋体" w:cs="宋体"/>
          <w:b/>
          <w:bCs/>
          <w:sz w:val="21"/>
          <w:szCs w:val="21"/>
          <w:lang w:val="en-US" w:eastAsia="zh-CN" w:bidi="ar-SA"/>
        </w:rPr>
        <w:t>10、报告期末本基金投资的国债期货交易情况说明</w:t>
      </w:r>
      <w:bookmarkEnd w:id="95"/>
      <w:r>
        <w:rPr>
          <w:rFonts w:ascii="宋体" w:hAnsi="宋体" w:cs="宋体"/>
          <w:b/>
          <w:bCs/>
          <w:sz w:val="21"/>
          <w:szCs w:val="21"/>
          <w:lang w:val="en-US" w:eastAsia="zh-CN" w:bidi="ar-SA"/>
        </w:rPr>
        <w:t xml:space="preserve"> </w:t>
      </w:r>
    </w:p>
    <w:p w:rsidR="004A0B3A" w:rsidRDefault="004A0B3A">
      <w:pPr>
        <w:widowControl w:val="0"/>
        <w:spacing w:line="360" w:lineRule="auto"/>
        <w:rPr>
          <w:rFonts w:eastAsia="Times New Roman"/>
          <w:sz w:val="21"/>
          <w:szCs w:val="21"/>
          <w:lang w:val="en-US" w:eastAsia="zh-CN" w:bidi="ar-SA"/>
        </w:rPr>
      </w:pPr>
      <w:bookmarkStart w:id="96" w:name="_Toc513379184"/>
      <w:bookmarkStart w:id="97" w:name="_Toc490050032"/>
      <w:bookmarkStart w:id="98" w:name="_Toc481075079"/>
      <w:bookmarkStart w:id="99" w:name="_Toc512519511"/>
      <w:bookmarkStart w:id="100" w:name="m510_01_1597"/>
      <w:bookmarkEnd w:id="96"/>
      <w:bookmarkEnd w:id="97"/>
      <w:bookmarkEnd w:id="98"/>
      <w:bookmarkEnd w:id="99"/>
      <w:r>
        <w:rPr>
          <w:rFonts w:ascii="宋体" w:hAnsi="宋体" w:cs="宋体"/>
          <w:b/>
          <w:bCs/>
          <w:sz w:val="21"/>
          <w:szCs w:val="21"/>
          <w:lang w:val="en-US" w:eastAsia="zh-CN" w:bidi="ar-SA"/>
        </w:rPr>
        <w:t xml:space="preserve">（1）本期国债期货投资政策 </w:t>
      </w:r>
      <w:bookmarkEnd w:id="100"/>
    </w:p>
    <w:p w:rsidR="004A0B3A" w:rsidRDefault="004A0B3A">
      <w:pPr>
        <w:widowControl w:val="0"/>
        <w:spacing w:line="360" w:lineRule="auto"/>
        <w:jc w:val="both"/>
        <w:rPr>
          <w:rFonts w:eastAsia="Times New Roman"/>
          <w:sz w:val="21"/>
          <w:szCs w:val="21"/>
          <w:lang w:val="en-US" w:eastAsia="zh-CN" w:bidi="ar-SA"/>
        </w:rPr>
      </w:pPr>
      <w:r>
        <w:rPr>
          <w:rFonts w:ascii="宋体" w:hAnsi="宋体" w:cs="宋体"/>
          <w:sz w:val="21"/>
          <w:szCs w:val="21"/>
          <w:lang w:val="en-US" w:eastAsia="zh-CN" w:bidi="ar-SA"/>
        </w:rPr>
        <w:t xml:space="preserve">注:本基金基金合同的投资范围尚未包含国债期货投资。 </w:t>
      </w:r>
    </w:p>
    <w:p w:rsidR="004A0B3A" w:rsidRDefault="004A0B3A">
      <w:pPr>
        <w:widowControl w:val="0"/>
        <w:spacing w:line="360" w:lineRule="auto"/>
        <w:rPr>
          <w:rFonts w:eastAsia="Times New Roman"/>
          <w:sz w:val="21"/>
          <w:szCs w:val="21"/>
          <w:lang w:val="en-US" w:eastAsia="zh-CN" w:bidi="ar-SA"/>
        </w:rPr>
      </w:pPr>
      <w:bookmarkStart w:id="101" w:name="_Toc513379185"/>
      <w:bookmarkStart w:id="102" w:name="_Toc481075080"/>
      <w:bookmarkStart w:id="103" w:name="_Toc490050033"/>
      <w:bookmarkStart w:id="104" w:name="_Toc512519512"/>
      <w:bookmarkStart w:id="105" w:name="m510_01_1598"/>
      <w:bookmarkEnd w:id="101"/>
      <w:bookmarkEnd w:id="102"/>
      <w:bookmarkEnd w:id="103"/>
      <w:bookmarkEnd w:id="104"/>
      <w:r>
        <w:rPr>
          <w:rFonts w:ascii="宋体" w:hAnsi="宋体" w:cs="宋体"/>
          <w:b/>
          <w:bCs/>
          <w:sz w:val="21"/>
          <w:szCs w:val="21"/>
          <w:lang w:val="en-US" w:eastAsia="zh-CN" w:bidi="ar-SA"/>
        </w:rPr>
        <w:t xml:space="preserve">（2）报告期末本基金投资的国债期货持仓和损益明细 </w:t>
      </w:r>
      <w:bookmarkEnd w:id="105"/>
    </w:p>
    <w:p w:rsidR="004A0B3A" w:rsidRDefault="004A0B3A">
      <w:pPr>
        <w:widowControl w:val="0"/>
        <w:spacing w:line="360" w:lineRule="auto"/>
        <w:jc w:val="both"/>
        <w:rPr>
          <w:rFonts w:eastAsia="Times New Roman"/>
          <w:sz w:val="21"/>
          <w:szCs w:val="21"/>
          <w:lang w:val="en-US" w:eastAsia="zh-CN" w:bidi="ar-SA"/>
        </w:rPr>
      </w:pPr>
      <w:r>
        <w:rPr>
          <w:rFonts w:ascii="宋体" w:hAnsi="宋体" w:cs="宋体"/>
          <w:sz w:val="21"/>
          <w:szCs w:val="21"/>
          <w:lang w:val="en-US" w:eastAsia="zh-CN" w:bidi="ar-SA"/>
        </w:rPr>
        <w:t>注:本基金基金合同的投资范围尚未包含国债期货投资。</w:t>
      </w:r>
    </w:p>
    <w:p w:rsidR="004A0B3A" w:rsidRDefault="004A0B3A">
      <w:pPr>
        <w:widowControl w:val="0"/>
        <w:spacing w:line="360" w:lineRule="auto"/>
        <w:rPr>
          <w:rFonts w:eastAsia="Times New Roman"/>
          <w:sz w:val="21"/>
          <w:szCs w:val="21"/>
          <w:lang w:val="en-US" w:eastAsia="zh-CN" w:bidi="ar-SA"/>
        </w:rPr>
      </w:pPr>
      <w:bookmarkStart w:id="106" w:name="_Toc513379186"/>
      <w:bookmarkStart w:id="107" w:name="_Toc512519513"/>
      <w:bookmarkStart w:id="108" w:name="_Toc481075081"/>
      <w:bookmarkStart w:id="109" w:name="_Toc490050034"/>
      <w:bookmarkEnd w:id="106"/>
      <w:bookmarkEnd w:id="107"/>
      <w:bookmarkEnd w:id="108"/>
      <w:r>
        <w:rPr>
          <w:rFonts w:ascii="宋体" w:hAnsi="宋体" w:cs="宋体"/>
          <w:b/>
          <w:bCs/>
          <w:sz w:val="21"/>
          <w:szCs w:val="21"/>
          <w:lang w:val="en-US" w:eastAsia="zh-CN" w:bidi="ar-SA"/>
        </w:rPr>
        <w:t>（3）本期国债期货投资评价</w:t>
      </w:r>
      <w:bookmarkEnd w:id="109"/>
    </w:p>
    <w:p w:rsidR="004A0B3A" w:rsidRDefault="004A0B3A">
      <w:pPr>
        <w:widowControl w:val="0"/>
        <w:spacing w:line="360" w:lineRule="auto"/>
        <w:jc w:val="both"/>
        <w:rPr>
          <w:rFonts w:eastAsia="Times New Roman"/>
          <w:sz w:val="21"/>
          <w:szCs w:val="21"/>
          <w:lang w:val="en-US" w:eastAsia="zh-CN" w:bidi="ar-SA"/>
        </w:rPr>
      </w:pPr>
      <w:r>
        <w:rPr>
          <w:rFonts w:ascii="宋体" w:hAnsi="宋体" w:cs="宋体"/>
          <w:sz w:val="21"/>
          <w:szCs w:val="21"/>
          <w:lang w:val="en-US" w:eastAsia="zh-CN" w:bidi="ar-SA"/>
        </w:rPr>
        <w:t>注:本基金基金合同的投资范围尚未包含国债期货投资。</w:t>
      </w:r>
    </w:p>
    <w:p w:rsidR="004A0B3A" w:rsidRDefault="004A0B3A">
      <w:pPr>
        <w:widowControl w:val="0"/>
        <w:spacing w:line="360" w:lineRule="auto"/>
        <w:rPr>
          <w:rFonts w:eastAsia="Times New Roman"/>
          <w:sz w:val="21"/>
          <w:szCs w:val="21"/>
          <w:lang w:val="en-US" w:eastAsia="zh-CN" w:bidi="ar-SA"/>
        </w:rPr>
      </w:pPr>
      <w:bookmarkStart w:id="110" w:name="_Toc513379187"/>
      <w:bookmarkStart w:id="111" w:name="_Toc512519514"/>
      <w:bookmarkStart w:id="112" w:name="_Toc481075082"/>
      <w:bookmarkStart w:id="113" w:name="_Toc490050035"/>
      <w:bookmarkEnd w:id="110"/>
      <w:bookmarkEnd w:id="111"/>
      <w:bookmarkEnd w:id="112"/>
      <w:r>
        <w:rPr>
          <w:rFonts w:ascii="宋体" w:hAnsi="宋体" w:cs="宋体"/>
          <w:b/>
          <w:bCs/>
          <w:sz w:val="21"/>
          <w:szCs w:val="21"/>
          <w:lang w:val="en-US" w:eastAsia="zh-CN" w:bidi="ar-SA"/>
        </w:rPr>
        <w:t>11、投资组合报告附注</w:t>
      </w:r>
      <w:bookmarkEnd w:id="113"/>
      <w:r>
        <w:rPr>
          <w:rFonts w:ascii="宋体" w:hAnsi="宋体" w:cs="宋体"/>
          <w:b/>
          <w:bCs/>
          <w:sz w:val="21"/>
          <w:szCs w:val="21"/>
          <w:lang w:val="en-US" w:eastAsia="zh-CN" w:bidi="ar-SA"/>
        </w:rPr>
        <w:t xml:space="preserve"> </w:t>
      </w:r>
    </w:p>
    <w:p w:rsidR="004A0B3A" w:rsidRDefault="004A0B3A">
      <w:pPr>
        <w:widowControl w:val="0"/>
        <w:spacing w:line="360" w:lineRule="auto"/>
        <w:rPr>
          <w:rFonts w:eastAsia="Times New Roman"/>
          <w:sz w:val="21"/>
          <w:szCs w:val="21"/>
          <w:lang w:val="en-US" w:eastAsia="zh-CN" w:bidi="ar-SA"/>
        </w:rPr>
      </w:pPr>
      <w:bookmarkStart w:id="114" w:name="_Toc512519515"/>
      <w:bookmarkStart w:id="115" w:name="_Toc481075083"/>
      <w:bookmarkStart w:id="116" w:name="_Toc490050036"/>
      <w:bookmarkStart w:id="117" w:name="_Toc513295927"/>
      <w:bookmarkEnd w:id="114"/>
      <w:bookmarkEnd w:id="115"/>
      <w:bookmarkEnd w:id="116"/>
      <w:r>
        <w:rPr>
          <w:rFonts w:ascii="宋体" w:hAnsi="宋体" w:cs="宋体"/>
          <w:b/>
          <w:bCs/>
          <w:sz w:val="21"/>
          <w:szCs w:val="21"/>
          <w:lang w:val="en-US" w:eastAsia="zh-CN" w:bidi="ar-SA"/>
        </w:rPr>
        <w:t>  （1）本基金投资的前十名证券的发行主体本期是否出现被监管部门立案调查，或在报告编制日前一年内受到公开谴责、处罚的情形。</w:t>
      </w:r>
      <w:bookmarkStart w:id="118" w:name="_Toc514507543"/>
      <w:bookmarkEnd w:id="117"/>
      <w:bookmarkEnd w:id="118"/>
    </w:p>
    <w:p w:rsidR="004A0B3A" w:rsidRDefault="004A0B3A">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本基金投资的前十名证券中本期没有发行主体被监管部门立案调查的、或在报告编制日前一年内受到公开谴责、处罚的证券。</w:t>
      </w:r>
    </w:p>
    <w:p w:rsidR="004A0B3A" w:rsidRDefault="004A0B3A">
      <w:pPr>
        <w:widowControl w:val="0"/>
        <w:spacing w:line="360" w:lineRule="auto"/>
        <w:rPr>
          <w:rFonts w:eastAsia="Times New Roman"/>
          <w:sz w:val="21"/>
          <w:szCs w:val="21"/>
          <w:lang w:val="en-US" w:eastAsia="zh-CN" w:bidi="ar-SA"/>
        </w:rPr>
      </w:pPr>
      <w:bookmarkStart w:id="119" w:name="_Toc512519516"/>
      <w:bookmarkStart w:id="120" w:name="_Toc481075084"/>
      <w:bookmarkStart w:id="121" w:name="_Toc490050037"/>
      <w:bookmarkStart w:id="122" w:name="_Toc513295928"/>
      <w:bookmarkEnd w:id="119"/>
      <w:bookmarkEnd w:id="120"/>
      <w:bookmarkEnd w:id="121"/>
      <w:r>
        <w:rPr>
          <w:rFonts w:ascii="宋体" w:hAnsi="宋体" w:cs="宋体"/>
          <w:b/>
          <w:bCs/>
          <w:sz w:val="21"/>
          <w:szCs w:val="21"/>
          <w:lang w:val="en-US" w:eastAsia="zh-CN" w:bidi="ar-SA"/>
        </w:rPr>
        <w:t>  （2）基金投资的前十名股票是否超出基金合同规定的备选股票库</w:t>
      </w:r>
      <w:bookmarkStart w:id="123" w:name="_Toc514507544"/>
      <w:bookmarkEnd w:id="122"/>
      <w:bookmarkEnd w:id="123"/>
    </w:p>
    <w:p w:rsidR="004A0B3A" w:rsidRDefault="004A0B3A">
      <w:pPr>
        <w:widowControl w:val="0"/>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本基金投资的前十名证券没有超出基金合同规定的证券备选库。</w:t>
      </w:r>
    </w:p>
    <w:p w:rsidR="004A0B3A" w:rsidRDefault="004A0B3A">
      <w:pPr>
        <w:widowControl w:val="0"/>
        <w:spacing w:line="360" w:lineRule="auto"/>
        <w:rPr>
          <w:rFonts w:eastAsia="Times New Roman"/>
          <w:sz w:val="21"/>
          <w:szCs w:val="21"/>
          <w:lang w:val="en-US" w:eastAsia="zh-CN" w:bidi="ar-SA"/>
        </w:rPr>
      </w:pPr>
      <w:bookmarkStart w:id="124" w:name="_Toc513379190"/>
      <w:bookmarkStart w:id="125" w:name="_Toc481075085"/>
      <w:bookmarkStart w:id="126" w:name="_Toc490050038"/>
      <w:bookmarkStart w:id="127" w:name="_Toc512519517"/>
      <w:bookmarkStart w:id="128" w:name="m510_02"/>
      <w:bookmarkEnd w:id="124"/>
      <w:bookmarkEnd w:id="125"/>
      <w:bookmarkEnd w:id="126"/>
      <w:bookmarkEnd w:id="127"/>
      <w:r>
        <w:rPr>
          <w:rFonts w:ascii="宋体" w:hAnsi="宋体" w:cs="宋体"/>
          <w:b/>
          <w:bCs/>
          <w:sz w:val="21"/>
          <w:szCs w:val="21"/>
          <w:lang w:val="en-US" w:eastAsia="zh-CN" w:bidi="ar-SA"/>
        </w:rPr>
        <w:t>（3）其他资产构成</w:t>
      </w:r>
      <w:bookmarkEnd w:id="128"/>
    </w:p>
    <w:tbl>
      <w:tblPr>
        <w:tblW w:w="5000" w:type="pct"/>
        <w:tblInd w:w="24"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900"/>
        <w:gridCol w:w="2213"/>
        <w:gridCol w:w="5559"/>
      </w:tblGrid>
      <w:tr w:rsidR="004A0B3A" w:rsidRPr="004A0B3A">
        <w:trPr>
          <w:trHeight w:val="315"/>
        </w:trPr>
        <w:tc>
          <w:tcPr>
            <w:tcW w:w="519" w:type="pct"/>
            <w:tcBorders>
              <w:bottom w:val="single" w:sz="6" w:space="0" w:color="auto"/>
              <w:right w:val="single" w:sz="6" w:space="0" w:color="auto"/>
            </w:tcBorders>
            <w:shd w:val="clear" w:color="auto" w:fill="D9D9D9"/>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序号 </w:t>
            </w:r>
          </w:p>
        </w:tc>
        <w:tc>
          <w:tcPr>
            <w:tcW w:w="1276" w:type="pct"/>
            <w:tcBorders>
              <w:left w:val="single" w:sz="6" w:space="0" w:color="auto"/>
              <w:bottom w:val="single" w:sz="6" w:space="0" w:color="auto"/>
              <w:right w:val="single" w:sz="6" w:space="0" w:color="auto"/>
            </w:tcBorders>
            <w:shd w:val="clear" w:color="auto" w:fill="D9D9D9"/>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名称 </w:t>
            </w:r>
          </w:p>
        </w:tc>
        <w:tc>
          <w:tcPr>
            <w:tcW w:w="3205" w:type="pct"/>
            <w:tcBorders>
              <w:left w:val="single" w:sz="6" w:space="0" w:color="auto"/>
              <w:bottom w:val="single" w:sz="6" w:space="0" w:color="auto"/>
            </w:tcBorders>
            <w:shd w:val="clear" w:color="auto" w:fill="D9D9D9"/>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金额（元） </w:t>
            </w:r>
          </w:p>
        </w:tc>
      </w:tr>
      <w:tr w:rsidR="004A0B3A" w:rsidRPr="004A0B3A">
        <w:trPr>
          <w:trHeight w:val="285"/>
        </w:trPr>
        <w:tc>
          <w:tcPr>
            <w:tcW w:w="51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1 </w:t>
            </w:r>
          </w:p>
        </w:tc>
        <w:tc>
          <w:tcPr>
            <w:tcW w:w="127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存出保证金 </w:t>
            </w:r>
          </w:p>
        </w:tc>
        <w:tc>
          <w:tcPr>
            <w:tcW w:w="3205"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1,461.56</w:t>
            </w:r>
          </w:p>
        </w:tc>
      </w:tr>
      <w:tr w:rsidR="004A0B3A" w:rsidRPr="004A0B3A">
        <w:trPr>
          <w:trHeight w:val="285"/>
        </w:trPr>
        <w:tc>
          <w:tcPr>
            <w:tcW w:w="51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2 </w:t>
            </w:r>
          </w:p>
        </w:tc>
        <w:tc>
          <w:tcPr>
            <w:tcW w:w="127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应收证券清算款 </w:t>
            </w:r>
          </w:p>
        </w:tc>
        <w:tc>
          <w:tcPr>
            <w:tcW w:w="3205"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rPr>
          <w:trHeight w:val="285"/>
        </w:trPr>
        <w:tc>
          <w:tcPr>
            <w:tcW w:w="51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3 </w:t>
            </w:r>
          </w:p>
        </w:tc>
        <w:tc>
          <w:tcPr>
            <w:tcW w:w="127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应收股利 </w:t>
            </w:r>
          </w:p>
        </w:tc>
        <w:tc>
          <w:tcPr>
            <w:tcW w:w="3205"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rPr>
          <w:trHeight w:val="285"/>
        </w:trPr>
        <w:tc>
          <w:tcPr>
            <w:tcW w:w="51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4 </w:t>
            </w:r>
          </w:p>
        </w:tc>
        <w:tc>
          <w:tcPr>
            <w:tcW w:w="127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应收利息 </w:t>
            </w:r>
          </w:p>
        </w:tc>
        <w:tc>
          <w:tcPr>
            <w:tcW w:w="3205"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440.60</w:t>
            </w:r>
          </w:p>
        </w:tc>
      </w:tr>
      <w:tr w:rsidR="004A0B3A" w:rsidRPr="004A0B3A">
        <w:trPr>
          <w:trHeight w:val="285"/>
        </w:trPr>
        <w:tc>
          <w:tcPr>
            <w:tcW w:w="51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5 </w:t>
            </w:r>
          </w:p>
        </w:tc>
        <w:tc>
          <w:tcPr>
            <w:tcW w:w="127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应收申购款 </w:t>
            </w:r>
          </w:p>
        </w:tc>
        <w:tc>
          <w:tcPr>
            <w:tcW w:w="3205"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216,714.52</w:t>
            </w:r>
          </w:p>
        </w:tc>
      </w:tr>
      <w:tr w:rsidR="004A0B3A" w:rsidRPr="004A0B3A">
        <w:trPr>
          <w:trHeight w:val="285"/>
        </w:trPr>
        <w:tc>
          <w:tcPr>
            <w:tcW w:w="51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6 </w:t>
            </w:r>
          </w:p>
        </w:tc>
        <w:tc>
          <w:tcPr>
            <w:tcW w:w="127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其他应收款 </w:t>
            </w:r>
          </w:p>
        </w:tc>
        <w:tc>
          <w:tcPr>
            <w:tcW w:w="3205"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rPr>
          <w:trHeight w:val="285"/>
        </w:trPr>
        <w:tc>
          <w:tcPr>
            <w:tcW w:w="51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7 </w:t>
            </w:r>
          </w:p>
        </w:tc>
        <w:tc>
          <w:tcPr>
            <w:tcW w:w="127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待摊费用 </w:t>
            </w:r>
          </w:p>
        </w:tc>
        <w:tc>
          <w:tcPr>
            <w:tcW w:w="3205"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rPr>
          <w:trHeight w:val="285"/>
        </w:trPr>
        <w:tc>
          <w:tcPr>
            <w:tcW w:w="519" w:type="pct"/>
            <w:tcBorders>
              <w:top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8</w:t>
            </w:r>
          </w:p>
        </w:tc>
        <w:tc>
          <w:tcPr>
            <w:tcW w:w="1276" w:type="pct"/>
            <w:tcBorders>
              <w:top w:val="single" w:sz="6" w:space="0" w:color="auto"/>
              <w:left w:val="single" w:sz="6" w:space="0" w:color="auto"/>
              <w:bottom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rPr>
                <w:rFonts w:eastAsia="Times New Roman"/>
                <w:sz w:val="21"/>
                <w:szCs w:val="21"/>
                <w:lang w:val="en-US" w:eastAsia="zh-CN" w:bidi="ar-SA"/>
              </w:rPr>
            </w:pPr>
            <w:r>
              <w:rPr>
                <w:rFonts w:ascii="宋体" w:hAnsi="宋体" w:cs="宋体"/>
                <w:sz w:val="21"/>
                <w:szCs w:val="21"/>
                <w:lang w:val="en-US" w:eastAsia="zh-CN" w:bidi="ar-SA"/>
              </w:rPr>
              <w:t xml:space="preserve">其他 </w:t>
            </w:r>
          </w:p>
        </w:tc>
        <w:tc>
          <w:tcPr>
            <w:tcW w:w="3205" w:type="pct"/>
            <w:tcBorders>
              <w:top w:val="single" w:sz="6" w:space="0" w:color="auto"/>
              <w:left w:val="single" w:sz="6" w:space="0" w:color="auto"/>
              <w:bottom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w:t>
            </w:r>
          </w:p>
        </w:tc>
      </w:tr>
      <w:tr w:rsidR="004A0B3A" w:rsidRPr="004A0B3A">
        <w:trPr>
          <w:trHeight w:val="285"/>
        </w:trPr>
        <w:tc>
          <w:tcPr>
            <w:tcW w:w="519" w:type="pct"/>
            <w:tcBorders>
              <w:top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9</w:t>
            </w:r>
          </w:p>
        </w:tc>
        <w:tc>
          <w:tcPr>
            <w:tcW w:w="1276" w:type="pct"/>
            <w:tcBorders>
              <w:top w:val="single" w:sz="6" w:space="0" w:color="auto"/>
              <w:left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both"/>
              <w:rPr>
                <w:rFonts w:eastAsia="Times New Roman"/>
                <w:sz w:val="21"/>
                <w:szCs w:val="21"/>
                <w:lang w:val="en-US" w:eastAsia="zh-CN" w:bidi="ar-SA"/>
              </w:rPr>
            </w:pPr>
            <w:r>
              <w:rPr>
                <w:rFonts w:ascii="宋体" w:hAnsi="宋体" w:cs="宋体"/>
                <w:sz w:val="21"/>
                <w:szCs w:val="21"/>
                <w:lang w:val="en-US" w:eastAsia="zh-CN" w:bidi="ar-SA"/>
              </w:rPr>
              <w:t xml:space="preserve">合计 </w:t>
            </w:r>
          </w:p>
        </w:tc>
        <w:tc>
          <w:tcPr>
            <w:tcW w:w="3205" w:type="pct"/>
            <w:tcBorders>
              <w:top w:val="single" w:sz="6" w:space="0" w:color="auto"/>
              <w:left w:val="single" w:sz="6" w:space="0" w:color="auto"/>
            </w:tcBorders>
            <w:tcMar>
              <w:top w:w="16" w:type="dxa"/>
              <w:left w:w="16"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218,616.68</w:t>
            </w:r>
          </w:p>
        </w:tc>
      </w:tr>
    </w:tbl>
    <w:p w:rsidR="004A0B3A" w:rsidRDefault="004A0B3A">
      <w:pPr>
        <w:widowControl w:val="0"/>
        <w:spacing w:line="360" w:lineRule="auto"/>
        <w:rPr>
          <w:rFonts w:eastAsia="Times New Roman"/>
          <w:sz w:val="21"/>
          <w:szCs w:val="21"/>
          <w:lang w:val="en-US" w:eastAsia="zh-CN" w:bidi="ar-SA"/>
        </w:rPr>
      </w:pPr>
      <w:bookmarkStart w:id="129" w:name="_Toc513379191"/>
      <w:bookmarkStart w:id="130" w:name="_Toc481075086"/>
      <w:bookmarkStart w:id="131" w:name="_Toc490050039"/>
      <w:bookmarkStart w:id="132" w:name="_Toc512519518"/>
      <w:bookmarkStart w:id="133" w:name="m510_03"/>
      <w:bookmarkEnd w:id="129"/>
      <w:bookmarkEnd w:id="130"/>
      <w:bookmarkEnd w:id="131"/>
      <w:bookmarkEnd w:id="132"/>
      <w:r>
        <w:rPr>
          <w:rFonts w:ascii="宋体" w:hAnsi="宋体" w:cs="宋体"/>
          <w:b/>
          <w:bCs/>
          <w:sz w:val="21"/>
          <w:szCs w:val="21"/>
          <w:lang w:val="en-US" w:eastAsia="zh-CN" w:bidi="ar-SA"/>
        </w:rPr>
        <w:t>（4）报告期末持有的处于转股期的可转换债券明细</w:t>
      </w:r>
      <w:bookmarkEnd w:id="133"/>
    </w:p>
    <w:p w:rsidR="004A0B3A" w:rsidRDefault="004A0B3A">
      <w:pPr>
        <w:widowControl w:val="0"/>
        <w:spacing w:line="360" w:lineRule="auto"/>
        <w:rPr>
          <w:rFonts w:eastAsia="Times New Roman"/>
          <w:sz w:val="21"/>
          <w:szCs w:val="21"/>
          <w:lang w:val="en-US" w:eastAsia="zh-CN" w:bidi="ar-SA"/>
        </w:rPr>
      </w:pPr>
      <w:r>
        <w:rPr>
          <w:rFonts w:ascii="宋体" w:hAnsi="宋体" w:cs="宋体"/>
          <w:sz w:val="21"/>
          <w:szCs w:val="21"/>
          <w:lang w:val="en-US" w:eastAsia="zh-CN" w:bidi="ar-SA"/>
        </w:rPr>
        <w:t>注:无。</w:t>
      </w:r>
    </w:p>
    <w:p w:rsidR="004A0B3A" w:rsidRDefault="004A0B3A">
      <w:pPr>
        <w:widowControl w:val="0"/>
        <w:spacing w:line="360" w:lineRule="auto"/>
        <w:rPr>
          <w:rFonts w:eastAsia="Times New Roman"/>
          <w:sz w:val="21"/>
          <w:szCs w:val="21"/>
          <w:lang w:val="en-US" w:eastAsia="zh-CN" w:bidi="ar-SA"/>
        </w:rPr>
      </w:pPr>
      <w:bookmarkStart w:id="134" w:name="_Toc513379192"/>
      <w:bookmarkStart w:id="135" w:name="_Toc481075087"/>
      <w:bookmarkStart w:id="136" w:name="_Toc490050040"/>
      <w:bookmarkStart w:id="137" w:name="_Toc512519519"/>
      <w:bookmarkStart w:id="138" w:name="m510_04"/>
      <w:bookmarkEnd w:id="134"/>
      <w:bookmarkEnd w:id="135"/>
      <w:bookmarkEnd w:id="136"/>
      <w:bookmarkEnd w:id="137"/>
      <w:r>
        <w:rPr>
          <w:rFonts w:ascii="宋体" w:hAnsi="宋体" w:cs="宋体"/>
          <w:b/>
          <w:bCs/>
          <w:sz w:val="21"/>
          <w:szCs w:val="21"/>
          <w:lang w:val="en-US" w:eastAsia="zh-CN" w:bidi="ar-SA"/>
        </w:rPr>
        <w:t>（5）报告期末前十名股票中存在流通受限情况的说明</w:t>
      </w:r>
      <w:bookmarkEnd w:id="138"/>
    </w:p>
    <w:p w:rsidR="004A0B3A" w:rsidRDefault="004A0B3A">
      <w:pPr>
        <w:widowControl w:val="0"/>
        <w:spacing w:line="360" w:lineRule="auto"/>
        <w:rPr>
          <w:rFonts w:eastAsia="Times New Roman"/>
          <w:sz w:val="21"/>
          <w:szCs w:val="21"/>
          <w:lang w:val="en-US" w:eastAsia="zh-CN" w:bidi="ar-SA"/>
        </w:rPr>
      </w:pPr>
      <w:bookmarkStart w:id="139" w:name="_Toc513379193"/>
      <w:r>
        <w:rPr>
          <w:rFonts w:ascii="宋体" w:hAnsi="宋体" w:cs="宋体"/>
          <w:b/>
          <w:bCs/>
          <w:sz w:val="21"/>
          <w:szCs w:val="21"/>
          <w:lang w:val="en-US" w:eastAsia="zh-CN" w:bidi="ar-SA"/>
        </w:rPr>
        <w:t>1）报告期末指数投资前十名股票中存在流通受限情况的说明</w:t>
      </w:r>
      <w:bookmarkEnd w:id="139"/>
      <w:r>
        <w:rPr>
          <w:rFonts w:ascii="宋体" w:hAnsi="宋体" w:cs="宋体"/>
          <w:b/>
          <w:bCs/>
          <w:sz w:val="21"/>
          <w:szCs w:val="21"/>
          <w:lang w:val="en-US" w:eastAsia="zh-CN" w:bidi="ar-SA"/>
        </w:rPr>
        <w:t xml:space="preserve"> </w:t>
      </w:r>
    </w:p>
    <w:tbl>
      <w:tblPr>
        <w:tblW w:w="5000" w:type="pct"/>
        <w:tblInd w:w="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841"/>
        <w:gridCol w:w="1009"/>
        <w:gridCol w:w="2296"/>
        <w:gridCol w:w="1652"/>
        <w:gridCol w:w="1288"/>
        <w:gridCol w:w="1570"/>
      </w:tblGrid>
      <w:tr w:rsidR="004A0B3A" w:rsidRPr="004A0B3A">
        <w:trPr>
          <w:trHeight w:val="940"/>
        </w:trPr>
        <w:tc>
          <w:tcPr>
            <w:tcW w:w="486" w:type="pct"/>
            <w:tcBorders>
              <w:bottom w:val="single" w:sz="6" w:space="0" w:color="auto"/>
              <w:right w:val="single" w:sz="6" w:space="0" w:color="auto"/>
            </w:tcBorders>
            <w:shd w:val="clear" w:color="auto" w:fill="D9D9D9"/>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序号 </w:t>
            </w:r>
          </w:p>
        </w:tc>
        <w:tc>
          <w:tcPr>
            <w:tcW w:w="583" w:type="pct"/>
            <w:tcBorders>
              <w:bottom w:val="single" w:sz="6" w:space="0" w:color="auto"/>
              <w:right w:val="single" w:sz="6" w:space="0" w:color="auto"/>
            </w:tcBorders>
            <w:shd w:val="clear" w:color="auto" w:fill="D9D9D9"/>
            <w:tcMar>
              <w:top w:w="8" w:type="dxa"/>
              <w:left w:w="5"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股票代码 </w:t>
            </w:r>
          </w:p>
        </w:tc>
        <w:tc>
          <w:tcPr>
            <w:tcW w:w="1326" w:type="pct"/>
            <w:tcBorders>
              <w:bottom w:val="single" w:sz="6" w:space="0" w:color="auto"/>
              <w:right w:val="single" w:sz="6" w:space="0" w:color="auto"/>
            </w:tcBorders>
            <w:shd w:val="clear" w:color="auto" w:fill="D9D9D9"/>
            <w:tcMar>
              <w:top w:w="8" w:type="dxa"/>
              <w:left w:w="5"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股票名称 </w:t>
            </w:r>
          </w:p>
        </w:tc>
        <w:tc>
          <w:tcPr>
            <w:tcW w:w="954" w:type="pct"/>
            <w:tcBorders>
              <w:bottom w:val="single" w:sz="6" w:space="0" w:color="auto"/>
              <w:right w:val="single" w:sz="6" w:space="0" w:color="auto"/>
            </w:tcBorders>
            <w:shd w:val="clear" w:color="auto" w:fill="D9D9D9"/>
            <w:tcMar>
              <w:top w:w="8" w:type="dxa"/>
              <w:left w:w="5"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流通受限部分的公允价值（元） </w:t>
            </w:r>
          </w:p>
        </w:tc>
        <w:tc>
          <w:tcPr>
            <w:tcW w:w="744" w:type="pct"/>
            <w:tcBorders>
              <w:bottom w:val="single" w:sz="6" w:space="0" w:color="auto"/>
              <w:right w:val="single" w:sz="6" w:space="0" w:color="auto"/>
            </w:tcBorders>
            <w:shd w:val="clear" w:color="auto" w:fill="D9D9D9"/>
            <w:tcMar>
              <w:top w:w="8" w:type="dxa"/>
              <w:left w:w="5"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占基金资产净值比例（%） </w:t>
            </w:r>
          </w:p>
        </w:tc>
        <w:tc>
          <w:tcPr>
            <w:tcW w:w="922" w:type="pct"/>
            <w:tcBorders>
              <w:bottom w:val="single" w:sz="6" w:space="0" w:color="auto"/>
            </w:tcBorders>
            <w:shd w:val="clear" w:color="auto" w:fill="D9D9D9"/>
            <w:tcMar>
              <w:top w:w="8" w:type="dxa"/>
              <w:left w:w="5"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 xml:space="preserve">流通受限情况说明 </w:t>
            </w:r>
          </w:p>
        </w:tc>
      </w:tr>
      <w:tr w:rsidR="004A0B3A" w:rsidRPr="004A0B3A">
        <w:tc>
          <w:tcPr>
            <w:tcW w:w="486" w:type="pct"/>
            <w:tcBorders>
              <w:top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1</w:t>
            </w:r>
          </w:p>
        </w:tc>
        <w:tc>
          <w:tcPr>
            <w:tcW w:w="583" w:type="pct"/>
            <w:tcBorders>
              <w:top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002466</w:t>
            </w:r>
          </w:p>
        </w:tc>
        <w:tc>
          <w:tcPr>
            <w:tcW w:w="1326" w:type="pct"/>
            <w:tcBorders>
              <w:top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天齐锂业</w:t>
            </w:r>
          </w:p>
        </w:tc>
        <w:tc>
          <w:tcPr>
            <w:tcW w:w="954" w:type="pct"/>
            <w:tcBorders>
              <w:top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183,252.96</w:t>
            </w:r>
          </w:p>
        </w:tc>
        <w:tc>
          <w:tcPr>
            <w:tcW w:w="744" w:type="pct"/>
            <w:tcBorders>
              <w:top w:val="single" w:sz="6" w:space="0" w:color="auto"/>
              <w:right w:val="single" w:sz="6" w:space="0" w:color="auto"/>
            </w:tcBorders>
            <w:tcMar>
              <w:top w:w="8" w:type="dxa"/>
              <w:left w:w="5" w:type="dxa"/>
              <w:bottom w:w="8" w:type="dxa"/>
              <w:right w:w="8"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0.57</w:t>
            </w:r>
            <w:r w:rsidRPr="004A0B3A">
              <w:rPr>
                <w:sz w:val="21"/>
                <w:szCs w:val="21"/>
                <w:lang w:val="en-US" w:eastAsia="zh-CN" w:bidi="ar-SA"/>
              </w:rPr>
              <w:t xml:space="preserve"> </w:t>
            </w:r>
          </w:p>
        </w:tc>
        <w:tc>
          <w:tcPr>
            <w:tcW w:w="922" w:type="pct"/>
            <w:tcBorders>
              <w:top w:val="single" w:sz="6" w:space="0" w:color="auto"/>
            </w:tcBorders>
            <w:tcMar>
              <w:top w:w="8" w:type="dxa"/>
              <w:left w:w="5"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配股未上市</w:t>
            </w:r>
          </w:p>
        </w:tc>
      </w:tr>
    </w:tbl>
    <w:p w:rsidR="004A0B3A" w:rsidRDefault="004A0B3A">
      <w:pPr>
        <w:widowControl w:val="0"/>
        <w:spacing w:line="360" w:lineRule="auto"/>
        <w:rPr>
          <w:rFonts w:eastAsia="Times New Roman"/>
          <w:sz w:val="21"/>
          <w:szCs w:val="21"/>
          <w:lang w:val="en-US" w:eastAsia="zh-CN" w:bidi="ar-SA"/>
        </w:rPr>
      </w:pPr>
      <w:bookmarkStart w:id="140" w:name="_Toc513379194"/>
      <w:r>
        <w:rPr>
          <w:rFonts w:ascii="宋体" w:hAnsi="宋体" w:cs="宋体"/>
          <w:b/>
          <w:bCs/>
          <w:sz w:val="21"/>
          <w:szCs w:val="21"/>
          <w:lang w:val="en-US" w:eastAsia="zh-CN" w:bidi="ar-SA"/>
        </w:rPr>
        <w:t>2）报告期末积极投资前五名股票中存在流通受限情况的说明</w:t>
      </w:r>
      <w:bookmarkEnd w:id="140"/>
      <w:r>
        <w:rPr>
          <w:rFonts w:ascii="宋体" w:hAnsi="宋体" w:cs="宋体"/>
          <w:b/>
          <w:bCs/>
          <w:sz w:val="21"/>
          <w:szCs w:val="21"/>
          <w:lang w:val="en-US" w:eastAsia="zh-CN" w:bidi="ar-SA"/>
        </w:rPr>
        <w:t xml:space="preserve"> </w:t>
      </w:r>
    </w:p>
    <w:tbl>
      <w:tblPr>
        <w:tblW w:w="5000" w:type="pct"/>
        <w:tblInd w:w="16" w:type="dxa"/>
        <w:tblBorders>
          <w:top w:val="single" w:sz="6" w:space="0" w:color="000000"/>
          <w:left w:val="single" w:sz="6" w:space="0" w:color="000000"/>
          <w:bottom w:val="single" w:sz="6" w:space="0" w:color="000000"/>
          <w:right w:val="single" w:sz="6" w:space="0" w:color="000000"/>
          <w:insideH w:val="nil"/>
          <w:insideV w:val="nil"/>
        </w:tblBorders>
        <w:tblCellMar>
          <w:left w:w="0" w:type="dxa"/>
          <w:right w:w="0" w:type="dxa"/>
        </w:tblCellMar>
        <w:tblLook w:val="04A0"/>
      </w:tblPr>
      <w:tblGrid>
        <w:gridCol w:w="917"/>
        <w:gridCol w:w="1131"/>
        <w:gridCol w:w="1487"/>
        <w:gridCol w:w="1875"/>
        <w:gridCol w:w="1454"/>
        <w:gridCol w:w="1792"/>
      </w:tblGrid>
      <w:tr w:rsidR="004A0B3A" w:rsidRPr="004A0B3A">
        <w:trPr>
          <w:trHeight w:val="315"/>
        </w:trPr>
        <w:tc>
          <w:tcPr>
            <w:tcW w:w="529" w:type="pct"/>
            <w:tcBorders>
              <w:bottom w:val="single" w:sz="6" w:space="0" w:color="auto"/>
              <w:right w:val="single" w:sz="6" w:space="0" w:color="auto"/>
            </w:tcBorders>
            <w:shd w:val="clear" w:color="auto" w:fill="D7D7D7"/>
            <w:tcMar>
              <w:top w:w="8" w:type="dxa"/>
              <w:left w:w="8" w:type="dxa"/>
              <w:bottom w:w="8" w:type="dxa"/>
              <w:right w:w="8" w:type="dxa"/>
            </w:tcMar>
            <w:vAlign w:val="center"/>
            <w:hideMark/>
          </w:tcPr>
          <w:p w:rsidR="004A0B3A" w:rsidRDefault="004A0B3A">
            <w:pPr>
              <w:widowControl w:val="0"/>
              <w:spacing w:line="400" w:lineRule="atLeast"/>
              <w:jc w:val="center"/>
              <w:rPr>
                <w:rFonts w:eastAsia="Times New Roman"/>
                <w:lang w:val="en-US" w:eastAsia="zh-CN" w:bidi="ar-SA"/>
              </w:rPr>
            </w:pPr>
            <w:r>
              <w:rPr>
                <w:rFonts w:ascii="宋体" w:hAnsi="宋体" w:cs="宋体"/>
                <w:sz w:val="21"/>
                <w:szCs w:val="21"/>
                <w:lang w:val="en-US" w:eastAsia="zh-CN" w:bidi="ar-SA"/>
              </w:rPr>
              <w:t>序号</w:t>
            </w:r>
            <w:r>
              <w:rPr>
                <w:rFonts w:ascii="宋体" w:hAnsi="宋体" w:cs="宋体"/>
                <w:lang w:val="en-US" w:eastAsia="zh-CN" w:bidi="ar-SA"/>
              </w:rPr>
              <w:t xml:space="preserve"> </w:t>
            </w:r>
          </w:p>
        </w:tc>
        <w:tc>
          <w:tcPr>
            <w:tcW w:w="653" w:type="pct"/>
            <w:tcBorders>
              <w:left w:val="single" w:sz="6" w:space="0" w:color="auto"/>
              <w:bottom w:val="single" w:sz="6" w:space="0" w:color="auto"/>
              <w:right w:val="single" w:sz="6" w:space="0" w:color="auto"/>
            </w:tcBorders>
            <w:shd w:val="clear" w:color="auto" w:fill="D7D7D7"/>
            <w:tcMar>
              <w:top w:w="16" w:type="dxa"/>
              <w:left w:w="16" w:type="dxa"/>
              <w:bottom w:w="8" w:type="dxa"/>
              <w:right w:w="16" w:type="dxa"/>
            </w:tcMar>
            <w:vAlign w:val="center"/>
            <w:hideMark/>
          </w:tcPr>
          <w:p w:rsidR="004A0B3A" w:rsidRDefault="004A0B3A">
            <w:pPr>
              <w:widowControl w:val="0"/>
              <w:spacing w:line="400" w:lineRule="atLeast"/>
              <w:jc w:val="center"/>
              <w:rPr>
                <w:rFonts w:eastAsia="Times New Roman"/>
                <w:lang w:val="en-US" w:eastAsia="zh-CN" w:bidi="ar-SA"/>
              </w:rPr>
            </w:pPr>
            <w:r>
              <w:rPr>
                <w:rFonts w:ascii="宋体" w:hAnsi="宋体" w:cs="宋体"/>
                <w:sz w:val="21"/>
                <w:szCs w:val="21"/>
                <w:lang w:val="en-US" w:eastAsia="zh-CN" w:bidi="ar-SA"/>
              </w:rPr>
              <w:t>股票代码</w:t>
            </w:r>
            <w:r>
              <w:rPr>
                <w:rFonts w:ascii="宋体" w:hAnsi="宋体" w:cs="宋体"/>
                <w:lang w:val="en-US" w:eastAsia="zh-CN" w:bidi="ar-SA"/>
              </w:rPr>
              <w:t xml:space="preserve"> </w:t>
            </w:r>
          </w:p>
        </w:tc>
        <w:tc>
          <w:tcPr>
            <w:tcW w:w="859" w:type="pct"/>
            <w:tcBorders>
              <w:bottom w:val="single" w:sz="6" w:space="0" w:color="auto"/>
              <w:right w:val="single" w:sz="6" w:space="0" w:color="auto"/>
            </w:tcBorders>
            <w:shd w:val="clear" w:color="auto" w:fill="D7D7D7"/>
            <w:tcMar>
              <w:top w:w="16" w:type="dxa"/>
              <w:left w:w="20" w:type="dxa"/>
              <w:bottom w:w="8" w:type="dxa"/>
              <w:right w:w="16" w:type="dxa"/>
            </w:tcMar>
            <w:vAlign w:val="center"/>
            <w:hideMark/>
          </w:tcPr>
          <w:p w:rsidR="004A0B3A" w:rsidRDefault="004A0B3A">
            <w:pPr>
              <w:widowControl w:val="0"/>
              <w:spacing w:line="400" w:lineRule="atLeast"/>
              <w:jc w:val="center"/>
              <w:rPr>
                <w:rFonts w:eastAsia="Times New Roman"/>
                <w:lang w:val="en-US" w:eastAsia="zh-CN" w:bidi="ar-SA"/>
              </w:rPr>
            </w:pPr>
            <w:r>
              <w:rPr>
                <w:rFonts w:ascii="宋体" w:hAnsi="宋体" w:cs="宋体"/>
                <w:sz w:val="21"/>
                <w:szCs w:val="21"/>
                <w:lang w:val="en-US" w:eastAsia="zh-CN" w:bidi="ar-SA"/>
              </w:rPr>
              <w:t>股票名称</w:t>
            </w:r>
            <w:r>
              <w:rPr>
                <w:rFonts w:ascii="宋体" w:hAnsi="宋体" w:cs="宋体"/>
                <w:lang w:val="en-US" w:eastAsia="zh-CN" w:bidi="ar-SA"/>
              </w:rPr>
              <w:t xml:space="preserve"> </w:t>
            </w:r>
          </w:p>
        </w:tc>
        <w:tc>
          <w:tcPr>
            <w:tcW w:w="1083" w:type="pct"/>
            <w:tcBorders>
              <w:bottom w:val="single" w:sz="6" w:space="0" w:color="auto"/>
              <w:right w:val="single" w:sz="6" w:space="0" w:color="auto"/>
            </w:tcBorders>
            <w:shd w:val="clear" w:color="auto" w:fill="D7D7D7"/>
            <w:tcMar>
              <w:top w:w="16" w:type="dxa"/>
              <w:left w:w="20" w:type="dxa"/>
              <w:bottom w:w="8" w:type="dxa"/>
              <w:right w:w="16" w:type="dxa"/>
            </w:tcMar>
            <w:vAlign w:val="center"/>
            <w:hideMark/>
          </w:tcPr>
          <w:p w:rsidR="004A0B3A" w:rsidRDefault="004A0B3A">
            <w:pPr>
              <w:spacing w:line="400" w:lineRule="atLeast"/>
              <w:jc w:val="center"/>
              <w:rPr>
                <w:rFonts w:eastAsia="Times New Roman"/>
                <w:lang w:val="en-US" w:eastAsia="zh-CN" w:bidi="ar-SA"/>
              </w:rPr>
            </w:pPr>
            <w:r>
              <w:rPr>
                <w:rFonts w:ascii="宋体" w:hAnsi="宋体" w:cs="宋体"/>
                <w:sz w:val="21"/>
                <w:szCs w:val="21"/>
                <w:lang w:val="en-US" w:eastAsia="zh-CN" w:bidi="ar-SA"/>
              </w:rPr>
              <w:t>流通受限部分的公允价值（元）</w:t>
            </w:r>
            <w:r>
              <w:rPr>
                <w:rFonts w:ascii="宋体" w:hAnsi="宋体" w:cs="宋体"/>
                <w:lang w:val="en-US" w:eastAsia="zh-CN" w:bidi="ar-SA"/>
              </w:rPr>
              <w:t xml:space="preserve"> </w:t>
            </w:r>
          </w:p>
        </w:tc>
        <w:tc>
          <w:tcPr>
            <w:tcW w:w="840" w:type="pct"/>
            <w:tcBorders>
              <w:bottom w:val="single" w:sz="6" w:space="0" w:color="auto"/>
              <w:right w:val="single" w:sz="6" w:space="0" w:color="auto"/>
            </w:tcBorders>
            <w:shd w:val="clear" w:color="auto" w:fill="D7D7D7"/>
            <w:tcMar>
              <w:top w:w="16" w:type="dxa"/>
              <w:left w:w="20" w:type="dxa"/>
              <w:bottom w:w="8" w:type="dxa"/>
              <w:right w:w="16" w:type="dxa"/>
            </w:tcMar>
            <w:vAlign w:val="center"/>
            <w:hideMark/>
          </w:tcPr>
          <w:p w:rsidR="004A0B3A" w:rsidRDefault="004A0B3A">
            <w:pPr>
              <w:spacing w:line="400" w:lineRule="atLeast"/>
              <w:jc w:val="center"/>
              <w:rPr>
                <w:rFonts w:eastAsia="Times New Roman"/>
                <w:lang w:val="en-US" w:eastAsia="zh-CN" w:bidi="ar-SA"/>
              </w:rPr>
            </w:pPr>
            <w:r>
              <w:rPr>
                <w:rFonts w:ascii="宋体" w:hAnsi="宋体" w:cs="宋体"/>
                <w:sz w:val="21"/>
                <w:szCs w:val="21"/>
                <w:lang w:val="en-US" w:eastAsia="zh-CN" w:bidi="ar-SA"/>
              </w:rPr>
              <w:t>占基金资产净值比例（</w:t>
            </w:r>
            <w:r>
              <w:rPr>
                <w:rFonts w:ascii="宋体" w:hAnsi="宋体" w:cs="宋体"/>
                <w:lang w:val="en-US" w:eastAsia="zh-CN" w:bidi="ar-SA"/>
              </w:rPr>
              <w:t xml:space="preserve">%） </w:t>
            </w:r>
          </w:p>
        </w:tc>
        <w:tc>
          <w:tcPr>
            <w:tcW w:w="1035" w:type="pct"/>
            <w:tcBorders>
              <w:bottom w:val="single" w:sz="6" w:space="0" w:color="auto"/>
            </w:tcBorders>
            <w:shd w:val="clear" w:color="auto" w:fill="D7D7D7"/>
            <w:tcMar>
              <w:top w:w="8" w:type="dxa"/>
              <w:left w:w="5" w:type="dxa"/>
              <w:bottom w:w="8" w:type="dxa"/>
              <w:right w:w="8" w:type="dxa"/>
            </w:tcMar>
            <w:vAlign w:val="center"/>
            <w:hideMark/>
          </w:tcPr>
          <w:p w:rsidR="004A0B3A" w:rsidRDefault="004A0B3A">
            <w:pPr>
              <w:spacing w:line="400" w:lineRule="atLeast"/>
              <w:jc w:val="center"/>
              <w:rPr>
                <w:rFonts w:eastAsia="Times New Roman"/>
                <w:lang w:val="en-US" w:eastAsia="zh-CN" w:bidi="ar-SA"/>
              </w:rPr>
            </w:pPr>
            <w:r>
              <w:rPr>
                <w:rFonts w:ascii="宋体" w:hAnsi="宋体" w:cs="宋体"/>
                <w:sz w:val="21"/>
                <w:szCs w:val="21"/>
                <w:lang w:val="en-US" w:eastAsia="zh-CN" w:bidi="ar-SA"/>
              </w:rPr>
              <w:t>流通受限情况</w:t>
            </w:r>
            <w:r>
              <w:rPr>
                <w:rFonts w:ascii="宋体" w:hAnsi="宋体" w:cs="宋体"/>
                <w:lang w:val="en-US" w:eastAsia="zh-CN" w:bidi="ar-SA"/>
              </w:rPr>
              <w:t xml:space="preserve"> </w:t>
            </w:r>
          </w:p>
          <w:p w:rsidR="004A0B3A" w:rsidRDefault="004A0B3A">
            <w:pPr>
              <w:spacing w:line="400" w:lineRule="atLeast"/>
              <w:jc w:val="center"/>
              <w:rPr>
                <w:rFonts w:eastAsia="Times New Roman"/>
                <w:lang w:val="en-US" w:eastAsia="zh-CN" w:bidi="ar-SA"/>
              </w:rPr>
            </w:pPr>
            <w:r>
              <w:rPr>
                <w:rFonts w:ascii="宋体" w:hAnsi="宋体" w:cs="宋体"/>
                <w:sz w:val="21"/>
                <w:szCs w:val="21"/>
                <w:lang w:val="en-US" w:eastAsia="zh-CN" w:bidi="ar-SA"/>
              </w:rPr>
              <w:t>说明</w:t>
            </w:r>
            <w:r>
              <w:rPr>
                <w:rFonts w:ascii="宋体" w:hAnsi="宋体" w:cs="宋体"/>
                <w:lang w:val="en-US" w:eastAsia="zh-CN" w:bidi="ar-SA"/>
              </w:rPr>
              <w:t xml:space="preserve"> </w:t>
            </w:r>
          </w:p>
        </w:tc>
      </w:tr>
      <w:tr w:rsidR="004A0B3A" w:rsidRPr="004A0B3A">
        <w:trPr>
          <w:trHeight w:val="315"/>
        </w:trPr>
        <w:tc>
          <w:tcPr>
            <w:tcW w:w="529" w:type="pct"/>
            <w:tcBorders>
              <w:top w:val="single" w:sz="6" w:space="0" w:color="auto"/>
              <w:right w:val="single" w:sz="6" w:space="0" w:color="auto"/>
            </w:tcBorders>
            <w:tcMar>
              <w:top w:w="8" w:type="dxa"/>
              <w:left w:w="8"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1</w:t>
            </w:r>
          </w:p>
        </w:tc>
        <w:tc>
          <w:tcPr>
            <w:tcW w:w="653" w:type="pct"/>
            <w:tcBorders>
              <w:top w:val="single" w:sz="6" w:space="0" w:color="auto"/>
              <w:left w:val="single" w:sz="6" w:space="0" w:color="auto"/>
              <w:right w:val="single" w:sz="6" w:space="0" w:color="auto"/>
            </w:tcBorders>
            <w:tcMar>
              <w:top w:w="16" w:type="dxa"/>
              <w:left w:w="16"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002973</w:t>
            </w:r>
          </w:p>
        </w:tc>
        <w:tc>
          <w:tcPr>
            <w:tcW w:w="859" w:type="pct"/>
            <w:tcBorders>
              <w:top w:val="single" w:sz="6" w:space="0" w:color="auto"/>
              <w:right w:val="single" w:sz="6" w:space="0" w:color="auto"/>
            </w:tcBorders>
            <w:tcMar>
              <w:top w:w="16" w:type="dxa"/>
              <w:left w:w="20" w:type="dxa"/>
              <w:bottom w:w="8" w:type="dxa"/>
              <w:right w:w="16"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侨银环保</w:t>
            </w:r>
          </w:p>
        </w:tc>
        <w:tc>
          <w:tcPr>
            <w:tcW w:w="1083" w:type="pct"/>
            <w:tcBorders>
              <w:top w:val="single" w:sz="6" w:space="0" w:color="auto"/>
              <w:right w:val="single" w:sz="6" w:space="0" w:color="auto"/>
            </w:tcBorders>
            <w:tcMar>
              <w:top w:w="16" w:type="dxa"/>
              <w:left w:w="20"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5,263.58</w:t>
            </w:r>
          </w:p>
        </w:tc>
        <w:tc>
          <w:tcPr>
            <w:tcW w:w="840" w:type="pct"/>
            <w:tcBorders>
              <w:top w:val="single" w:sz="6" w:space="0" w:color="auto"/>
              <w:right w:val="single" w:sz="6" w:space="0" w:color="auto"/>
            </w:tcBorders>
            <w:tcMar>
              <w:top w:w="16" w:type="dxa"/>
              <w:left w:w="20" w:type="dxa"/>
              <w:bottom w:w="8" w:type="dxa"/>
              <w:right w:w="16" w:type="dxa"/>
            </w:tcMar>
            <w:vAlign w:val="center"/>
            <w:hideMark/>
          </w:tcPr>
          <w:p w:rsidR="004A0B3A" w:rsidRDefault="004A0B3A">
            <w:pPr>
              <w:widowControl w:val="0"/>
              <w:jc w:val="right"/>
              <w:rPr>
                <w:rFonts w:eastAsia="Times New Roman"/>
                <w:sz w:val="21"/>
                <w:szCs w:val="21"/>
                <w:lang w:val="en-US" w:eastAsia="zh-CN" w:bidi="ar-SA"/>
              </w:rPr>
            </w:pPr>
            <w:r>
              <w:rPr>
                <w:rFonts w:ascii="宋体" w:hAnsi="宋体" w:cs="宋体"/>
                <w:sz w:val="21"/>
                <w:szCs w:val="21"/>
                <w:lang w:val="en-US" w:eastAsia="zh-CN" w:bidi="ar-SA"/>
              </w:rPr>
              <w:t>0.02</w:t>
            </w:r>
          </w:p>
        </w:tc>
        <w:tc>
          <w:tcPr>
            <w:tcW w:w="1035" w:type="pct"/>
            <w:tcBorders>
              <w:top w:val="single" w:sz="6" w:space="0" w:color="auto"/>
            </w:tcBorders>
            <w:tcMar>
              <w:top w:w="8" w:type="dxa"/>
              <w:left w:w="5" w:type="dxa"/>
              <w:bottom w:w="8" w:type="dxa"/>
              <w:right w:w="8" w:type="dxa"/>
            </w:tcMar>
            <w:vAlign w:val="center"/>
            <w:hideMark/>
          </w:tcPr>
          <w:p w:rsidR="004A0B3A" w:rsidRDefault="004A0B3A">
            <w:pPr>
              <w:widowControl w:val="0"/>
              <w:jc w:val="center"/>
              <w:rPr>
                <w:rFonts w:eastAsia="Times New Roman"/>
                <w:sz w:val="21"/>
                <w:szCs w:val="21"/>
                <w:lang w:val="en-US" w:eastAsia="zh-CN" w:bidi="ar-SA"/>
              </w:rPr>
            </w:pPr>
            <w:r>
              <w:rPr>
                <w:rFonts w:ascii="宋体" w:hAnsi="宋体" w:cs="宋体"/>
                <w:sz w:val="21"/>
                <w:szCs w:val="21"/>
                <w:lang w:val="en-US" w:eastAsia="zh-CN" w:bidi="ar-SA"/>
              </w:rPr>
              <w:t>新股未上市</w:t>
            </w:r>
          </w:p>
        </w:tc>
      </w:tr>
    </w:tbl>
    <w:p w:rsidR="004A0B3A" w:rsidRDefault="004A0B3A">
      <w:pPr>
        <w:widowControl w:val="0"/>
        <w:spacing w:line="360" w:lineRule="auto"/>
        <w:rPr>
          <w:rFonts w:eastAsia="Times New Roman"/>
          <w:sz w:val="21"/>
          <w:szCs w:val="21"/>
          <w:lang w:val="en-US" w:eastAsia="zh-CN" w:bidi="ar-SA"/>
        </w:rPr>
      </w:pPr>
      <w:bookmarkStart w:id="141" w:name="_Toc513379195"/>
      <w:bookmarkStart w:id="142" w:name="_Toc512519520"/>
      <w:bookmarkStart w:id="143" w:name="_Toc481075088"/>
      <w:bookmarkStart w:id="144" w:name="_Toc490050041"/>
      <w:bookmarkStart w:id="145" w:name="m510_05_1678"/>
      <w:bookmarkEnd w:id="141"/>
      <w:bookmarkEnd w:id="142"/>
      <w:bookmarkEnd w:id="143"/>
      <w:bookmarkEnd w:id="144"/>
      <w:r>
        <w:rPr>
          <w:rFonts w:ascii="宋体" w:hAnsi="宋体" w:cs="宋体"/>
          <w:b/>
          <w:bCs/>
          <w:sz w:val="21"/>
          <w:szCs w:val="21"/>
          <w:lang w:val="en-US" w:eastAsia="zh-CN" w:bidi="ar-SA"/>
        </w:rPr>
        <w:t xml:space="preserve">（6）投资组合报告附注的其他文字描述部分 </w:t>
      </w:r>
      <w:bookmarkEnd w:id="145"/>
    </w:p>
    <w:p w:rsidR="004A0B3A" w:rsidRDefault="004A0B3A">
      <w:pPr>
        <w:widowControl w:val="0"/>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由于四舍五入的原因，投资组合报告中数字分项之和与合计项之间可能存在尾差。</w:t>
      </w:r>
    </w:p>
    <w:p w:rsidR="004A0B3A" w:rsidRDefault="004A0B3A">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十二、基金的业绩</w:t>
      </w:r>
    </w:p>
    <w:p w:rsidR="004A0B3A" w:rsidRDefault="004A0B3A">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基金管理人承诺以诚实信用、勤勉尽责的原则管理和运用基金财产，但不保证基金一定盈利。基金的过往业绩并不代表其未来表现。投资有风险，投资人在做出投资决策前应仔细阅读本基金招募说明书。</w:t>
      </w:r>
    </w:p>
    <w:p w:rsidR="004A0B3A" w:rsidRDefault="004A0B3A">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基金合同生效以来的投资业绩及其与同期基准的比较如下表所示：</w:t>
      </w:r>
    </w:p>
    <w:tbl>
      <w:tblPr>
        <w:tblW w:w="8970" w:type="dxa"/>
        <w:tblInd w:w="16" w:type="dxa"/>
        <w:tblBorders>
          <w:top w:val="outset" w:sz="6" w:space="0" w:color="000000"/>
          <w:left w:val="outset" w:sz="6" w:space="0" w:color="000000"/>
          <w:bottom w:val="outset" w:sz="6" w:space="0" w:color="000000"/>
          <w:right w:val="outset" w:sz="6" w:space="0" w:color="000000"/>
          <w:insideH w:val="nil"/>
          <w:insideV w:val="nil"/>
        </w:tblBorders>
        <w:tblCellMar>
          <w:left w:w="0" w:type="dxa"/>
          <w:right w:w="0" w:type="dxa"/>
        </w:tblCellMar>
        <w:tblLook w:val="04A0"/>
      </w:tblPr>
      <w:tblGrid>
        <w:gridCol w:w="1282"/>
        <w:gridCol w:w="1282"/>
        <w:gridCol w:w="1282"/>
        <w:gridCol w:w="1281"/>
        <w:gridCol w:w="1281"/>
        <w:gridCol w:w="1281"/>
        <w:gridCol w:w="1281"/>
      </w:tblGrid>
      <w:tr w:rsidR="004A0B3A" w:rsidRPr="004A0B3A">
        <w:trPr>
          <w:trHeight w:val="1200"/>
        </w:trPr>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净值增长率1</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净值增长率标准差2</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业绩比较基准收益率3</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业绩比较基准收益率标准差4</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1-3</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2-4</w:t>
            </w:r>
          </w:p>
        </w:tc>
      </w:tr>
      <w:tr w:rsidR="004A0B3A" w:rsidRPr="004A0B3A">
        <w:trPr>
          <w:trHeight w:val="1200"/>
        </w:trPr>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2015年05月29日(基金合同生效日)至2015年12月31日</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-36.57%</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3.60%</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-21.78%</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3.39%</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-14.79%</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0.21%</w:t>
            </w:r>
          </w:p>
        </w:tc>
      </w:tr>
      <w:tr w:rsidR="004A0B3A" w:rsidRPr="004A0B3A">
        <w:trPr>
          <w:trHeight w:val="1200"/>
        </w:trPr>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2016年01月01日至2016年12月31日</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-16.56%</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1.99%</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-18.60%</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1.98%</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2.04%</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0.01%</w:t>
            </w:r>
          </w:p>
        </w:tc>
      </w:tr>
      <w:tr w:rsidR="004A0B3A" w:rsidRPr="004A0B3A">
        <w:trPr>
          <w:trHeight w:val="1200"/>
        </w:trPr>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2017年01月01日至2017年12月31日</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5.48%</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1.03%</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7.82%</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1.01%</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-2.34%</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0.02%</w:t>
            </w:r>
          </w:p>
        </w:tc>
      </w:tr>
      <w:tr w:rsidR="004A0B3A" w:rsidRPr="004A0B3A">
        <w:trPr>
          <w:trHeight w:val="1200"/>
        </w:trPr>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2018年01月01日至2018年12月31日</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-33.11%</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1.44%</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-32.95%</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1.46%</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-0.16%</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-0.02%</w:t>
            </w:r>
          </w:p>
        </w:tc>
      </w:tr>
      <w:tr w:rsidR="004A0B3A" w:rsidRPr="004A0B3A">
        <w:trPr>
          <w:trHeight w:val="1200"/>
        </w:trPr>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2019年01月01日至2019年12月31日</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26.29%</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1.40%</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23.15%</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1.41%</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3.14%</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-0.01%</w:t>
            </w:r>
          </w:p>
        </w:tc>
      </w:tr>
      <w:tr w:rsidR="004A0B3A" w:rsidRPr="004A0B3A">
        <w:trPr>
          <w:trHeight w:val="1200"/>
        </w:trPr>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自基金合同生效日至2019年12月31日</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-52.84%</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1.91%</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-43.32%</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1.86%</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-9.52%</w:t>
            </w:r>
          </w:p>
        </w:tc>
        <w:tc>
          <w:tcPr>
            <w:tcW w:w="1095" w:type="dxa"/>
            <w:tcBorders>
              <w:top w:val="single" w:sz="6" w:space="0" w:color="000000"/>
              <w:left w:val="single" w:sz="6" w:space="0" w:color="auto"/>
              <w:bottom w:val="single" w:sz="6" w:space="0" w:color="000000"/>
              <w:right w:val="single" w:sz="6" w:space="0" w:color="000000"/>
            </w:tcBorders>
            <w:tcMar>
              <w:top w:w="8" w:type="dxa"/>
              <w:left w:w="8" w:type="dxa"/>
              <w:bottom w:w="8" w:type="dxa"/>
              <w:right w:w="8" w:type="dxa"/>
            </w:tcMar>
            <w:vAlign w:val="center"/>
            <w:hideMark/>
          </w:tcPr>
          <w:p w:rsidR="004A0B3A" w:rsidRDefault="004A0B3A">
            <w:pPr>
              <w:rPr>
                <w:rFonts w:ascii="宋体" w:hAnsi="宋体" w:cs="宋体"/>
                <w:sz w:val="21"/>
                <w:szCs w:val="21"/>
                <w:lang w:val="en-US" w:eastAsia="zh-CN" w:bidi="ar-SA"/>
              </w:rPr>
            </w:pPr>
            <w:r>
              <w:rPr>
                <w:rFonts w:ascii="宋体" w:hAnsi="宋体" w:cs="宋体"/>
                <w:sz w:val="21"/>
                <w:szCs w:val="21"/>
                <w:lang w:val="en-US" w:eastAsia="zh-CN" w:bidi="ar-SA"/>
              </w:rPr>
              <w:t>0.05%</w:t>
            </w:r>
          </w:p>
        </w:tc>
      </w:tr>
    </w:tbl>
    <w:p w:rsidR="004A0B3A" w:rsidRDefault="004A0B3A">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十三、基金的费用与税收</w:t>
      </w:r>
    </w:p>
    <w:p w:rsidR="004A0B3A" w:rsidRDefault="004A0B3A">
      <w:pPr>
        <w:spacing w:line="360" w:lineRule="auto"/>
        <w:ind w:firstLine="422"/>
        <w:jc w:val="both"/>
        <w:rPr>
          <w:rFonts w:eastAsia="Times New Roman"/>
          <w:sz w:val="21"/>
          <w:szCs w:val="21"/>
          <w:lang w:val="en-US" w:eastAsia="zh-CN" w:bidi="ar-SA"/>
        </w:rPr>
      </w:pPr>
      <w:r>
        <w:rPr>
          <w:rFonts w:ascii="宋体" w:hAnsi="宋体" w:cs="宋体"/>
          <w:b/>
          <w:bCs/>
          <w:sz w:val="21"/>
          <w:szCs w:val="21"/>
          <w:lang w:val="en-US" w:eastAsia="zh-CN" w:bidi="ar-SA"/>
        </w:rPr>
        <w:t>（一）基金费用的种类</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1、基金管理人的管理费；</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2、基金托管人的托管费；</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3、基金合同生效后的标的指数许可使用费；</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4、基金合同生效后与基金相关的信息披露费用；</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5、基金合同生效后与基金相关的会计师费、律师费和诉讼费；</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6、基金份额持有人大会费用；</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7、基金的证券/期货交易费用；</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8、基金的银行汇划费用；</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9、账户开户费用、账户维护费用；</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10、基金的上市费和年费；</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11、按照国家有关规定和基金合同约定，可以在基金财产中列支的其他费用。</w:t>
      </w:r>
    </w:p>
    <w:p w:rsidR="004A0B3A" w:rsidRDefault="004A0B3A">
      <w:pPr>
        <w:spacing w:line="360" w:lineRule="auto"/>
        <w:ind w:firstLine="422"/>
        <w:jc w:val="both"/>
        <w:rPr>
          <w:rFonts w:eastAsia="Times New Roman"/>
          <w:sz w:val="21"/>
          <w:szCs w:val="21"/>
          <w:lang w:val="en-US" w:eastAsia="zh-CN" w:bidi="ar-SA"/>
        </w:rPr>
      </w:pPr>
      <w:r>
        <w:rPr>
          <w:rFonts w:ascii="宋体" w:hAnsi="宋体" w:cs="宋体"/>
          <w:b/>
          <w:bCs/>
          <w:sz w:val="21"/>
          <w:szCs w:val="21"/>
          <w:lang w:val="en-US" w:eastAsia="zh-CN" w:bidi="ar-SA"/>
        </w:rPr>
        <w:t>（二）基金费用计提方法、计提标准和支付方式</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 xml:space="preserve">1、基金管理人的管理费 </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本基金的管理费按前一日基金资产净值的1.00％年费率计提。管理费的计算方法如下：</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H＝E×1.00 ％÷当年天数</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H为每日应计提的基金管理费</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E为前一日的基金资产净值</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管理费每日计算，逐日累计至每月月末，按月支付，经基金管理人与基金托管人双方核对无误后，基金托管人按照与基金管理人协商一致的方式于次月前5个工作日内从基金财产中一次性支付给基金管理人。若遇法定节假日、公休假等，支付日期顺延。</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2、基金托管人的托管费</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本基金的托管费按前一日基金资产净值的0.22％的年费率计提。托管费的计算方法如下：</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H＝E×0.22％÷当年天数</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H为每日应计提的基金托管费</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E为前一日的基金资产净值</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托管费每日计算，逐日累计至每月月末，按月支付，基金管理人与基金托管人双方核对无误后，基金托管人按照与基金管理人协商一致的方式于次月前5个工作日内从基金财产中一次性支取。若遇法定节假日、公休日等，支付日期顺延。</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3、标的指数许可使用费</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本基金的标的指数许可使用费按前一日基金资产净值的0.02％的年费率计提。标的指数许可使用费的计算方法如下：</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H＝E×0.02％÷当年天数</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H为每日应计提的标的指数许可使用费</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E为前一日的基金资产净值</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标的指数许可使用费每日计算，逐日累计至每季季末，按季支付（当季不足50,000元的，按50,000元计算），计费期间不足一季度的，根据实际天数按比例计算。由基金管理人向基金托管人发送标的指数许可使用费划款指令，基金托管人复核后于次季前10 个工作日内从基金财产中一次性支付给标的指数供应商。若遇法定节假日、公休日等，支付日期顺延。</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标的指数供应商根据相应指数许可协议变更标的指数许可使用费率和计算方式时，基金管理人需依照有关规定最迟于新的费率和计费方式实施日前2日在指定媒介公告。</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4、证券账户开户费用：证券账户开户费经基金管理人与基金托管人核对无误后，自本基金成立一个月内由基金托管人从基金财产中划付，如基金财产余额不足支付该开户费用，由基金管理人于本基金成立一个月后的5个工作日内进行垫付，基金托管人不承担垫付开户费用义务。</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上述“一、基金费用的种类中第4－11项费用”，根据有关法规及相应协议规定，按费用实际支出金额列入当期费用，由基金托管人从基金财产中支付。</w:t>
      </w:r>
    </w:p>
    <w:p w:rsidR="004A0B3A" w:rsidRDefault="004A0B3A">
      <w:pPr>
        <w:spacing w:line="360" w:lineRule="auto"/>
        <w:ind w:firstLine="422"/>
        <w:jc w:val="both"/>
        <w:rPr>
          <w:rFonts w:eastAsia="Times New Roman"/>
          <w:sz w:val="21"/>
          <w:szCs w:val="21"/>
          <w:lang w:val="en-US" w:eastAsia="zh-CN" w:bidi="ar-SA"/>
        </w:rPr>
      </w:pPr>
      <w:r>
        <w:rPr>
          <w:rFonts w:ascii="宋体" w:hAnsi="宋体" w:cs="宋体"/>
          <w:b/>
          <w:bCs/>
          <w:sz w:val="21"/>
          <w:szCs w:val="21"/>
          <w:lang w:val="en-US" w:eastAsia="zh-CN" w:bidi="ar-SA"/>
        </w:rPr>
        <w:t>（三）不列入基金费用的项目</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下列费用不列入基金费用：</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1、基金管理人和基金托管人因未履行或未完全履行义务导致的费用支出或基金财产的损失；</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2、基金管理人和基金托管人处理与基金运作无关的事项发生的费用；</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3、基金合同生效前的相关费用；</w:t>
      </w:r>
    </w:p>
    <w:p w:rsidR="004A0B3A" w:rsidRDefault="004A0B3A">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4、其他根据相关法律法规及中国证监会的有关规定不得列入基金费用的项目。</w:t>
      </w:r>
    </w:p>
    <w:p w:rsidR="00E372AC" w:rsidRPr="00E372AC" w:rsidRDefault="00E372AC">
      <w:pPr>
        <w:spacing w:line="360" w:lineRule="auto"/>
        <w:ind w:firstLine="420"/>
        <w:rPr>
          <w:rFonts w:ascii="宋体" w:hAnsi="宋体" w:cs="宋体" w:hint="eastAsia"/>
          <w:b/>
          <w:sz w:val="21"/>
          <w:szCs w:val="21"/>
          <w:lang w:val="en-US" w:bidi="ar-SA"/>
        </w:rPr>
      </w:pPr>
      <w:r w:rsidRPr="00E372AC">
        <w:rPr>
          <w:rFonts w:ascii="宋体" w:hAnsi="宋体" w:cs="宋体" w:hint="eastAsia"/>
          <w:b/>
          <w:sz w:val="21"/>
          <w:szCs w:val="21"/>
          <w:lang w:val="en-US" w:bidi="ar-SA"/>
        </w:rPr>
        <w:t>(四)与</w:t>
      </w:r>
      <w:r w:rsidRPr="00E372AC">
        <w:rPr>
          <w:rFonts w:ascii="宋体" w:hAnsi="宋体" w:cs="宋体"/>
          <w:b/>
          <w:sz w:val="21"/>
          <w:szCs w:val="21"/>
          <w:lang w:val="en-US" w:bidi="ar-SA"/>
        </w:rPr>
        <w:t>基金销售有关的费用</w:t>
      </w:r>
    </w:p>
    <w:p w:rsidR="00E372AC" w:rsidRDefault="00E372AC" w:rsidP="00E372AC">
      <w:pPr>
        <w:ind w:firstLine="422"/>
        <w:jc w:val="both"/>
        <w:rPr>
          <w:rFonts w:eastAsia="Times New Roman"/>
          <w:sz w:val="21"/>
          <w:szCs w:val="21"/>
          <w:lang w:val="en-US" w:eastAsia="zh-CN" w:bidi="ar-SA"/>
        </w:rPr>
      </w:pPr>
      <w:r>
        <w:rPr>
          <w:rFonts w:ascii="宋体" w:hAnsi="宋体" w:cs="宋体" w:hint="eastAsia"/>
          <w:b/>
          <w:bCs/>
          <w:sz w:val="21"/>
          <w:szCs w:val="21"/>
          <w:lang w:val="en-US" w:bidi="ar-SA"/>
        </w:rPr>
        <w:t>1、</w:t>
      </w:r>
      <w:r>
        <w:rPr>
          <w:rFonts w:ascii="宋体" w:hAnsi="宋体" w:cs="宋体"/>
          <w:b/>
          <w:bCs/>
          <w:sz w:val="21"/>
          <w:szCs w:val="21"/>
          <w:lang w:val="en-US" w:eastAsia="zh-CN" w:bidi="ar-SA"/>
        </w:rPr>
        <w:t>基金份额的场外申购与赎回</w:t>
      </w:r>
    </w:p>
    <w:p w:rsidR="00E372AC" w:rsidRDefault="00E372AC" w:rsidP="00E372A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（1）申购费用</w:t>
      </w:r>
    </w:p>
    <w:p w:rsidR="00E372AC" w:rsidRDefault="00E372AC" w:rsidP="00E372A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本基金的场外申购费率随投资者申购金额的增加而减少。投资者可以多次申购本基金，申购费率按每笔申购申请单独计算。</w:t>
      </w:r>
    </w:p>
    <w:p w:rsidR="00E372AC" w:rsidRDefault="00E372AC" w:rsidP="00E372A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本基金场外申购费率如下表：</w:t>
      </w:r>
    </w:p>
    <w:tbl>
      <w:tblPr>
        <w:tblW w:w="4994" w:type="pct"/>
        <w:tblInd w:w="118" w:type="dxa"/>
        <w:tblBorders>
          <w:top w:val="single" w:sz="8" w:space="0" w:color="000000"/>
          <w:left w:val="single" w:sz="8" w:space="0" w:color="000000"/>
          <w:bottom w:val="single" w:sz="8" w:space="0" w:color="000000"/>
          <w:right w:val="single" w:sz="8" w:space="0" w:color="000000"/>
          <w:insideH w:val="nil"/>
          <w:insideV w:val="nil"/>
        </w:tblBorders>
        <w:tblCellMar>
          <w:left w:w="0" w:type="dxa"/>
          <w:right w:w="0" w:type="dxa"/>
        </w:tblCellMar>
        <w:tblLook w:val="04A0"/>
      </w:tblPr>
      <w:tblGrid>
        <w:gridCol w:w="4422"/>
        <w:gridCol w:w="4423"/>
      </w:tblGrid>
      <w:tr w:rsidR="00E372AC" w:rsidRPr="004A0B3A" w:rsidTr="004A0B3A">
        <w:tc>
          <w:tcPr>
            <w:tcW w:w="2500" w:type="pct"/>
            <w:tcBorders>
              <w:bottom w:val="single" w:sz="8" w:space="0" w:color="auto"/>
              <w:right w:val="single" w:sz="8" w:space="0" w:color="auto"/>
            </w:tcBorders>
            <w:tcMar>
              <w:top w:w="10" w:type="dxa"/>
              <w:left w:w="108" w:type="dxa"/>
              <w:bottom w:w="10" w:type="dxa"/>
              <w:right w:w="108" w:type="dxa"/>
            </w:tcMar>
            <w:vAlign w:val="center"/>
            <w:hideMark/>
          </w:tcPr>
          <w:p w:rsidR="00E372AC" w:rsidRDefault="00E372AC" w:rsidP="004A0B3A">
            <w:pPr>
              <w:spacing w:line="360" w:lineRule="auto"/>
              <w:jc w:val="center"/>
              <w:rPr>
                <w:rFonts w:eastAsia="Times New Roman"/>
                <w:sz w:val="20"/>
                <w:szCs w:val="20"/>
                <w:lang w:val="en-US" w:eastAsia="zh-CN" w:bidi="ar-SA"/>
              </w:rPr>
            </w:pPr>
            <w:r>
              <w:rPr>
                <w:rFonts w:ascii="宋体" w:hAnsi="宋体" w:cs="宋体"/>
                <w:b/>
                <w:bCs/>
                <w:sz w:val="20"/>
                <w:szCs w:val="20"/>
                <w:lang w:val="en-US" w:eastAsia="zh-CN" w:bidi="ar-SA"/>
              </w:rPr>
              <w:t>申购金额M（元）</w:t>
            </w:r>
          </w:p>
        </w:tc>
        <w:tc>
          <w:tcPr>
            <w:tcW w:w="2500" w:type="pct"/>
            <w:tcBorders>
              <w:bottom w:val="single" w:sz="8" w:space="0" w:color="auto"/>
            </w:tcBorders>
            <w:tcMar>
              <w:top w:w="10" w:type="dxa"/>
              <w:left w:w="113" w:type="dxa"/>
              <w:bottom w:w="10" w:type="dxa"/>
              <w:right w:w="108" w:type="dxa"/>
            </w:tcMar>
            <w:vAlign w:val="center"/>
            <w:hideMark/>
          </w:tcPr>
          <w:p w:rsidR="00E372AC" w:rsidRDefault="00E372AC" w:rsidP="004A0B3A">
            <w:pPr>
              <w:spacing w:line="360" w:lineRule="auto"/>
              <w:jc w:val="center"/>
              <w:rPr>
                <w:rFonts w:eastAsia="Times New Roman"/>
                <w:sz w:val="20"/>
                <w:szCs w:val="20"/>
                <w:lang w:val="en-US" w:eastAsia="zh-CN" w:bidi="ar-SA"/>
              </w:rPr>
            </w:pPr>
            <w:r>
              <w:rPr>
                <w:rFonts w:ascii="宋体" w:hAnsi="宋体" w:cs="宋体"/>
                <w:b/>
                <w:bCs/>
                <w:sz w:val="20"/>
                <w:szCs w:val="20"/>
                <w:lang w:val="en-US" w:eastAsia="zh-CN" w:bidi="ar-SA"/>
              </w:rPr>
              <w:t>申购费率</w:t>
            </w:r>
          </w:p>
        </w:tc>
      </w:tr>
      <w:tr w:rsidR="00E372AC" w:rsidRPr="004A0B3A" w:rsidTr="004A0B3A">
        <w:tc>
          <w:tcPr>
            <w:tcW w:w="2500" w:type="pct"/>
            <w:tcBorders>
              <w:bottom w:val="single" w:sz="8" w:space="0" w:color="auto"/>
              <w:right w:val="single" w:sz="8" w:space="0" w:color="auto"/>
            </w:tcBorders>
            <w:tcMar>
              <w:top w:w="5" w:type="dxa"/>
              <w:left w:w="108" w:type="dxa"/>
              <w:bottom w:w="10" w:type="dxa"/>
              <w:right w:w="108" w:type="dxa"/>
            </w:tcMar>
            <w:vAlign w:val="center"/>
            <w:hideMark/>
          </w:tcPr>
          <w:p w:rsidR="00E372AC" w:rsidRDefault="00E372AC" w:rsidP="004A0B3A">
            <w:pPr>
              <w:spacing w:line="360" w:lineRule="auto"/>
              <w:jc w:val="center"/>
              <w:rPr>
                <w:rFonts w:eastAsia="Times New Roman"/>
                <w:sz w:val="20"/>
                <w:szCs w:val="20"/>
                <w:lang w:val="en-US" w:eastAsia="zh-CN" w:bidi="ar-SA"/>
              </w:rPr>
            </w:pPr>
            <w:r>
              <w:rPr>
                <w:rFonts w:ascii="宋体" w:hAnsi="宋体" w:cs="宋体"/>
                <w:sz w:val="20"/>
                <w:szCs w:val="20"/>
                <w:lang w:val="en-US" w:eastAsia="zh-CN" w:bidi="ar-SA"/>
              </w:rPr>
              <w:t>M＜100万</w:t>
            </w:r>
          </w:p>
        </w:tc>
        <w:tc>
          <w:tcPr>
            <w:tcW w:w="2500" w:type="pct"/>
            <w:tcBorders>
              <w:bottom w:val="single" w:sz="8" w:space="0" w:color="auto"/>
            </w:tcBorders>
            <w:tcMar>
              <w:top w:w="5" w:type="dxa"/>
              <w:left w:w="113" w:type="dxa"/>
              <w:bottom w:w="10" w:type="dxa"/>
              <w:right w:w="108" w:type="dxa"/>
            </w:tcMar>
            <w:vAlign w:val="center"/>
            <w:hideMark/>
          </w:tcPr>
          <w:p w:rsidR="00E372AC" w:rsidRDefault="00E372AC" w:rsidP="004A0B3A">
            <w:pPr>
              <w:spacing w:line="360" w:lineRule="auto"/>
              <w:jc w:val="center"/>
              <w:rPr>
                <w:rFonts w:eastAsia="Times New Roman"/>
                <w:sz w:val="20"/>
                <w:szCs w:val="20"/>
                <w:lang w:val="en-US" w:eastAsia="zh-CN" w:bidi="ar-SA"/>
              </w:rPr>
            </w:pPr>
            <w:r>
              <w:rPr>
                <w:rFonts w:ascii="宋体" w:hAnsi="宋体" w:cs="宋体"/>
                <w:sz w:val="20"/>
                <w:szCs w:val="20"/>
                <w:lang w:val="en-US" w:eastAsia="zh-CN" w:bidi="ar-SA"/>
              </w:rPr>
              <w:t>1.20％</w:t>
            </w:r>
          </w:p>
        </w:tc>
      </w:tr>
      <w:tr w:rsidR="00E372AC" w:rsidRPr="004A0B3A" w:rsidTr="004A0B3A">
        <w:tc>
          <w:tcPr>
            <w:tcW w:w="2500" w:type="pct"/>
            <w:tcBorders>
              <w:bottom w:val="single" w:sz="8" w:space="0" w:color="auto"/>
              <w:right w:val="single" w:sz="8" w:space="0" w:color="auto"/>
            </w:tcBorders>
            <w:tcMar>
              <w:top w:w="5" w:type="dxa"/>
              <w:left w:w="108" w:type="dxa"/>
              <w:bottom w:w="10" w:type="dxa"/>
              <w:right w:w="108" w:type="dxa"/>
            </w:tcMar>
            <w:vAlign w:val="center"/>
            <w:hideMark/>
          </w:tcPr>
          <w:p w:rsidR="00E372AC" w:rsidRDefault="00E372AC" w:rsidP="004A0B3A">
            <w:pPr>
              <w:spacing w:line="360" w:lineRule="auto"/>
              <w:jc w:val="center"/>
              <w:rPr>
                <w:rFonts w:eastAsia="Times New Roman"/>
                <w:sz w:val="20"/>
                <w:szCs w:val="20"/>
                <w:lang w:val="en-US" w:eastAsia="zh-CN" w:bidi="ar-SA"/>
              </w:rPr>
            </w:pPr>
            <w:r>
              <w:rPr>
                <w:rFonts w:ascii="宋体" w:hAnsi="宋体" w:cs="宋体"/>
                <w:sz w:val="20"/>
                <w:szCs w:val="20"/>
                <w:lang w:val="en-US" w:eastAsia="zh-CN" w:bidi="ar-SA"/>
              </w:rPr>
              <w:t>100万≤M＜500万</w:t>
            </w:r>
          </w:p>
        </w:tc>
        <w:tc>
          <w:tcPr>
            <w:tcW w:w="2500" w:type="pct"/>
            <w:tcBorders>
              <w:bottom w:val="single" w:sz="8" w:space="0" w:color="auto"/>
            </w:tcBorders>
            <w:tcMar>
              <w:top w:w="5" w:type="dxa"/>
              <w:left w:w="113" w:type="dxa"/>
              <w:bottom w:w="10" w:type="dxa"/>
              <w:right w:w="108" w:type="dxa"/>
            </w:tcMar>
            <w:vAlign w:val="center"/>
            <w:hideMark/>
          </w:tcPr>
          <w:p w:rsidR="00E372AC" w:rsidRDefault="00E372AC" w:rsidP="004A0B3A">
            <w:pPr>
              <w:spacing w:line="360" w:lineRule="auto"/>
              <w:jc w:val="center"/>
              <w:rPr>
                <w:rFonts w:eastAsia="Times New Roman"/>
                <w:sz w:val="20"/>
                <w:szCs w:val="20"/>
                <w:lang w:val="en-US" w:eastAsia="zh-CN" w:bidi="ar-SA"/>
              </w:rPr>
            </w:pPr>
            <w:r>
              <w:rPr>
                <w:rFonts w:ascii="宋体" w:hAnsi="宋体" w:cs="宋体"/>
                <w:sz w:val="20"/>
                <w:szCs w:val="20"/>
                <w:lang w:val="en-US" w:eastAsia="zh-CN" w:bidi="ar-SA"/>
              </w:rPr>
              <w:t>0.60％</w:t>
            </w:r>
          </w:p>
        </w:tc>
      </w:tr>
      <w:tr w:rsidR="00E372AC" w:rsidRPr="004A0B3A" w:rsidTr="004A0B3A">
        <w:tc>
          <w:tcPr>
            <w:tcW w:w="2500" w:type="pct"/>
            <w:tcBorders>
              <w:right w:val="single" w:sz="8" w:space="0" w:color="auto"/>
            </w:tcBorders>
            <w:tcMar>
              <w:top w:w="5" w:type="dxa"/>
              <w:left w:w="108" w:type="dxa"/>
              <w:bottom w:w="10" w:type="dxa"/>
              <w:right w:w="108" w:type="dxa"/>
            </w:tcMar>
            <w:vAlign w:val="center"/>
            <w:hideMark/>
          </w:tcPr>
          <w:p w:rsidR="00E372AC" w:rsidRDefault="00E372AC" w:rsidP="004A0B3A">
            <w:pPr>
              <w:spacing w:line="360" w:lineRule="auto"/>
              <w:jc w:val="center"/>
              <w:rPr>
                <w:rFonts w:eastAsia="Times New Roman"/>
                <w:sz w:val="20"/>
                <w:szCs w:val="20"/>
                <w:lang w:val="en-US" w:eastAsia="zh-CN" w:bidi="ar-SA"/>
              </w:rPr>
            </w:pPr>
            <w:r>
              <w:rPr>
                <w:rFonts w:ascii="宋体" w:hAnsi="宋体" w:cs="宋体"/>
                <w:sz w:val="20"/>
                <w:szCs w:val="20"/>
                <w:lang w:val="en-US" w:eastAsia="zh-CN" w:bidi="ar-SA"/>
              </w:rPr>
              <w:t>M≥500万</w:t>
            </w:r>
          </w:p>
        </w:tc>
        <w:tc>
          <w:tcPr>
            <w:tcW w:w="2500" w:type="pct"/>
            <w:tcMar>
              <w:top w:w="5" w:type="dxa"/>
              <w:left w:w="113" w:type="dxa"/>
              <w:bottom w:w="10" w:type="dxa"/>
              <w:right w:w="108" w:type="dxa"/>
            </w:tcMar>
            <w:vAlign w:val="center"/>
            <w:hideMark/>
          </w:tcPr>
          <w:p w:rsidR="00E372AC" w:rsidRDefault="00E372AC" w:rsidP="004A0B3A">
            <w:pPr>
              <w:spacing w:line="360" w:lineRule="auto"/>
              <w:jc w:val="center"/>
              <w:rPr>
                <w:rFonts w:eastAsia="Times New Roman"/>
                <w:sz w:val="20"/>
                <w:szCs w:val="20"/>
                <w:lang w:val="en-US" w:eastAsia="zh-CN" w:bidi="ar-SA"/>
              </w:rPr>
            </w:pPr>
            <w:r>
              <w:rPr>
                <w:rFonts w:ascii="宋体" w:hAnsi="宋体" w:cs="宋体"/>
                <w:sz w:val="20"/>
                <w:szCs w:val="20"/>
                <w:lang w:val="en-US" w:eastAsia="zh-CN" w:bidi="ar-SA"/>
              </w:rPr>
              <w:t>每笔100元</w:t>
            </w:r>
          </w:p>
        </w:tc>
      </w:tr>
    </w:tbl>
    <w:p w:rsidR="00E372AC" w:rsidRDefault="00E372AC" w:rsidP="00E372A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申购费用由投资者承担，在申购基金份额时收取，不列入基金财产，主要用于本基金的市场推广、销售、注册登记等各项费用。</w:t>
      </w:r>
    </w:p>
    <w:p w:rsidR="00E372AC" w:rsidRDefault="00E372AC" w:rsidP="00E372A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（2）赎回费用</w:t>
      </w:r>
    </w:p>
    <w:p w:rsidR="00E372AC" w:rsidRDefault="00E372AC" w:rsidP="00E372A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本基金的场外赎回费率随投资者持有基金份额期限的增加而减少。</w:t>
      </w:r>
    </w:p>
    <w:p w:rsidR="00E372AC" w:rsidRDefault="00E372AC" w:rsidP="00E372A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本基金场外赎回费率如下表（1年为365日）：</w:t>
      </w:r>
    </w:p>
    <w:tbl>
      <w:tblPr>
        <w:tblW w:w="4994" w:type="pct"/>
        <w:tblInd w:w="118" w:type="dxa"/>
        <w:tblBorders>
          <w:top w:val="single" w:sz="8" w:space="0" w:color="000000"/>
          <w:left w:val="single" w:sz="8" w:space="0" w:color="000000"/>
          <w:bottom w:val="single" w:sz="8" w:space="0" w:color="000000"/>
          <w:right w:val="single" w:sz="8" w:space="0" w:color="000000"/>
          <w:insideH w:val="nil"/>
          <w:insideV w:val="nil"/>
        </w:tblBorders>
        <w:tblCellMar>
          <w:left w:w="0" w:type="dxa"/>
          <w:right w:w="0" w:type="dxa"/>
        </w:tblCellMar>
        <w:tblLook w:val="04A0"/>
      </w:tblPr>
      <w:tblGrid>
        <w:gridCol w:w="4422"/>
        <w:gridCol w:w="4423"/>
      </w:tblGrid>
      <w:tr w:rsidR="00E372AC" w:rsidRPr="004A0B3A" w:rsidTr="004A0B3A">
        <w:tc>
          <w:tcPr>
            <w:tcW w:w="2500" w:type="pct"/>
            <w:tcBorders>
              <w:bottom w:val="single" w:sz="8" w:space="0" w:color="auto"/>
              <w:right w:val="single" w:sz="8" w:space="0" w:color="auto"/>
            </w:tcBorders>
            <w:tcMar>
              <w:top w:w="10" w:type="dxa"/>
              <w:left w:w="108" w:type="dxa"/>
              <w:bottom w:w="10" w:type="dxa"/>
              <w:right w:w="108" w:type="dxa"/>
            </w:tcMar>
            <w:vAlign w:val="center"/>
            <w:hideMark/>
          </w:tcPr>
          <w:p w:rsidR="00E372AC" w:rsidRDefault="00E372AC" w:rsidP="004A0B3A">
            <w:pPr>
              <w:spacing w:line="360" w:lineRule="auto"/>
              <w:jc w:val="center"/>
              <w:rPr>
                <w:rFonts w:eastAsia="Times New Roman"/>
                <w:sz w:val="20"/>
                <w:szCs w:val="20"/>
                <w:lang w:val="en-US" w:eastAsia="zh-CN" w:bidi="ar-SA"/>
              </w:rPr>
            </w:pPr>
            <w:r>
              <w:rPr>
                <w:rFonts w:ascii="宋体" w:hAnsi="宋体" w:cs="宋体"/>
                <w:b/>
                <w:bCs/>
                <w:sz w:val="20"/>
                <w:szCs w:val="20"/>
                <w:lang w:val="en-US" w:eastAsia="zh-CN" w:bidi="ar-SA"/>
              </w:rPr>
              <w:t>持有期限Y</w:t>
            </w:r>
          </w:p>
        </w:tc>
        <w:tc>
          <w:tcPr>
            <w:tcW w:w="2500" w:type="pct"/>
            <w:tcBorders>
              <w:bottom w:val="single" w:sz="8" w:space="0" w:color="auto"/>
            </w:tcBorders>
            <w:tcMar>
              <w:top w:w="10" w:type="dxa"/>
              <w:left w:w="113" w:type="dxa"/>
              <w:bottom w:w="10" w:type="dxa"/>
              <w:right w:w="108" w:type="dxa"/>
            </w:tcMar>
            <w:vAlign w:val="center"/>
            <w:hideMark/>
          </w:tcPr>
          <w:p w:rsidR="00E372AC" w:rsidRDefault="00E372AC" w:rsidP="004A0B3A">
            <w:pPr>
              <w:spacing w:line="360" w:lineRule="auto"/>
              <w:jc w:val="center"/>
              <w:rPr>
                <w:rFonts w:eastAsia="Times New Roman"/>
                <w:sz w:val="20"/>
                <w:szCs w:val="20"/>
                <w:lang w:val="en-US" w:eastAsia="zh-CN" w:bidi="ar-SA"/>
              </w:rPr>
            </w:pPr>
            <w:r>
              <w:rPr>
                <w:rFonts w:ascii="宋体" w:hAnsi="宋体" w:cs="宋体"/>
                <w:b/>
                <w:bCs/>
                <w:sz w:val="20"/>
                <w:szCs w:val="20"/>
                <w:lang w:val="en-US" w:eastAsia="zh-CN" w:bidi="ar-SA"/>
              </w:rPr>
              <w:t>赎回费率</w:t>
            </w:r>
          </w:p>
        </w:tc>
      </w:tr>
      <w:tr w:rsidR="00E372AC" w:rsidRPr="004A0B3A" w:rsidTr="004A0B3A">
        <w:tc>
          <w:tcPr>
            <w:tcW w:w="2500" w:type="pct"/>
            <w:tcBorders>
              <w:bottom w:val="single" w:sz="8" w:space="0" w:color="auto"/>
              <w:right w:val="single" w:sz="8" w:space="0" w:color="auto"/>
            </w:tcBorders>
            <w:tcMar>
              <w:top w:w="5" w:type="dxa"/>
              <w:left w:w="108" w:type="dxa"/>
              <w:bottom w:w="10" w:type="dxa"/>
              <w:right w:w="108" w:type="dxa"/>
            </w:tcMar>
            <w:hideMark/>
          </w:tcPr>
          <w:p w:rsidR="00E372AC" w:rsidRDefault="00E372AC" w:rsidP="004A0B3A">
            <w:pPr>
              <w:spacing w:line="360" w:lineRule="auto"/>
              <w:jc w:val="center"/>
              <w:rPr>
                <w:rFonts w:eastAsia="Times New Roman"/>
                <w:sz w:val="20"/>
                <w:szCs w:val="20"/>
                <w:lang w:val="en-US" w:eastAsia="zh-CN" w:bidi="ar-SA"/>
              </w:rPr>
            </w:pPr>
            <w:r>
              <w:rPr>
                <w:rFonts w:ascii="宋体" w:hAnsi="宋体" w:cs="宋体"/>
                <w:sz w:val="20"/>
                <w:szCs w:val="20"/>
                <w:lang w:val="en-US" w:eastAsia="zh-CN" w:bidi="ar-SA"/>
              </w:rPr>
              <w:t>Y＜7日</w:t>
            </w:r>
          </w:p>
        </w:tc>
        <w:tc>
          <w:tcPr>
            <w:tcW w:w="2500" w:type="pct"/>
            <w:tcBorders>
              <w:bottom w:val="single" w:sz="8" w:space="0" w:color="auto"/>
            </w:tcBorders>
            <w:tcMar>
              <w:top w:w="5" w:type="dxa"/>
              <w:left w:w="113" w:type="dxa"/>
              <w:bottom w:w="10" w:type="dxa"/>
              <w:right w:w="108" w:type="dxa"/>
            </w:tcMar>
            <w:hideMark/>
          </w:tcPr>
          <w:p w:rsidR="00E372AC" w:rsidRDefault="00E372AC" w:rsidP="004A0B3A">
            <w:pPr>
              <w:spacing w:line="360" w:lineRule="auto"/>
              <w:ind w:firstLine="1700"/>
              <w:jc w:val="both"/>
              <w:rPr>
                <w:rFonts w:eastAsia="Times New Roman"/>
                <w:sz w:val="20"/>
                <w:szCs w:val="20"/>
                <w:lang w:val="en-US" w:eastAsia="zh-CN" w:bidi="ar-SA"/>
              </w:rPr>
            </w:pPr>
            <w:r>
              <w:rPr>
                <w:rFonts w:ascii="宋体" w:hAnsi="宋体" w:cs="宋体"/>
                <w:sz w:val="20"/>
                <w:szCs w:val="20"/>
                <w:lang w:val="en-US" w:eastAsia="zh-CN" w:bidi="ar-SA"/>
              </w:rPr>
              <w:t>1.50％</w:t>
            </w:r>
          </w:p>
        </w:tc>
      </w:tr>
      <w:tr w:rsidR="00E372AC" w:rsidRPr="004A0B3A" w:rsidTr="004A0B3A">
        <w:tc>
          <w:tcPr>
            <w:tcW w:w="2500" w:type="pct"/>
            <w:tcBorders>
              <w:bottom w:val="single" w:sz="8" w:space="0" w:color="auto"/>
              <w:right w:val="single" w:sz="8" w:space="0" w:color="auto"/>
            </w:tcBorders>
            <w:tcMar>
              <w:top w:w="5" w:type="dxa"/>
              <w:left w:w="108" w:type="dxa"/>
              <w:bottom w:w="10" w:type="dxa"/>
              <w:right w:w="108" w:type="dxa"/>
            </w:tcMar>
            <w:vAlign w:val="center"/>
            <w:hideMark/>
          </w:tcPr>
          <w:p w:rsidR="00E372AC" w:rsidRDefault="00E372AC" w:rsidP="004A0B3A">
            <w:pPr>
              <w:spacing w:line="360" w:lineRule="auto"/>
              <w:jc w:val="center"/>
              <w:rPr>
                <w:rFonts w:eastAsia="Times New Roman"/>
                <w:sz w:val="20"/>
                <w:szCs w:val="20"/>
                <w:lang w:val="en-US" w:eastAsia="zh-CN" w:bidi="ar-SA"/>
              </w:rPr>
            </w:pPr>
            <w:r>
              <w:rPr>
                <w:rFonts w:ascii="宋体" w:hAnsi="宋体" w:cs="宋体"/>
                <w:sz w:val="20"/>
                <w:szCs w:val="20"/>
                <w:lang w:val="en-US" w:eastAsia="zh-CN" w:bidi="ar-SA"/>
              </w:rPr>
              <w:t>7日≤Y＜1年</w:t>
            </w:r>
          </w:p>
        </w:tc>
        <w:tc>
          <w:tcPr>
            <w:tcW w:w="2500" w:type="pct"/>
            <w:tcBorders>
              <w:bottom w:val="single" w:sz="8" w:space="0" w:color="auto"/>
            </w:tcBorders>
            <w:tcMar>
              <w:top w:w="5" w:type="dxa"/>
              <w:left w:w="113" w:type="dxa"/>
              <w:bottom w:w="10" w:type="dxa"/>
              <w:right w:w="108" w:type="dxa"/>
            </w:tcMar>
            <w:vAlign w:val="center"/>
            <w:hideMark/>
          </w:tcPr>
          <w:p w:rsidR="00E372AC" w:rsidRDefault="00E372AC" w:rsidP="004A0B3A">
            <w:pPr>
              <w:spacing w:line="360" w:lineRule="auto"/>
              <w:jc w:val="center"/>
              <w:rPr>
                <w:rFonts w:eastAsia="Times New Roman"/>
                <w:sz w:val="20"/>
                <w:szCs w:val="20"/>
                <w:lang w:val="en-US" w:eastAsia="zh-CN" w:bidi="ar-SA"/>
              </w:rPr>
            </w:pPr>
            <w:r>
              <w:rPr>
                <w:rFonts w:ascii="宋体" w:hAnsi="宋体" w:cs="宋体"/>
                <w:sz w:val="20"/>
                <w:szCs w:val="20"/>
                <w:lang w:val="en-US" w:eastAsia="zh-CN" w:bidi="ar-SA"/>
              </w:rPr>
              <w:t> 0.50％</w:t>
            </w:r>
          </w:p>
        </w:tc>
      </w:tr>
      <w:tr w:rsidR="00E372AC" w:rsidRPr="004A0B3A" w:rsidTr="004A0B3A">
        <w:tc>
          <w:tcPr>
            <w:tcW w:w="2500" w:type="pct"/>
            <w:tcBorders>
              <w:bottom w:val="single" w:sz="8" w:space="0" w:color="auto"/>
              <w:right w:val="single" w:sz="8" w:space="0" w:color="auto"/>
            </w:tcBorders>
            <w:tcMar>
              <w:top w:w="5" w:type="dxa"/>
              <w:left w:w="108" w:type="dxa"/>
              <w:bottom w:w="10" w:type="dxa"/>
              <w:right w:w="108" w:type="dxa"/>
            </w:tcMar>
            <w:vAlign w:val="center"/>
            <w:hideMark/>
          </w:tcPr>
          <w:p w:rsidR="00E372AC" w:rsidRDefault="00E372AC" w:rsidP="004A0B3A">
            <w:pPr>
              <w:spacing w:line="360" w:lineRule="auto"/>
              <w:jc w:val="center"/>
              <w:rPr>
                <w:rFonts w:eastAsia="Times New Roman"/>
                <w:sz w:val="20"/>
                <w:szCs w:val="20"/>
                <w:lang w:val="en-US" w:eastAsia="zh-CN" w:bidi="ar-SA"/>
              </w:rPr>
            </w:pPr>
            <w:r>
              <w:rPr>
                <w:rFonts w:ascii="宋体" w:hAnsi="宋体" w:cs="宋体"/>
                <w:sz w:val="20"/>
                <w:szCs w:val="20"/>
                <w:lang w:val="en-US" w:eastAsia="zh-CN" w:bidi="ar-SA"/>
              </w:rPr>
              <w:t>1年≤Y＜2年</w:t>
            </w:r>
          </w:p>
        </w:tc>
        <w:tc>
          <w:tcPr>
            <w:tcW w:w="2500" w:type="pct"/>
            <w:tcBorders>
              <w:bottom w:val="single" w:sz="8" w:space="0" w:color="auto"/>
            </w:tcBorders>
            <w:tcMar>
              <w:top w:w="5" w:type="dxa"/>
              <w:left w:w="113" w:type="dxa"/>
              <w:bottom w:w="10" w:type="dxa"/>
              <w:right w:w="108" w:type="dxa"/>
            </w:tcMar>
            <w:vAlign w:val="center"/>
            <w:hideMark/>
          </w:tcPr>
          <w:p w:rsidR="00E372AC" w:rsidRDefault="00E372AC" w:rsidP="004A0B3A">
            <w:pPr>
              <w:spacing w:line="360" w:lineRule="auto"/>
              <w:jc w:val="center"/>
              <w:rPr>
                <w:rFonts w:eastAsia="Times New Roman"/>
                <w:sz w:val="20"/>
                <w:szCs w:val="20"/>
                <w:lang w:val="en-US" w:eastAsia="zh-CN" w:bidi="ar-SA"/>
              </w:rPr>
            </w:pPr>
            <w:r>
              <w:rPr>
                <w:rFonts w:ascii="宋体" w:hAnsi="宋体" w:cs="宋体"/>
                <w:sz w:val="20"/>
                <w:szCs w:val="20"/>
                <w:lang w:val="en-US" w:eastAsia="zh-CN" w:bidi="ar-SA"/>
              </w:rPr>
              <w:t> 0.25％</w:t>
            </w:r>
          </w:p>
        </w:tc>
      </w:tr>
      <w:tr w:rsidR="00E372AC" w:rsidRPr="004A0B3A" w:rsidTr="004A0B3A">
        <w:tc>
          <w:tcPr>
            <w:tcW w:w="2500" w:type="pct"/>
            <w:tcBorders>
              <w:right w:val="single" w:sz="8" w:space="0" w:color="auto"/>
            </w:tcBorders>
            <w:tcMar>
              <w:top w:w="5" w:type="dxa"/>
              <w:left w:w="108" w:type="dxa"/>
              <w:bottom w:w="10" w:type="dxa"/>
              <w:right w:w="108" w:type="dxa"/>
            </w:tcMar>
            <w:vAlign w:val="center"/>
            <w:hideMark/>
          </w:tcPr>
          <w:p w:rsidR="00E372AC" w:rsidRDefault="00E372AC" w:rsidP="004A0B3A">
            <w:pPr>
              <w:spacing w:line="360" w:lineRule="auto"/>
              <w:jc w:val="center"/>
              <w:rPr>
                <w:rFonts w:eastAsia="Times New Roman"/>
                <w:sz w:val="20"/>
                <w:szCs w:val="20"/>
                <w:lang w:val="en-US" w:eastAsia="zh-CN" w:bidi="ar-SA"/>
              </w:rPr>
            </w:pPr>
            <w:r>
              <w:rPr>
                <w:rFonts w:ascii="宋体" w:hAnsi="宋体" w:cs="宋体"/>
                <w:sz w:val="20"/>
                <w:szCs w:val="20"/>
                <w:lang w:val="en-US" w:eastAsia="zh-CN" w:bidi="ar-SA"/>
              </w:rPr>
              <w:t>Y≥2年</w:t>
            </w:r>
          </w:p>
        </w:tc>
        <w:tc>
          <w:tcPr>
            <w:tcW w:w="2500" w:type="pct"/>
            <w:tcMar>
              <w:top w:w="5" w:type="dxa"/>
              <w:left w:w="113" w:type="dxa"/>
              <w:bottom w:w="10" w:type="dxa"/>
              <w:right w:w="108" w:type="dxa"/>
            </w:tcMar>
            <w:vAlign w:val="center"/>
            <w:hideMark/>
          </w:tcPr>
          <w:p w:rsidR="00E372AC" w:rsidRDefault="00E372AC" w:rsidP="004A0B3A">
            <w:pPr>
              <w:spacing w:line="360" w:lineRule="auto"/>
              <w:jc w:val="center"/>
              <w:rPr>
                <w:rFonts w:eastAsia="Times New Roman"/>
                <w:sz w:val="20"/>
                <w:szCs w:val="20"/>
                <w:lang w:val="en-US" w:eastAsia="zh-CN" w:bidi="ar-SA"/>
              </w:rPr>
            </w:pPr>
            <w:r>
              <w:rPr>
                <w:rFonts w:ascii="宋体" w:hAnsi="宋体" w:cs="宋体"/>
                <w:sz w:val="20"/>
                <w:szCs w:val="20"/>
                <w:lang w:val="en-US" w:eastAsia="zh-CN" w:bidi="ar-SA"/>
              </w:rPr>
              <w:t> 0.00％</w:t>
            </w:r>
          </w:p>
        </w:tc>
      </w:tr>
    </w:tbl>
    <w:p w:rsidR="00E372AC" w:rsidRDefault="00E372AC" w:rsidP="00E372AC">
      <w:pPr>
        <w:spacing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赎回费用由赎回基金份额的基金份额持有人承担，在基金份额持有人赎回基金份额时收取。本基金对持续持有期少于7日的投资者收取的赎回费全额计入基金财产，对持续持有期不少于7日的投资者收取的赎回费总额的25％应归入基金财产，其余用于支付市场推广、注册登记费和其他必要的手续费。</w:t>
      </w:r>
    </w:p>
    <w:p w:rsidR="00E372AC" w:rsidRDefault="00E372AC" w:rsidP="00E372AC">
      <w:pPr>
        <w:ind w:firstLine="422"/>
        <w:jc w:val="both"/>
        <w:rPr>
          <w:rFonts w:eastAsia="Times New Roman"/>
          <w:sz w:val="21"/>
          <w:szCs w:val="21"/>
          <w:lang w:val="en-US" w:eastAsia="zh-CN" w:bidi="ar-SA"/>
        </w:rPr>
      </w:pPr>
      <w:r>
        <w:rPr>
          <w:rFonts w:ascii="宋体" w:hAnsi="宋体" w:cs="宋体" w:hint="eastAsia"/>
          <w:b/>
          <w:bCs/>
          <w:sz w:val="21"/>
          <w:szCs w:val="21"/>
          <w:lang w:val="en-US" w:bidi="ar-SA"/>
        </w:rPr>
        <w:t>2、</w:t>
      </w:r>
      <w:r>
        <w:rPr>
          <w:rFonts w:ascii="宋体" w:hAnsi="宋体" w:cs="宋体"/>
          <w:b/>
          <w:bCs/>
          <w:sz w:val="21"/>
          <w:szCs w:val="21"/>
          <w:lang w:val="en-US" w:eastAsia="zh-CN" w:bidi="ar-SA"/>
        </w:rPr>
        <w:t>基金份额的场内申购与赎回</w:t>
      </w:r>
    </w:p>
    <w:p w:rsidR="00E372AC" w:rsidRDefault="00E372AC" w:rsidP="00E372A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（1）申购费用</w:t>
      </w:r>
    </w:p>
    <w:p w:rsidR="00E372AC" w:rsidRDefault="00E372AC" w:rsidP="00E372A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本基金的场内申购费率自2015年9月21日起进行调整，调整后费率如下表。投资者可以多次申购本基金，申购费率按每笔申购申请单独计算。</w:t>
      </w:r>
    </w:p>
    <w:p w:rsidR="00E372AC" w:rsidRDefault="00E372AC" w:rsidP="00E372A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基金场内申购费率：</w:t>
      </w:r>
    </w:p>
    <w:tbl>
      <w:tblPr>
        <w:tblW w:w="5000" w:type="pct"/>
        <w:jc w:val="center"/>
        <w:tblInd w:w="118" w:type="dxa"/>
        <w:tblBorders>
          <w:top w:val="single" w:sz="8" w:space="0" w:color="000000"/>
          <w:left w:val="single" w:sz="8" w:space="0" w:color="000000"/>
          <w:bottom w:val="single" w:sz="8" w:space="0" w:color="000000"/>
          <w:right w:val="single" w:sz="8" w:space="0" w:color="000000"/>
          <w:insideH w:val="nil"/>
          <w:insideV w:val="nil"/>
        </w:tblBorders>
        <w:tblCellMar>
          <w:left w:w="0" w:type="dxa"/>
          <w:right w:w="0" w:type="dxa"/>
        </w:tblCellMar>
        <w:tblLook w:val="04A0"/>
      </w:tblPr>
      <w:tblGrid>
        <w:gridCol w:w="5151"/>
        <w:gridCol w:w="3705"/>
      </w:tblGrid>
      <w:tr w:rsidR="00E372AC" w:rsidRPr="004A0B3A" w:rsidTr="004A0B3A">
        <w:trPr>
          <w:jc w:val="center"/>
        </w:trPr>
        <w:tc>
          <w:tcPr>
            <w:tcW w:w="2908" w:type="pct"/>
            <w:tcBorders>
              <w:bottom w:val="single" w:sz="8" w:space="0" w:color="auto"/>
              <w:right w:val="single" w:sz="8" w:space="0" w:color="auto"/>
            </w:tcBorders>
            <w:tcMar>
              <w:top w:w="10" w:type="dxa"/>
              <w:left w:w="108" w:type="dxa"/>
              <w:bottom w:w="10" w:type="dxa"/>
              <w:right w:w="108" w:type="dxa"/>
            </w:tcMar>
            <w:vAlign w:val="center"/>
            <w:hideMark/>
          </w:tcPr>
          <w:p w:rsidR="00E372AC" w:rsidRDefault="00E372AC" w:rsidP="004A0B3A">
            <w:pPr>
              <w:spacing w:before="93" w:after="93" w:line="360" w:lineRule="auto"/>
              <w:ind w:firstLine="422"/>
              <w:jc w:val="center"/>
              <w:rPr>
                <w:rFonts w:eastAsia="Times New Roman"/>
                <w:sz w:val="21"/>
                <w:szCs w:val="21"/>
                <w:lang w:val="en-US" w:eastAsia="zh-CN" w:bidi="ar-SA"/>
              </w:rPr>
            </w:pPr>
            <w:r>
              <w:rPr>
                <w:rFonts w:ascii="宋体" w:hAnsi="宋体" w:cs="宋体"/>
                <w:b/>
                <w:bCs/>
                <w:sz w:val="21"/>
                <w:szCs w:val="21"/>
                <w:lang w:val="en-US" w:eastAsia="zh-CN" w:bidi="ar-SA"/>
              </w:rPr>
              <w:t>申购金额M（元）</w:t>
            </w:r>
          </w:p>
        </w:tc>
        <w:tc>
          <w:tcPr>
            <w:tcW w:w="2092" w:type="pct"/>
            <w:tcBorders>
              <w:bottom w:val="single" w:sz="8" w:space="0" w:color="auto"/>
            </w:tcBorders>
            <w:tcMar>
              <w:top w:w="10" w:type="dxa"/>
              <w:left w:w="113" w:type="dxa"/>
              <w:bottom w:w="10" w:type="dxa"/>
              <w:right w:w="108" w:type="dxa"/>
            </w:tcMar>
            <w:vAlign w:val="center"/>
            <w:hideMark/>
          </w:tcPr>
          <w:p w:rsidR="00E372AC" w:rsidRDefault="00E372AC" w:rsidP="004A0B3A">
            <w:pPr>
              <w:spacing w:before="93" w:after="93" w:line="360" w:lineRule="auto"/>
              <w:ind w:firstLine="422"/>
              <w:jc w:val="center"/>
              <w:rPr>
                <w:rFonts w:eastAsia="Times New Roman"/>
                <w:sz w:val="21"/>
                <w:szCs w:val="21"/>
                <w:lang w:val="en-US" w:eastAsia="zh-CN" w:bidi="ar-SA"/>
              </w:rPr>
            </w:pPr>
            <w:r>
              <w:rPr>
                <w:rFonts w:ascii="宋体" w:hAnsi="宋体" w:cs="宋体"/>
                <w:b/>
                <w:bCs/>
                <w:sz w:val="21"/>
                <w:szCs w:val="21"/>
                <w:lang w:val="en-US" w:eastAsia="zh-CN" w:bidi="ar-SA"/>
              </w:rPr>
              <w:t>申购费率</w:t>
            </w:r>
          </w:p>
        </w:tc>
      </w:tr>
      <w:tr w:rsidR="00E372AC" w:rsidRPr="004A0B3A" w:rsidTr="004A0B3A">
        <w:trPr>
          <w:jc w:val="center"/>
        </w:trPr>
        <w:tc>
          <w:tcPr>
            <w:tcW w:w="2908" w:type="pct"/>
            <w:tcBorders>
              <w:bottom w:val="single" w:sz="8" w:space="0" w:color="auto"/>
              <w:right w:val="single" w:sz="8" w:space="0" w:color="auto"/>
            </w:tcBorders>
            <w:tcMar>
              <w:top w:w="5" w:type="dxa"/>
              <w:left w:w="108" w:type="dxa"/>
              <w:bottom w:w="10" w:type="dxa"/>
              <w:right w:w="108" w:type="dxa"/>
            </w:tcMar>
            <w:vAlign w:val="center"/>
            <w:hideMark/>
          </w:tcPr>
          <w:p w:rsidR="00E372AC" w:rsidRDefault="00E372AC" w:rsidP="004A0B3A">
            <w:pPr>
              <w:spacing w:before="93" w:after="93" w:line="360" w:lineRule="auto"/>
              <w:ind w:firstLine="420"/>
              <w:jc w:val="center"/>
              <w:rPr>
                <w:rFonts w:eastAsia="Times New Roman"/>
                <w:sz w:val="21"/>
                <w:szCs w:val="21"/>
                <w:lang w:val="en-US" w:eastAsia="zh-CN" w:bidi="ar-SA"/>
              </w:rPr>
            </w:pPr>
            <w:r>
              <w:rPr>
                <w:rFonts w:ascii="宋体" w:hAnsi="宋体" w:cs="宋体"/>
                <w:sz w:val="21"/>
                <w:szCs w:val="21"/>
                <w:lang w:val="en-US" w:eastAsia="zh-CN" w:bidi="ar-SA"/>
              </w:rPr>
              <w:t>M＜500万</w:t>
            </w:r>
          </w:p>
        </w:tc>
        <w:tc>
          <w:tcPr>
            <w:tcW w:w="2092" w:type="pct"/>
            <w:tcBorders>
              <w:bottom w:val="single" w:sz="8" w:space="0" w:color="auto"/>
            </w:tcBorders>
            <w:tcMar>
              <w:top w:w="5" w:type="dxa"/>
              <w:left w:w="113" w:type="dxa"/>
              <w:bottom w:w="10" w:type="dxa"/>
              <w:right w:w="108" w:type="dxa"/>
            </w:tcMar>
            <w:vAlign w:val="center"/>
            <w:hideMark/>
          </w:tcPr>
          <w:p w:rsidR="00E372AC" w:rsidRDefault="00E372AC" w:rsidP="004A0B3A">
            <w:pPr>
              <w:spacing w:before="93" w:after="93" w:line="360" w:lineRule="auto"/>
              <w:ind w:firstLine="420"/>
              <w:jc w:val="center"/>
              <w:rPr>
                <w:rFonts w:eastAsia="Times New Roman"/>
                <w:sz w:val="21"/>
                <w:szCs w:val="21"/>
                <w:lang w:val="en-US" w:eastAsia="zh-CN" w:bidi="ar-SA"/>
              </w:rPr>
            </w:pPr>
            <w:r>
              <w:rPr>
                <w:rFonts w:ascii="宋体" w:hAnsi="宋体" w:cs="宋体"/>
                <w:sz w:val="21"/>
                <w:szCs w:val="21"/>
                <w:lang w:val="en-US" w:eastAsia="zh-CN" w:bidi="ar-SA"/>
              </w:rPr>
              <w:t>0</w:t>
            </w:r>
          </w:p>
        </w:tc>
      </w:tr>
      <w:tr w:rsidR="00E372AC" w:rsidRPr="004A0B3A" w:rsidTr="004A0B3A">
        <w:trPr>
          <w:jc w:val="center"/>
        </w:trPr>
        <w:tc>
          <w:tcPr>
            <w:tcW w:w="2908" w:type="pct"/>
            <w:tcBorders>
              <w:right w:val="single" w:sz="8" w:space="0" w:color="auto"/>
            </w:tcBorders>
            <w:tcMar>
              <w:top w:w="5" w:type="dxa"/>
              <w:left w:w="108" w:type="dxa"/>
              <w:bottom w:w="10" w:type="dxa"/>
              <w:right w:w="108" w:type="dxa"/>
            </w:tcMar>
            <w:vAlign w:val="center"/>
            <w:hideMark/>
          </w:tcPr>
          <w:p w:rsidR="00E372AC" w:rsidRDefault="00E372AC" w:rsidP="004A0B3A">
            <w:pPr>
              <w:spacing w:before="93" w:after="93" w:line="360" w:lineRule="auto"/>
              <w:ind w:firstLine="420"/>
              <w:jc w:val="center"/>
              <w:rPr>
                <w:rFonts w:eastAsia="Times New Roman"/>
                <w:sz w:val="21"/>
                <w:szCs w:val="21"/>
                <w:lang w:val="en-US" w:eastAsia="zh-CN" w:bidi="ar-SA"/>
              </w:rPr>
            </w:pPr>
            <w:r>
              <w:rPr>
                <w:rFonts w:ascii="宋体" w:hAnsi="宋体" w:cs="宋体"/>
                <w:sz w:val="21"/>
                <w:szCs w:val="21"/>
                <w:lang w:val="en-US" w:eastAsia="zh-CN" w:bidi="ar-SA"/>
              </w:rPr>
              <w:t>M</w:t>
            </w:r>
            <w:r>
              <w:rPr>
                <w:rFonts w:ascii="Calibri" w:eastAsia="Calibri" w:hAnsi="Calibri" w:cs="Calibri"/>
                <w:sz w:val="21"/>
                <w:szCs w:val="21"/>
                <w:lang w:val="en-US" w:eastAsia="zh-CN" w:bidi="ar-SA"/>
              </w:rPr>
              <w:t>≥</w:t>
            </w:r>
            <w:r>
              <w:rPr>
                <w:rFonts w:ascii="宋体" w:hAnsi="宋体" w:cs="宋体"/>
                <w:sz w:val="21"/>
                <w:szCs w:val="21"/>
                <w:lang w:val="en-US" w:eastAsia="zh-CN" w:bidi="ar-SA"/>
              </w:rPr>
              <w:t xml:space="preserve">500 万 </w:t>
            </w:r>
          </w:p>
        </w:tc>
        <w:tc>
          <w:tcPr>
            <w:tcW w:w="2092" w:type="pct"/>
            <w:tcMar>
              <w:top w:w="5" w:type="dxa"/>
              <w:left w:w="113" w:type="dxa"/>
              <w:bottom w:w="10" w:type="dxa"/>
              <w:right w:w="108" w:type="dxa"/>
            </w:tcMar>
            <w:vAlign w:val="center"/>
            <w:hideMark/>
          </w:tcPr>
          <w:p w:rsidR="00E372AC" w:rsidRDefault="00E372AC" w:rsidP="004A0B3A">
            <w:pPr>
              <w:spacing w:before="93" w:after="93" w:line="360" w:lineRule="auto"/>
              <w:ind w:firstLine="420"/>
              <w:jc w:val="center"/>
              <w:rPr>
                <w:rFonts w:eastAsia="Times New Roman"/>
                <w:sz w:val="21"/>
                <w:szCs w:val="21"/>
                <w:lang w:val="en-US" w:eastAsia="zh-CN" w:bidi="ar-SA"/>
              </w:rPr>
            </w:pPr>
            <w:r>
              <w:rPr>
                <w:rFonts w:ascii="宋体" w:hAnsi="宋体" w:cs="宋体"/>
                <w:sz w:val="21"/>
                <w:szCs w:val="21"/>
                <w:lang w:val="en-US" w:eastAsia="zh-CN" w:bidi="ar-SA"/>
              </w:rPr>
              <w:t>按笔收取，每笔100 元</w:t>
            </w:r>
          </w:p>
        </w:tc>
      </w:tr>
    </w:tbl>
    <w:p w:rsidR="00E372AC" w:rsidRDefault="00E372AC" w:rsidP="00E372A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申购费用由投资者承担，在申购基金份额时收取，不列入基金财产，主要用于本基金的市场推广、销售、注册登记等各项费用。</w:t>
      </w:r>
    </w:p>
    <w:p w:rsidR="00E372AC" w:rsidRDefault="00E372AC" w:rsidP="00E372A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（2）赎回费用</w:t>
      </w:r>
    </w:p>
    <w:p w:rsidR="00E372AC" w:rsidRDefault="00E372AC" w:rsidP="00E372A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本基金的场内赎回费率随投资者持有基金份额期限的增加而减少。</w:t>
      </w:r>
    </w:p>
    <w:p w:rsidR="00E372AC" w:rsidRDefault="00E372AC" w:rsidP="00E372AC">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本基金场内赎回费率如下表：</w:t>
      </w:r>
    </w:p>
    <w:tbl>
      <w:tblPr>
        <w:tblW w:w="4994" w:type="pct"/>
        <w:tblInd w:w="118" w:type="dxa"/>
        <w:tblBorders>
          <w:top w:val="single" w:sz="8" w:space="0" w:color="000000"/>
          <w:left w:val="single" w:sz="8" w:space="0" w:color="000000"/>
          <w:bottom w:val="single" w:sz="8" w:space="0" w:color="000000"/>
          <w:right w:val="single" w:sz="8" w:space="0" w:color="000000"/>
          <w:insideH w:val="nil"/>
          <w:insideV w:val="nil"/>
        </w:tblBorders>
        <w:tblCellMar>
          <w:left w:w="0" w:type="dxa"/>
          <w:right w:w="0" w:type="dxa"/>
        </w:tblCellMar>
        <w:tblLook w:val="04A0"/>
      </w:tblPr>
      <w:tblGrid>
        <w:gridCol w:w="4422"/>
        <w:gridCol w:w="4423"/>
      </w:tblGrid>
      <w:tr w:rsidR="00E372AC" w:rsidRPr="004A0B3A" w:rsidTr="004A0B3A">
        <w:tc>
          <w:tcPr>
            <w:tcW w:w="2500" w:type="pct"/>
            <w:tcBorders>
              <w:bottom w:val="single" w:sz="8" w:space="0" w:color="auto"/>
              <w:right w:val="single" w:sz="8" w:space="0" w:color="auto"/>
            </w:tcBorders>
            <w:tcMar>
              <w:top w:w="10" w:type="dxa"/>
              <w:left w:w="108" w:type="dxa"/>
              <w:bottom w:w="10" w:type="dxa"/>
              <w:right w:w="108" w:type="dxa"/>
            </w:tcMar>
            <w:vAlign w:val="center"/>
            <w:hideMark/>
          </w:tcPr>
          <w:p w:rsidR="00E372AC" w:rsidRDefault="00E372AC" w:rsidP="004A0B3A">
            <w:pPr>
              <w:spacing w:line="360" w:lineRule="auto"/>
              <w:ind w:firstLine="420"/>
              <w:jc w:val="center"/>
              <w:rPr>
                <w:rFonts w:eastAsia="Times New Roman"/>
                <w:sz w:val="21"/>
                <w:szCs w:val="21"/>
                <w:lang w:val="en-US" w:eastAsia="zh-CN" w:bidi="ar-SA"/>
              </w:rPr>
            </w:pPr>
            <w:r>
              <w:rPr>
                <w:rFonts w:ascii="宋体" w:hAnsi="宋体" w:cs="宋体"/>
                <w:b/>
                <w:bCs/>
                <w:sz w:val="21"/>
                <w:szCs w:val="21"/>
                <w:lang w:val="en-US" w:eastAsia="zh-CN" w:bidi="ar-SA"/>
              </w:rPr>
              <w:t>持有期限Y</w:t>
            </w:r>
          </w:p>
        </w:tc>
        <w:tc>
          <w:tcPr>
            <w:tcW w:w="2500" w:type="pct"/>
            <w:tcBorders>
              <w:bottom w:val="single" w:sz="8" w:space="0" w:color="auto"/>
            </w:tcBorders>
            <w:tcMar>
              <w:top w:w="10" w:type="dxa"/>
              <w:left w:w="113" w:type="dxa"/>
              <w:bottom w:w="10" w:type="dxa"/>
              <w:right w:w="108" w:type="dxa"/>
            </w:tcMar>
            <w:vAlign w:val="center"/>
            <w:hideMark/>
          </w:tcPr>
          <w:p w:rsidR="00E372AC" w:rsidRDefault="00E372AC" w:rsidP="004A0B3A">
            <w:pPr>
              <w:spacing w:line="360" w:lineRule="auto"/>
              <w:ind w:firstLine="420"/>
              <w:jc w:val="center"/>
              <w:rPr>
                <w:rFonts w:eastAsia="Times New Roman"/>
                <w:sz w:val="21"/>
                <w:szCs w:val="21"/>
                <w:lang w:val="en-US" w:eastAsia="zh-CN" w:bidi="ar-SA"/>
              </w:rPr>
            </w:pPr>
            <w:r>
              <w:rPr>
                <w:rFonts w:ascii="宋体" w:hAnsi="宋体" w:cs="宋体"/>
                <w:b/>
                <w:bCs/>
                <w:sz w:val="21"/>
                <w:szCs w:val="21"/>
                <w:lang w:val="en-US" w:eastAsia="zh-CN" w:bidi="ar-SA"/>
              </w:rPr>
              <w:t>赎回费率</w:t>
            </w:r>
          </w:p>
        </w:tc>
      </w:tr>
      <w:tr w:rsidR="00E372AC" w:rsidRPr="004A0B3A" w:rsidTr="004A0B3A">
        <w:tc>
          <w:tcPr>
            <w:tcW w:w="2500" w:type="pct"/>
            <w:tcBorders>
              <w:bottom w:val="single" w:sz="8" w:space="0" w:color="auto"/>
              <w:right w:val="single" w:sz="8" w:space="0" w:color="auto"/>
            </w:tcBorders>
            <w:tcMar>
              <w:top w:w="5" w:type="dxa"/>
              <w:left w:w="108" w:type="dxa"/>
              <w:bottom w:w="10" w:type="dxa"/>
              <w:right w:w="108" w:type="dxa"/>
            </w:tcMar>
            <w:vAlign w:val="center"/>
            <w:hideMark/>
          </w:tcPr>
          <w:p w:rsidR="00E372AC" w:rsidRDefault="00E372AC" w:rsidP="004A0B3A">
            <w:pPr>
              <w:spacing w:line="360" w:lineRule="auto"/>
              <w:ind w:firstLine="420"/>
              <w:jc w:val="center"/>
              <w:rPr>
                <w:rFonts w:eastAsia="Times New Roman"/>
                <w:sz w:val="21"/>
                <w:szCs w:val="21"/>
                <w:lang w:val="en-US" w:eastAsia="zh-CN" w:bidi="ar-SA"/>
              </w:rPr>
            </w:pPr>
            <w:r>
              <w:rPr>
                <w:rFonts w:ascii="宋体" w:hAnsi="宋体" w:cs="宋体"/>
                <w:sz w:val="21"/>
                <w:szCs w:val="21"/>
                <w:lang w:val="en-US" w:eastAsia="zh-CN" w:bidi="ar-SA"/>
              </w:rPr>
              <w:t>Y＜7日</w:t>
            </w:r>
          </w:p>
        </w:tc>
        <w:tc>
          <w:tcPr>
            <w:tcW w:w="2500" w:type="pct"/>
            <w:tcBorders>
              <w:bottom w:val="single" w:sz="8" w:space="0" w:color="auto"/>
            </w:tcBorders>
            <w:tcMar>
              <w:top w:w="5" w:type="dxa"/>
              <w:left w:w="113" w:type="dxa"/>
              <w:bottom w:w="10" w:type="dxa"/>
              <w:right w:w="108" w:type="dxa"/>
            </w:tcMar>
            <w:vAlign w:val="center"/>
            <w:hideMark/>
          </w:tcPr>
          <w:p w:rsidR="00E372AC" w:rsidRDefault="00E372AC" w:rsidP="004A0B3A">
            <w:pPr>
              <w:spacing w:line="360" w:lineRule="auto"/>
              <w:ind w:firstLine="1890"/>
              <w:jc w:val="both"/>
              <w:rPr>
                <w:rFonts w:eastAsia="Times New Roman"/>
                <w:sz w:val="21"/>
                <w:szCs w:val="21"/>
                <w:lang w:val="en-US" w:eastAsia="zh-CN" w:bidi="ar-SA"/>
              </w:rPr>
            </w:pPr>
            <w:r>
              <w:rPr>
                <w:rFonts w:ascii="宋体" w:hAnsi="宋体" w:cs="宋体"/>
                <w:sz w:val="21"/>
                <w:szCs w:val="21"/>
                <w:lang w:val="en-US" w:eastAsia="zh-CN" w:bidi="ar-SA"/>
              </w:rPr>
              <w:t>1.50％</w:t>
            </w:r>
          </w:p>
        </w:tc>
      </w:tr>
      <w:tr w:rsidR="00E372AC" w:rsidRPr="004A0B3A" w:rsidTr="004A0B3A">
        <w:tc>
          <w:tcPr>
            <w:tcW w:w="2500" w:type="pct"/>
            <w:tcBorders>
              <w:right w:val="single" w:sz="8" w:space="0" w:color="auto"/>
            </w:tcBorders>
            <w:tcMar>
              <w:top w:w="5" w:type="dxa"/>
              <w:left w:w="108" w:type="dxa"/>
              <w:bottom w:w="10" w:type="dxa"/>
              <w:right w:w="108" w:type="dxa"/>
            </w:tcMar>
            <w:vAlign w:val="center"/>
            <w:hideMark/>
          </w:tcPr>
          <w:p w:rsidR="00E372AC" w:rsidRDefault="00E372AC" w:rsidP="004A0B3A">
            <w:pPr>
              <w:spacing w:line="360" w:lineRule="auto"/>
              <w:ind w:firstLine="420"/>
              <w:jc w:val="center"/>
              <w:rPr>
                <w:rFonts w:eastAsia="Times New Roman"/>
                <w:sz w:val="21"/>
                <w:szCs w:val="21"/>
                <w:lang w:val="en-US" w:eastAsia="zh-CN" w:bidi="ar-SA"/>
              </w:rPr>
            </w:pPr>
            <w:r>
              <w:rPr>
                <w:rFonts w:ascii="宋体" w:hAnsi="宋体" w:cs="宋体"/>
                <w:sz w:val="21"/>
                <w:szCs w:val="21"/>
                <w:lang w:val="en-US" w:eastAsia="zh-CN" w:bidi="ar-SA"/>
              </w:rPr>
              <w:t>Y≥7日</w:t>
            </w:r>
          </w:p>
        </w:tc>
        <w:tc>
          <w:tcPr>
            <w:tcW w:w="2500" w:type="pct"/>
            <w:tcMar>
              <w:top w:w="5" w:type="dxa"/>
              <w:left w:w="113" w:type="dxa"/>
              <w:bottom w:w="10" w:type="dxa"/>
              <w:right w:w="108" w:type="dxa"/>
            </w:tcMar>
            <w:vAlign w:val="center"/>
            <w:hideMark/>
          </w:tcPr>
          <w:p w:rsidR="00E372AC" w:rsidRDefault="00E372AC" w:rsidP="004A0B3A">
            <w:pPr>
              <w:spacing w:line="360" w:lineRule="auto"/>
              <w:ind w:firstLine="420"/>
              <w:jc w:val="center"/>
              <w:rPr>
                <w:rFonts w:eastAsia="Times New Roman"/>
                <w:sz w:val="21"/>
                <w:szCs w:val="21"/>
                <w:lang w:val="en-US" w:eastAsia="zh-CN" w:bidi="ar-SA"/>
              </w:rPr>
            </w:pPr>
            <w:r>
              <w:rPr>
                <w:rFonts w:ascii="宋体" w:hAnsi="宋体" w:cs="宋体"/>
                <w:sz w:val="21"/>
                <w:szCs w:val="21"/>
                <w:lang w:val="en-US" w:eastAsia="zh-CN" w:bidi="ar-SA"/>
              </w:rPr>
              <w:t> 0.50％</w:t>
            </w:r>
          </w:p>
        </w:tc>
      </w:tr>
    </w:tbl>
    <w:p w:rsidR="00E372AC" w:rsidRDefault="00E372AC" w:rsidP="00E372AC">
      <w:pPr>
        <w:spacing w:line="360" w:lineRule="auto"/>
        <w:rPr>
          <w:rFonts w:eastAsia="Times New Roman"/>
          <w:sz w:val="21"/>
          <w:szCs w:val="21"/>
          <w:lang w:val="en-US" w:eastAsia="zh-CN" w:bidi="ar-SA"/>
        </w:rPr>
      </w:pPr>
      <w:r>
        <w:rPr>
          <w:rFonts w:ascii="宋体" w:hAnsi="宋体" w:cs="宋体"/>
          <w:sz w:val="21"/>
          <w:szCs w:val="21"/>
          <w:lang w:val="en-US" w:eastAsia="zh-CN" w:bidi="ar-SA"/>
        </w:rPr>
        <w:t>    赎回费用由赎回基金份额的基金份额持有人承担，在基金份额持有人赎回基金份额时收取。本基金对持续持有期少于7日的投资者收取的赎回费全额计入基金财产，对持续持有期不少于7日的投资者收取的赎回费总额的25％应归入基金财产，其余用于支付市场推广、注册登记费和其他必要的手续费。</w:t>
      </w:r>
    </w:p>
    <w:p w:rsidR="004A0B3A" w:rsidRDefault="004A0B3A">
      <w:pPr>
        <w:spacing w:line="360" w:lineRule="auto"/>
        <w:ind w:firstLine="422"/>
        <w:jc w:val="both"/>
        <w:rPr>
          <w:rFonts w:eastAsia="Times New Roman"/>
          <w:sz w:val="21"/>
          <w:szCs w:val="21"/>
          <w:lang w:val="en-US" w:eastAsia="zh-CN" w:bidi="ar-SA"/>
        </w:rPr>
      </w:pPr>
      <w:r>
        <w:rPr>
          <w:rFonts w:ascii="宋体" w:hAnsi="宋体" w:cs="宋体"/>
          <w:b/>
          <w:bCs/>
          <w:sz w:val="21"/>
          <w:szCs w:val="21"/>
          <w:lang w:val="en-US" w:eastAsia="zh-CN" w:bidi="ar-SA"/>
        </w:rPr>
        <w:t>（</w:t>
      </w:r>
      <w:r w:rsidR="00E372AC">
        <w:rPr>
          <w:rFonts w:ascii="宋体" w:hAnsi="宋体" w:cs="宋体" w:hint="eastAsia"/>
          <w:b/>
          <w:bCs/>
          <w:sz w:val="21"/>
          <w:szCs w:val="21"/>
          <w:lang w:val="en-US" w:bidi="ar-SA"/>
        </w:rPr>
        <w:t>五</w:t>
      </w:r>
      <w:r>
        <w:rPr>
          <w:rFonts w:ascii="宋体" w:hAnsi="宋体" w:cs="宋体"/>
          <w:b/>
          <w:bCs/>
          <w:sz w:val="21"/>
          <w:szCs w:val="21"/>
          <w:lang w:val="en-US" w:eastAsia="zh-CN" w:bidi="ar-SA"/>
        </w:rPr>
        <w:t>）基金税收</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本基金运作过程中涉及的各纳税主体，其纳税义务按国家税收法律、法规执行。</w:t>
      </w:r>
    </w:p>
    <w:p w:rsidR="004A0B3A" w:rsidRDefault="004A0B3A">
      <w:pPr>
        <w:spacing w:line="360" w:lineRule="auto"/>
        <w:ind w:firstLine="420"/>
        <w:rPr>
          <w:rFonts w:eastAsia="Times New Roman"/>
          <w:sz w:val="21"/>
          <w:szCs w:val="21"/>
          <w:lang w:val="en-US" w:eastAsia="zh-CN" w:bidi="ar-SA"/>
        </w:rPr>
      </w:pPr>
      <w:r>
        <w:rPr>
          <w:rFonts w:ascii="宋体" w:hAnsi="宋体" w:cs="宋体"/>
          <w:sz w:val="21"/>
          <w:szCs w:val="21"/>
          <w:lang w:val="en-US" w:eastAsia="zh-CN" w:bidi="ar-SA"/>
        </w:rPr>
        <w:t>基金财产投资的相关税收，由基金份额持有人承担，基金管理人或者其他扣缴义务人按照国家有关税收征收的规定代扣代缴。</w:t>
      </w:r>
    </w:p>
    <w:p w:rsidR="004A0B3A" w:rsidRDefault="004A0B3A">
      <w:pPr>
        <w:pStyle w:val="1"/>
        <w:keepNext w:val="0"/>
        <w:spacing w:before="93" w:after="93" w:line="360" w:lineRule="auto"/>
        <w:jc w:val="center"/>
        <w:rPr>
          <w:rFonts w:ascii="Times New Roman" w:eastAsia="Times New Roman" w:hAnsi="Times New Roman" w:cs="Times New Roman"/>
          <w:sz w:val="48"/>
          <w:szCs w:val="48"/>
          <w:lang w:val="en-US" w:eastAsia="zh-CN" w:bidi="ar-SA"/>
        </w:rPr>
      </w:pPr>
      <w:r>
        <w:rPr>
          <w:rFonts w:ascii="宋体" w:hAnsi="宋体" w:cs="宋体"/>
          <w:kern w:val="36"/>
          <w:sz w:val="28"/>
          <w:szCs w:val="28"/>
          <w:lang w:val="en-US" w:eastAsia="zh-CN" w:bidi="ar-SA"/>
        </w:rPr>
        <w:t>十四、对招募说明书更新部分的说明</w:t>
      </w:r>
    </w:p>
    <w:p w:rsidR="004A0B3A" w:rsidRDefault="004A0B3A">
      <w:pPr>
        <w:pStyle w:val="MsoNormal0"/>
        <w:spacing w:before="240" w:after="240" w:line="360" w:lineRule="auto"/>
        <w:rPr>
          <w:rFonts w:eastAsia="Times New Roman"/>
          <w:lang w:val="en-US" w:eastAsia="zh-CN" w:bidi="ar-SA"/>
        </w:rPr>
      </w:pPr>
      <w:r>
        <w:rPr>
          <w:rFonts w:ascii="宋体" w:hAnsi="宋体" w:cs="宋体"/>
          <w:b/>
          <w:bCs/>
          <w:lang w:bidi="ar-SA"/>
        </w:rPr>
        <w:t> </w:t>
      </w:r>
    </w:p>
    <w:p w:rsidR="004A0B3A" w:rsidRDefault="004A0B3A">
      <w:pPr>
        <w:spacing w:line="360" w:lineRule="auto"/>
        <w:ind w:firstLine="420"/>
        <w:jc w:val="both"/>
        <w:rPr>
          <w:rFonts w:eastAsia="Times New Roman"/>
          <w:sz w:val="21"/>
          <w:szCs w:val="21"/>
          <w:lang w:val="en-US" w:eastAsia="zh-CN" w:bidi="ar-SA"/>
        </w:rPr>
      </w:pPr>
      <w:r>
        <w:rPr>
          <w:rFonts w:ascii="宋体" w:hAnsi="宋体" w:cs="宋体"/>
          <w:sz w:val="21"/>
          <w:szCs w:val="21"/>
          <w:lang w:val="en-US" w:eastAsia="zh-CN" w:bidi="ar-SA"/>
        </w:rPr>
        <w:t>本基金管理人根据《中华人民共和国证券投资基金法》、《公开募集证券投资基金运作管理办法》、《证券投资基金销售管理办法》、《公开募集证券投资基金信息披露管理办法》及其它有关法律法规的规定，结合本基金管理人对本基金实施的投资管理活动，对本基金管理人原公告的本基金招募说明书进行了更新，主要更新的内容如下：</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1、在“重要提示”部分明确了更新招募说明书内容的截止日期、有关财务数据的截止日期。</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2、在“第三部分 基金管理人”部分内容进行了更新。</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3、在“第四部分 基金托管人”部分内容进行了更新。</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4、在“第五部分 相关服务机构”部分内容进行了更新。</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5、在“第十三部分 基金投资”部分内容进行了更新。</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6、在“第十四部分 基金业绩”部分内容进行了更新。</w:t>
      </w:r>
    </w:p>
    <w:p w:rsidR="004A0B3A" w:rsidRDefault="004A0B3A">
      <w:pPr>
        <w:spacing w:before="75" w:after="75" w:line="360" w:lineRule="auto"/>
        <w:ind w:firstLine="420"/>
        <w:rPr>
          <w:rFonts w:ascii="宋体" w:hAnsi="宋体" w:cs="宋体"/>
          <w:sz w:val="21"/>
          <w:szCs w:val="21"/>
          <w:lang w:val="en-US" w:eastAsia="zh-CN" w:bidi="ar-SA"/>
        </w:rPr>
      </w:pPr>
      <w:r>
        <w:rPr>
          <w:rFonts w:ascii="宋体" w:hAnsi="宋体" w:cs="宋体"/>
          <w:sz w:val="21"/>
          <w:szCs w:val="21"/>
          <w:lang w:val="en-US" w:eastAsia="zh-CN" w:bidi="ar-SA"/>
        </w:rPr>
        <w:t>7、在“第二十七部分 其他披露事项”部分内容进行了更新。</w:t>
      </w:r>
    </w:p>
    <w:p w:rsidR="004A0B3A" w:rsidRDefault="004A0B3A">
      <w:pPr>
        <w:pStyle w:val="MsoNormal0"/>
        <w:spacing w:before="240" w:after="240" w:line="360" w:lineRule="auto"/>
        <w:jc w:val="right"/>
        <w:rPr>
          <w:rFonts w:eastAsia="Times New Roman"/>
          <w:lang w:val="en-US" w:eastAsia="zh-CN" w:bidi="ar-SA"/>
        </w:rPr>
      </w:pPr>
      <w:r>
        <w:rPr>
          <w:rFonts w:eastAsia="Times New Roman"/>
          <w:lang w:bidi="ar-SA"/>
        </w:rPr>
        <w:t xml:space="preserve">     </w:t>
      </w:r>
      <w:r>
        <w:rPr>
          <w:rFonts w:eastAsia="Times New Roman"/>
          <w:b/>
          <w:bCs/>
          <w:lang w:bidi="ar-SA"/>
        </w:rPr>
        <w:t>  </w:t>
      </w:r>
      <w:r>
        <w:rPr>
          <w:rFonts w:ascii="宋体" w:hAnsi="宋体" w:cs="宋体"/>
          <w:b/>
          <w:bCs/>
          <w:lang w:val="en-US" w:eastAsia="zh-CN" w:bidi="ar-SA"/>
        </w:rPr>
        <w:t>鹏华基金管理有限公司</w:t>
      </w:r>
    </w:p>
    <w:p w:rsidR="004A0B3A" w:rsidRDefault="004A0B3A">
      <w:pPr>
        <w:pStyle w:val="MsoNormal0"/>
        <w:spacing w:before="240" w:after="240" w:line="360" w:lineRule="auto"/>
        <w:jc w:val="right"/>
        <w:rPr>
          <w:rFonts w:eastAsia="Times New Roman"/>
          <w:lang w:val="en-US" w:eastAsia="zh-CN" w:bidi="ar-SA"/>
        </w:rPr>
      </w:pPr>
      <w:r>
        <w:rPr>
          <w:rFonts w:ascii="宋体" w:hAnsi="宋体" w:cs="宋体"/>
          <w:b/>
          <w:bCs/>
          <w:shd w:val="clear" w:color="auto" w:fill="E4D2D4"/>
          <w:lang w:bidi="ar-SA"/>
        </w:rPr>
        <w:t>2020年05月</w:t>
      </w:r>
      <w:r>
        <w:rPr>
          <w:rFonts w:ascii="宋体" w:hAnsi="宋体" w:cs="宋体"/>
          <w:b/>
          <w:bCs/>
          <w:lang w:bidi="ar-SA"/>
        </w:rPr>
        <w:t xml:space="preserve"> </w:t>
      </w:r>
    </w:p>
    <w:p w:rsidR="00A77B3E" w:rsidRDefault="00A77B3E"/>
    <w:sectPr w:rsidR="00A77B3E">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0FB" w:rsidRDefault="003C10FB" w:rsidP="00E372AC">
      <w:r>
        <w:separator/>
      </w:r>
    </w:p>
  </w:endnote>
  <w:endnote w:type="continuationSeparator" w:id="1">
    <w:p w:rsidR="003C10FB" w:rsidRDefault="003C10FB" w:rsidP="00E37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华文行楷">
    <w:panose1 w:val="02010800040101010101"/>
    <w:charset w:val="86"/>
    <w:family w:val="auto"/>
    <w:pitch w:val="variable"/>
    <w:sig w:usb0="00000001" w:usb1="080F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0FB" w:rsidRDefault="003C10FB" w:rsidP="00E372AC">
      <w:r>
        <w:separator/>
      </w:r>
    </w:p>
  </w:footnote>
  <w:footnote w:type="continuationSeparator" w:id="1">
    <w:p w:rsidR="003C10FB" w:rsidRDefault="003C10FB" w:rsidP="00E372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8694D"/>
    <w:multiLevelType w:val="multilevel"/>
    <w:tmpl w:val="55E8694D"/>
    <w:lvl w:ilvl="0">
      <w:start w:val="1"/>
      <w:numFmt w:val="decimal"/>
      <w:lvlText w:val="%1、"/>
      <w:lvlJc w:val="left"/>
      <w:pPr>
        <w:ind w:left="560" w:hanging="360"/>
      </w:pPr>
      <w:rPr>
        <w:rFonts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hdrShapeDefaults>
    <o:shapedefaults v:ext="edit" spidmax="3074"/>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3C10FB"/>
    <w:rsid w:val="004A0B3A"/>
    <w:rsid w:val="00612292"/>
    <w:rsid w:val="00A77B3E"/>
    <w:rsid w:val="00BD2777"/>
    <w:rsid w:val="00CA2A55"/>
    <w:rsid w:val="00E372AC"/>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EF7B96"/>
    <w:pPr>
      <w:keepNext/>
      <w:spacing w:before="240" w:after="60"/>
      <w:outlineLvl w:val="0"/>
    </w:pPr>
    <w:rPr>
      <w:rFonts w:ascii="Arial" w:hAnsi="Arial" w:cs="Arial"/>
      <w:b/>
      <w:bCs/>
      <w:kern w:val="32"/>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MsoNormal0">
    <w:name w:val="MsoNormal"/>
    <w:basedOn w:val="a"/>
  </w:style>
  <w:style w:type="paragraph" w:customStyle="1" w:styleId="a3">
    <w:name w:val="a"/>
    <w:basedOn w:val="a"/>
  </w:style>
  <w:style w:type="paragraph" w:styleId="a4">
    <w:name w:val="header"/>
    <w:basedOn w:val="a"/>
    <w:link w:val="Char"/>
    <w:rsid w:val="00E372A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E372AC"/>
    <w:rPr>
      <w:sz w:val="18"/>
      <w:szCs w:val="18"/>
    </w:rPr>
  </w:style>
  <w:style w:type="paragraph" w:styleId="a5">
    <w:name w:val="footer"/>
    <w:basedOn w:val="a"/>
    <w:link w:val="Char0"/>
    <w:rsid w:val="00E372AC"/>
    <w:pPr>
      <w:tabs>
        <w:tab w:val="center" w:pos="4153"/>
        <w:tab w:val="right" w:pos="8306"/>
      </w:tabs>
      <w:snapToGrid w:val="0"/>
    </w:pPr>
    <w:rPr>
      <w:sz w:val="18"/>
      <w:szCs w:val="18"/>
    </w:rPr>
  </w:style>
  <w:style w:type="character" w:customStyle="1" w:styleId="Char0">
    <w:name w:val="页脚 Char"/>
    <w:link w:val="a5"/>
    <w:rsid w:val="00E372A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4564</Words>
  <Characters>26016</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cp:lastModifiedBy>JonMMx 2000</cp:lastModifiedBy>
  <cp:revision>2</cp:revision>
  <cp:lastPrinted>1601-01-01T00:00:00Z</cp:lastPrinted>
  <dcterms:created xsi:type="dcterms:W3CDTF">2020-05-14T16:03:00Z</dcterms:created>
  <dcterms:modified xsi:type="dcterms:W3CDTF">2020-05-14T16:03:00Z</dcterms:modified>
</cp:coreProperties>
</file>