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B2" w:rsidRPr="00FA0680" w:rsidRDefault="00004EB2" w:rsidP="00110A7D">
      <w:pPr>
        <w:tabs>
          <w:tab w:val="left" w:pos="10440"/>
        </w:tabs>
        <w:jc w:val="center"/>
        <w:rPr>
          <w:b/>
          <w:bCs/>
          <w:color w:val="000000"/>
          <w:sz w:val="24"/>
          <w:szCs w:val="24"/>
        </w:rPr>
      </w:pPr>
      <w:bookmarkStart w:id="0" w:name="_GoBack"/>
      <w:bookmarkStart w:id="1" w:name="OLE_LINK1"/>
      <w:bookmarkEnd w:id="0"/>
      <w:r w:rsidRPr="00FA0680">
        <w:rPr>
          <w:rFonts w:hAnsi="宋体" w:cs="宋体" w:hint="eastAsia"/>
          <w:b/>
          <w:bCs/>
          <w:color w:val="000000"/>
          <w:sz w:val="24"/>
          <w:szCs w:val="24"/>
        </w:rPr>
        <w:t>华夏基金管理有限公司关于旗下基金投资非公开发行股票的公告</w:t>
      </w:r>
      <w:bookmarkEnd w:id="1"/>
    </w:p>
    <w:p w:rsidR="00004EB2" w:rsidRPr="00FC27C8" w:rsidRDefault="00004EB2" w:rsidP="00934ADE">
      <w:pPr>
        <w:tabs>
          <w:tab w:val="left" w:pos="10440"/>
        </w:tabs>
        <w:spacing w:line="360" w:lineRule="auto"/>
        <w:ind w:firstLineChars="200" w:firstLine="482"/>
        <w:jc w:val="center"/>
        <w:rPr>
          <w:b/>
          <w:bCs/>
          <w:color w:val="000000"/>
          <w:sz w:val="24"/>
          <w:szCs w:val="24"/>
        </w:rPr>
      </w:pPr>
    </w:p>
    <w:p w:rsidR="00004EB2" w:rsidRPr="00FA0680" w:rsidRDefault="00004EB2" w:rsidP="00934ADE">
      <w:pPr>
        <w:tabs>
          <w:tab w:val="left" w:pos="10440"/>
        </w:tabs>
        <w:spacing w:line="360" w:lineRule="auto"/>
        <w:ind w:firstLineChars="200" w:firstLine="480"/>
        <w:rPr>
          <w:color w:val="000000"/>
          <w:sz w:val="24"/>
          <w:szCs w:val="24"/>
        </w:rPr>
      </w:pPr>
      <w:r w:rsidRPr="00FA0680">
        <w:rPr>
          <w:rFonts w:hAnsi="宋体" w:cs="宋体" w:hint="eastAsia"/>
          <w:color w:val="000000"/>
          <w:sz w:val="24"/>
          <w:szCs w:val="24"/>
        </w:rPr>
        <w:t>华夏基金管理有限公司（以下简称</w:t>
      </w:r>
      <w:r w:rsidRPr="00FA0680">
        <w:rPr>
          <w:rFonts w:ascii="宋体" w:cs="宋体" w:hint="eastAsia"/>
          <w:color w:val="000000"/>
          <w:sz w:val="24"/>
          <w:szCs w:val="24"/>
        </w:rPr>
        <w:t>“</w:t>
      </w:r>
      <w:r w:rsidRPr="00FA0680">
        <w:rPr>
          <w:rFonts w:ascii="宋体" w:hAnsi="宋体" w:cs="宋体" w:hint="eastAsia"/>
          <w:color w:val="000000"/>
          <w:sz w:val="24"/>
          <w:szCs w:val="24"/>
        </w:rPr>
        <w:t>本公司</w:t>
      </w:r>
      <w:r w:rsidRPr="00FA0680">
        <w:rPr>
          <w:rFonts w:ascii="宋体" w:cs="宋体" w:hint="eastAsia"/>
          <w:color w:val="000000"/>
          <w:sz w:val="24"/>
          <w:szCs w:val="24"/>
        </w:rPr>
        <w:t>”</w:t>
      </w:r>
      <w:r w:rsidRPr="00FA0680">
        <w:rPr>
          <w:rFonts w:hAnsi="宋体" w:cs="宋体" w:hint="eastAsia"/>
          <w:color w:val="000000"/>
          <w:sz w:val="24"/>
          <w:szCs w:val="24"/>
        </w:rPr>
        <w:t>）旗下</w:t>
      </w:r>
      <w:r w:rsidRPr="00FA0680">
        <w:rPr>
          <w:rStyle w:val="apple-style-span"/>
          <w:rFonts w:hAnsi="宋体" w:cs="宋体" w:hint="eastAsia"/>
          <w:color w:val="000000"/>
          <w:sz w:val="24"/>
          <w:szCs w:val="24"/>
        </w:rPr>
        <w:t>基金</w:t>
      </w:r>
      <w:r w:rsidRPr="00FA0680">
        <w:rPr>
          <w:rFonts w:hAnsi="宋体" w:cs="宋体" w:hint="eastAsia"/>
          <w:color w:val="000000"/>
          <w:sz w:val="24"/>
          <w:szCs w:val="24"/>
        </w:rPr>
        <w:t>参加</w:t>
      </w:r>
      <w:r w:rsidRPr="00FA0680">
        <w:rPr>
          <w:rStyle w:val="apple-style-span"/>
          <w:rFonts w:cs="宋体" w:hint="eastAsia"/>
          <w:sz w:val="24"/>
          <w:szCs w:val="24"/>
        </w:rPr>
        <w:t>了</w:t>
      </w:r>
      <w:r w:rsidR="00B3209A">
        <w:rPr>
          <w:rStyle w:val="apple-style-span"/>
          <w:rFonts w:cs="宋体" w:hint="eastAsia"/>
          <w:sz w:val="24"/>
          <w:szCs w:val="24"/>
        </w:rPr>
        <w:t>苏州科斯伍德油墨</w:t>
      </w:r>
      <w:r w:rsidR="008D6ADC">
        <w:rPr>
          <w:rStyle w:val="apple-style-span"/>
          <w:rFonts w:cs="宋体" w:hint="eastAsia"/>
          <w:sz w:val="24"/>
          <w:szCs w:val="24"/>
        </w:rPr>
        <w:t>股份有限公司</w:t>
      </w:r>
      <w:r w:rsidR="00227CEB" w:rsidRPr="00FA0680">
        <w:rPr>
          <w:rFonts w:hAnsi="宋体" w:cs="宋体" w:hint="eastAsia"/>
          <w:color w:val="000000"/>
          <w:sz w:val="24"/>
          <w:szCs w:val="24"/>
        </w:rPr>
        <w:t>（</w:t>
      </w:r>
      <w:r w:rsidR="00820A37">
        <w:rPr>
          <w:rFonts w:hAnsi="宋体" w:cs="宋体" w:hint="eastAsia"/>
          <w:color w:val="000000"/>
          <w:sz w:val="24"/>
          <w:szCs w:val="24"/>
        </w:rPr>
        <w:t>证券简称：</w:t>
      </w:r>
      <w:r w:rsidR="00B3209A">
        <w:rPr>
          <w:rFonts w:hint="eastAsia"/>
          <w:sz w:val="24"/>
          <w:szCs w:val="24"/>
        </w:rPr>
        <w:t>科斯伍德</w:t>
      </w:r>
      <w:r w:rsidR="00E318E6">
        <w:rPr>
          <w:rStyle w:val="apple-style-span"/>
          <w:rFonts w:cs="宋体" w:hint="eastAsia"/>
          <w:sz w:val="24"/>
          <w:szCs w:val="24"/>
        </w:rPr>
        <w:t>，</w:t>
      </w:r>
      <w:r w:rsidRPr="00FA0680">
        <w:rPr>
          <w:rStyle w:val="apple-style-span"/>
          <w:rFonts w:cs="宋体" w:hint="eastAsia"/>
          <w:sz w:val="24"/>
          <w:szCs w:val="24"/>
        </w:rPr>
        <w:t>代码</w:t>
      </w:r>
      <w:r w:rsidR="004D2767">
        <w:rPr>
          <w:rStyle w:val="apple-style-span"/>
          <w:rFonts w:cs="宋体" w:hint="eastAsia"/>
          <w:sz w:val="24"/>
          <w:szCs w:val="24"/>
        </w:rPr>
        <w:t>：</w:t>
      </w:r>
      <w:r w:rsidR="00B3209A">
        <w:rPr>
          <w:rStyle w:val="apple-style-span"/>
          <w:sz w:val="24"/>
          <w:szCs w:val="24"/>
        </w:rPr>
        <w:t>300192</w:t>
      </w:r>
      <w:r w:rsidRPr="00FA0680">
        <w:rPr>
          <w:rStyle w:val="apple-style-span"/>
          <w:rFonts w:cs="宋体" w:hint="eastAsia"/>
          <w:sz w:val="24"/>
          <w:szCs w:val="24"/>
        </w:rPr>
        <w:t>）</w:t>
      </w:r>
      <w:r w:rsidRPr="00FA0680">
        <w:rPr>
          <w:rFonts w:hAnsi="宋体" w:cs="宋体" w:hint="eastAsia"/>
          <w:color w:val="000000"/>
          <w:sz w:val="24"/>
          <w:szCs w:val="24"/>
        </w:rPr>
        <w:t>非公开发行</w:t>
      </w:r>
      <w:r w:rsidR="00B3209A">
        <w:rPr>
          <w:rFonts w:hAnsi="宋体" w:cs="宋体" w:hint="eastAsia"/>
          <w:color w:val="000000"/>
          <w:sz w:val="24"/>
          <w:szCs w:val="24"/>
        </w:rPr>
        <w:t>人民币普通股（</w:t>
      </w:r>
      <w:r w:rsidR="00534ECA">
        <w:rPr>
          <w:rFonts w:hAnsi="宋体" w:cs="宋体" w:hint="eastAsia"/>
          <w:color w:val="000000"/>
          <w:sz w:val="24"/>
          <w:szCs w:val="24"/>
        </w:rPr>
        <w:t>A</w:t>
      </w:r>
      <w:r w:rsidR="00534ECA">
        <w:rPr>
          <w:rFonts w:hAnsi="宋体" w:cs="宋体" w:hint="eastAsia"/>
          <w:color w:val="000000"/>
          <w:sz w:val="24"/>
          <w:szCs w:val="24"/>
        </w:rPr>
        <w:t>股</w:t>
      </w:r>
      <w:r w:rsidR="00B3209A">
        <w:rPr>
          <w:rFonts w:hAnsi="宋体" w:cs="宋体" w:hint="eastAsia"/>
          <w:color w:val="000000"/>
          <w:sz w:val="24"/>
          <w:szCs w:val="24"/>
        </w:rPr>
        <w:t>）</w:t>
      </w:r>
      <w:r w:rsidRPr="00FA0680">
        <w:rPr>
          <w:rFonts w:hAnsi="宋体" w:cs="宋体" w:hint="eastAsia"/>
          <w:color w:val="000000"/>
          <w:sz w:val="24"/>
          <w:szCs w:val="24"/>
        </w:rPr>
        <w:t>的认购</w:t>
      </w:r>
      <w:r w:rsidRPr="00FA0680">
        <w:rPr>
          <w:rFonts w:hAnsi="宋体" w:cs="宋体" w:hint="eastAsia"/>
          <w:sz w:val="24"/>
          <w:szCs w:val="24"/>
        </w:rPr>
        <w:t>。</w:t>
      </w:r>
      <w:r w:rsidR="00B3209A">
        <w:rPr>
          <w:rStyle w:val="apple-style-span"/>
          <w:rFonts w:cs="宋体" w:hint="eastAsia"/>
          <w:sz w:val="24"/>
          <w:szCs w:val="24"/>
        </w:rPr>
        <w:t>苏州科斯伍德油墨股份有限公司</w:t>
      </w:r>
      <w:r w:rsidRPr="00FA0680">
        <w:rPr>
          <w:rFonts w:hAnsi="宋体" w:cs="宋体" w:hint="eastAsia"/>
          <w:sz w:val="24"/>
          <w:szCs w:val="24"/>
        </w:rPr>
        <w:t>已发</w:t>
      </w:r>
      <w:r w:rsidRPr="00FA0680">
        <w:rPr>
          <w:rFonts w:hAnsi="宋体" w:cs="宋体" w:hint="eastAsia"/>
          <w:color w:val="000000"/>
          <w:sz w:val="24"/>
          <w:szCs w:val="24"/>
        </w:rPr>
        <w:t>布</w:t>
      </w:r>
      <w:r w:rsidR="0039754A" w:rsidRPr="00FA0680">
        <w:rPr>
          <w:rFonts w:hAnsi="宋体" w:cs="宋体" w:hint="eastAsia"/>
          <w:color w:val="000000"/>
          <w:sz w:val="24"/>
          <w:szCs w:val="24"/>
        </w:rPr>
        <w:t>《</w:t>
      </w:r>
      <w:r w:rsidR="00B3209A">
        <w:rPr>
          <w:rStyle w:val="apple-style-span"/>
          <w:rFonts w:cs="宋体" w:hint="eastAsia"/>
          <w:sz w:val="24"/>
          <w:szCs w:val="24"/>
        </w:rPr>
        <w:t>苏州科斯伍德油墨股份有限公司</w:t>
      </w:r>
      <w:r w:rsidR="00B3209A" w:rsidRPr="00836ECC">
        <w:rPr>
          <w:rFonts w:hint="eastAsia"/>
          <w:sz w:val="24"/>
          <w:szCs w:val="24"/>
        </w:rPr>
        <w:t>发行股份、可转换公司债券及支付现金购买资金并募集配套资金暨关联交易之募集配套资金非公开发行股票发行情况报告书》</w:t>
      </w:r>
      <w:r w:rsidRPr="00836ECC">
        <w:rPr>
          <w:rFonts w:hAnsi="宋体" w:cs="宋体" w:hint="eastAsia"/>
          <w:sz w:val="24"/>
          <w:szCs w:val="24"/>
        </w:rPr>
        <w:t>，公布</w:t>
      </w:r>
      <w:r w:rsidRPr="00FA0680">
        <w:rPr>
          <w:rFonts w:hAnsi="宋体" w:cs="宋体" w:hint="eastAsia"/>
          <w:color w:val="000000"/>
          <w:sz w:val="24"/>
          <w:szCs w:val="24"/>
        </w:rPr>
        <w:t>了本次非公开发行结果。根据中国证监会《关于基金投资非公开发行股票等流通受限证券有关问题的通知》等有关规定，本公司现将</w:t>
      </w:r>
      <w:r w:rsidRPr="00FA0680">
        <w:rPr>
          <w:rStyle w:val="apple-style-span"/>
          <w:rFonts w:hAnsi="宋体" w:cs="宋体" w:hint="eastAsia"/>
          <w:color w:val="000000"/>
          <w:sz w:val="24"/>
          <w:szCs w:val="24"/>
        </w:rPr>
        <w:t>旗下</w:t>
      </w:r>
      <w:r w:rsidR="00E05F3F">
        <w:rPr>
          <w:rStyle w:val="apple-style-span"/>
          <w:rFonts w:hAnsi="宋体" w:cs="宋体" w:hint="eastAsia"/>
          <w:color w:val="000000"/>
          <w:sz w:val="24"/>
          <w:szCs w:val="24"/>
        </w:rPr>
        <w:t>公募</w:t>
      </w:r>
      <w:r w:rsidRPr="00FA0680">
        <w:rPr>
          <w:rStyle w:val="apple-style-span"/>
          <w:rFonts w:hAnsi="宋体" w:cs="宋体" w:hint="eastAsia"/>
          <w:color w:val="000000"/>
          <w:sz w:val="24"/>
          <w:szCs w:val="24"/>
        </w:rPr>
        <w:t>基金</w:t>
      </w:r>
      <w:r w:rsidRPr="00FA0680">
        <w:rPr>
          <w:rFonts w:hAnsi="宋体" w:cs="宋体" w:hint="eastAsia"/>
          <w:color w:val="000000"/>
          <w:sz w:val="24"/>
          <w:szCs w:val="24"/>
        </w:rPr>
        <w:t>投资</w:t>
      </w:r>
      <w:r w:rsidR="00B3209A">
        <w:rPr>
          <w:rStyle w:val="apple-style-span"/>
          <w:rFonts w:cs="宋体" w:hint="eastAsia"/>
          <w:sz w:val="24"/>
          <w:szCs w:val="24"/>
        </w:rPr>
        <w:t>苏州科斯伍德油墨股份有限公司</w:t>
      </w:r>
      <w:r w:rsidR="00737DA6">
        <w:rPr>
          <w:rFonts w:hint="eastAsia"/>
          <w:sz w:val="24"/>
          <w:szCs w:val="24"/>
        </w:rPr>
        <w:t>本次</w:t>
      </w:r>
      <w:r w:rsidRPr="00FA0680">
        <w:rPr>
          <w:rFonts w:hAnsi="宋体" w:cs="宋体" w:hint="eastAsia"/>
          <w:color w:val="000000"/>
          <w:sz w:val="24"/>
          <w:szCs w:val="24"/>
        </w:rPr>
        <w:t>非公开发行</w:t>
      </w:r>
      <w:r w:rsidR="00B3209A">
        <w:rPr>
          <w:rFonts w:hAnsi="宋体" w:cs="宋体" w:hint="eastAsia"/>
          <w:color w:val="000000"/>
          <w:sz w:val="24"/>
          <w:szCs w:val="24"/>
        </w:rPr>
        <w:t>人民币普通股（</w:t>
      </w:r>
      <w:r w:rsidR="00B3209A">
        <w:rPr>
          <w:rFonts w:hAnsi="宋体" w:cs="宋体" w:hint="eastAsia"/>
          <w:color w:val="000000"/>
          <w:sz w:val="24"/>
          <w:szCs w:val="24"/>
        </w:rPr>
        <w:t>A</w:t>
      </w:r>
      <w:r w:rsidR="00B3209A">
        <w:rPr>
          <w:rFonts w:hAnsi="宋体" w:cs="宋体" w:hint="eastAsia"/>
          <w:color w:val="000000"/>
          <w:sz w:val="24"/>
          <w:szCs w:val="24"/>
        </w:rPr>
        <w:t>股）</w:t>
      </w:r>
      <w:r w:rsidRPr="00FA0680">
        <w:rPr>
          <w:rFonts w:hAnsi="宋体" w:cs="宋体" w:hint="eastAsia"/>
          <w:color w:val="000000"/>
          <w:sz w:val="24"/>
          <w:szCs w:val="24"/>
        </w:rPr>
        <w:t>的相关信息公告如下：</w:t>
      </w:r>
    </w:p>
    <w:tbl>
      <w:tblPr>
        <w:tblW w:w="149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7"/>
        <w:gridCol w:w="1651"/>
        <w:gridCol w:w="1778"/>
        <w:gridCol w:w="1540"/>
        <w:gridCol w:w="1847"/>
        <w:gridCol w:w="1703"/>
        <w:gridCol w:w="1468"/>
      </w:tblGrid>
      <w:tr w:rsidR="00004EB2" w:rsidRPr="00FA0680" w:rsidTr="00E54CA2">
        <w:tc>
          <w:tcPr>
            <w:tcW w:w="4917" w:type="dxa"/>
          </w:tcPr>
          <w:p w:rsidR="00004EB2" w:rsidRPr="00FA0680" w:rsidRDefault="00004EB2" w:rsidP="009D3453">
            <w:pPr>
              <w:tabs>
                <w:tab w:val="left" w:pos="10440"/>
              </w:tabs>
              <w:spacing w:line="360" w:lineRule="auto"/>
              <w:jc w:val="center"/>
              <w:rPr>
                <w:color w:val="000000"/>
              </w:rPr>
            </w:pPr>
            <w:bookmarkStart w:id="2" w:name="OLE_LINK17"/>
            <w:bookmarkStart w:id="3" w:name="OLE_LINK18"/>
            <w:r w:rsidRPr="00FA0680">
              <w:rPr>
                <w:rFonts w:hAnsi="宋体" w:cs="宋体" w:hint="eastAsia"/>
                <w:color w:val="000000"/>
              </w:rPr>
              <w:t>基金名称</w:t>
            </w:r>
          </w:p>
        </w:tc>
        <w:tc>
          <w:tcPr>
            <w:tcW w:w="1651" w:type="dxa"/>
          </w:tcPr>
          <w:p w:rsidR="00004EB2" w:rsidRPr="00FA0680" w:rsidRDefault="00004EB2" w:rsidP="009D3453">
            <w:pPr>
              <w:tabs>
                <w:tab w:val="left" w:pos="10440"/>
              </w:tabs>
              <w:spacing w:line="360" w:lineRule="auto"/>
              <w:jc w:val="center"/>
              <w:rPr>
                <w:color w:val="000000"/>
              </w:rPr>
            </w:pPr>
            <w:r w:rsidRPr="00FA0680">
              <w:rPr>
                <w:rFonts w:hAnsi="宋体" w:cs="宋体" w:hint="eastAsia"/>
                <w:color w:val="000000"/>
              </w:rPr>
              <w:t>认购数量（股）</w:t>
            </w:r>
          </w:p>
        </w:tc>
        <w:tc>
          <w:tcPr>
            <w:tcW w:w="1778" w:type="dxa"/>
          </w:tcPr>
          <w:p w:rsidR="00004EB2" w:rsidRPr="00FA0680" w:rsidRDefault="00004EB2" w:rsidP="009D3453">
            <w:pPr>
              <w:tabs>
                <w:tab w:val="left" w:pos="10440"/>
              </w:tabs>
              <w:spacing w:line="360" w:lineRule="auto"/>
              <w:jc w:val="center"/>
              <w:rPr>
                <w:color w:val="000000"/>
              </w:rPr>
            </w:pPr>
            <w:r w:rsidRPr="00FA0680">
              <w:rPr>
                <w:rFonts w:hAnsi="宋体" w:cs="宋体" w:hint="eastAsia"/>
                <w:color w:val="000000"/>
              </w:rPr>
              <w:t>总成本（元）</w:t>
            </w:r>
          </w:p>
        </w:tc>
        <w:tc>
          <w:tcPr>
            <w:tcW w:w="1540" w:type="dxa"/>
          </w:tcPr>
          <w:p w:rsidR="00004EB2" w:rsidRPr="00FA0680" w:rsidRDefault="00004EB2" w:rsidP="009D3453">
            <w:pPr>
              <w:tabs>
                <w:tab w:val="left" w:pos="10440"/>
              </w:tabs>
              <w:spacing w:line="360" w:lineRule="auto"/>
              <w:jc w:val="center"/>
              <w:rPr>
                <w:rFonts w:hAnsi="宋体"/>
                <w:color w:val="000000"/>
              </w:rPr>
            </w:pPr>
            <w:r w:rsidRPr="00FA0680">
              <w:rPr>
                <w:rFonts w:hAnsi="宋体" w:cs="宋体" w:hint="eastAsia"/>
                <w:color w:val="000000"/>
              </w:rPr>
              <w:t>总成本占基金</w:t>
            </w:r>
          </w:p>
          <w:p w:rsidR="00004EB2" w:rsidRPr="00FA0680" w:rsidRDefault="00004EB2" w:rsidP="009D3453">
            <w:pPr>
              <w:tabs>
                <w:tab w:val="left" w:pos="10440"/>
              </w:tabs>
              <w:spacing w:line="360" w:lineRule="auto"/>
              <w:jc w:val="center"/>
              <w:rPr>
                <w:color w:val="000000"/>
              </w:rPr>
            </w:pPr>
            <w:r w:rsidRPr="00FA0680">
              <w:rPr>
                <w:rFonts w:hAnsi="宋体" w:cs="宋体" w:hint="eastAsia"/>
                <w:color w:val="000000"/>
              </w:rPr>
              <w:t>资产净值比例</w:t>
            </w:r>
          </w:p>
        </w:tc>
        <w:tc>
          <w:tcPr>
            <w:tcW w:w="1847" w:type="dxa"/>
          </w:tcPr>
          <w:p w:rsidR="00004EB2" w:rsidRPr="00FA0680" w:rsidRDefault="00004EB2" w:rsidP="009D3453">
            <w:pPr>
              <w:tabs>
                <w:tab w:val="left" w:pos="10440"/>
              </w:tabs>
              <w:spacing w:line="360" w:lineRule="auto"/>
              <w:jc w:val="center"/>
              <w:rPr>
                <w:color w:val="000000"/>
              </w:rPr>
            </w:pPr>
            <w:r w:rsidRPr="00FA0680">
              <w:rPr>
                <w:rFonts w:hAnsi="宋体" w:cs="宋体" w:hint="eastAsia"/>
                <w:color w:val="000000"/>
              </w:rPr>
              <w:t>账面价值（元）</w:t>
            </w:r>
          </w:p>
        </w:tc>
        <w:tc>
          <w:tcPr>
            <w:tcW w:w="1703" w:type="dxa"/>
          </w:tcPr>
          <w:p w:rsidR="00004EB2" w:rsidRPr="00FA0680" w:rsidRDefault="00004EB2" w:rsidP="009D3453">
            <w:pPr>
              <w:tabs>
                <w:tab w:val="left" w:pos="10440"/>
              </w:tabs>
              <w:spacing w:line="360" w:lineRule="auto"/>
              <w:jc w:val="center"/>
              <w:rPr>
                <w:color w:val="000000"/>
              </w:rPr>
            </w:pPr>
            <w:r w:rsidRPr="00FA0680">
              <w:rPr>
                <w:rFonts w:hAnsi="宋体" w:cs="宋体" w:hint="eastAsia"/>
                <w:color w:val="000000"/>
              </w:rPr>
              <w:t>账面价值占基金资产净值比例</w:t>
            </w:r>
          </w:p>
        </w:tc>
        <w:tc>
          <w:tcPr>
            <w:tcW w:w="1468" w:type="dxa"/>
          </w:tcPr>
          <w:p w:rsidR="00004EB2" w:rsidRPr="00FA0680" w:rsidRDefault="00004EB2" w:rsidP="009D3453">
            <w:pPr>
              <w:tabs>
                <w:tab w:val="left" w:pos="10440"/>
              </w:tabs>
              <w:spacing w:line="360" w:lineRule="auto"/>
              <w:jc w:val="center"/>
              <w:rPr>
                <w:color w:val="000000"/>
              </w:rPr>
            </w:pPr>
            <w:r w:rsidRPr="00FA0680">
              <w:rPr>
                <w:rFonts w:hAnsi="宋体" w:cs="宋体" w:hint="eastAsia"/>
                <w:color w:val="000000"/>
              </w:rPr>
              <w:t>限售期</w:t>
            </w:r>
          </w:p>
        </w:tc>
      </w:tr>
      <w:tr w:rsidR="00436DDA" w:rsidRPr="00FA0680" w:rsidTr="00E54CA2">
        <w:tc>
          <w:tcPr>
            <w:tcW w:w="4917" w:type="dxa"/>
          </w:tcPr>
          <w:p w:rsidR="00436DDA" w:rsidRPr="00C0255D" w:rsidRDefault="00436DDA" w:rsidP="00C0255D">
            <w:pPr>
              <w:jc w:val="left"/>
            </w:pPr>
            <w:r w:rsidRPr="00A60930">
              <w:rPr>
                <w:rFonts w:hint="eastAsia"/>
              </w:rPr>
              <w:t>华夏盛世精选混合型证券投资基金</w:t>
            </w:r>
          </w:p>
        </w:tc>
        <w:tc>
          <w:tcPr>
            <w:tcW w:w="1651" w:type="dxa"/>
            <w:vAlign w:val="center"/>
          </w:tcPr>
          <w:p w:rsidR="00436DDA" w:rsidRPr="00E86285" w:rsidRDefault="00436DDA" w:rsidP="00836ECC">
            <w:pPr>
              <w:pStyle w:val="Default"/>
              <w:jc w:val="right"/>
            </w:pPr>
            <w:r>
              <w:rPr>
                <w:sz w:val="21"/>
                <w:szCs w:val="21"/>
              </w:rPr>
              <w:t xml:space="preserve">740,741 </w:t>
            </w:r>
          </w:p>
        </w:tc>
        <w:tc>
          <w:tcPr>
            <w:tcW w:w="1778" w:type="dxa"/>
            <w:vAlign w:val="center"/>
          </w:tcPr>
          <w:p w:rsidR="00436DDA" w:rsidRPr="00E86285" w:rsidRDefault="00436DDA" w:rsidP="0088011D">
            <w:pPr>
              <w:tabs>
                <w:tab w:val="left" w:pos="10440"/>
              </w:tabs>
              <w:spacing w:line="360" w:lineRule="auto"/>
              <w:jc w:val="right"/>
              <w:rPr>
                <w:color w:val="000000"/>
              </w:rPr>
            </w:pPr>
            <w:r>
              <w:rPr>
                <w:rFonts w:hint="eastAsia"/>
                <w:color w:val="000000"/>
              </w:rPr>
              <w:t>10,000,003.5</w:t>
            </w:r>
            <w:r w:rsidR="00EA6537">
              <w:rPr>
                <w:color w:val="000000"/>
              </w:rPr>
              <w:t>0</w:t>
            </w:r>
          </w:p>
        </w:tc>
        <w:tc>
          <w:tcPr>
            <w:tcW w:w="1540" w:type="dxa"/>
            <w:vAlign w:val="center"/>
          </w:tcPr>
          <w:p w:rsidR="00436DDA" w:rsidRPr="00E86285" w:rsidRDefault="00436DDA" w:rsidP="00EA6537">
            <w:pPr>
              <w:tabs>
                <w:tab w:val="left" w:pos="10440"/>
              </w:tabs>
              <w:spacing w:line="360" w:lineRule="auto"/>
              <w:jc w:val="right"/>
              <w:rPr>
                <w:color w:val="000000"/>
              </w:rPr>
            </w:pPr>
            <w:r>
              <w:rPr>
                <w:rFonts w:hint="eastAsia"/>
                <w:color w:val="000000"/>
              </w:rPr>
              <w:t>0.94%</w:t>
            </w:r>
          </w:p>
        </w:tc>
        <w:tc>
          <w:tcPr>
            <w:tcW w:w="1847" w:type="dxa"/>
            <w:vAlign w:val="center"/>
          </w:tcPr>
          <w:p w:rsidR="00436DDA" w:rsidRPr="00E86285" w:rsidRDefault="00436DDA" w:rsidP="0088011D">
            <w:pPr>
              <w:tabs>
                <w:tab w:val="left" w:pos="10440"/>
              </w:tabs>
              <w:spacing w:line="360" w:lineRule="auto"/>
              <w:jc w:val="right"/>
              <w:rPr>
                <w:color w:val="000000"/>
              </w:rPr>
            </w:pPr>
            <w:r>
              <w:rPr>
                <w:rFonts w:hint="eastAsia"/>
                <w:color w:val="000000"/>
              </w:rPr>
              <w:t>11,622,226.29</w:t>
            </w:r>
          </w:p>
        </w:tc>
        <w:tc>
          <w:tcPr>
            <w:tcW w:w="1703" w:type="dxa"/>
            <w:vAlign w:val="center"/>
          </w:tcPr>
          <w:p w:rsidR="00436DDA" w:rsidRPr="00E86285" w:rsidRDefault="00436DDA" w:rsidP="00EA6537">
            <w:pPr>
              <w:tabs>
                <w:tab w:val="left" w:pos="10440"/>
              </w:tabs>
              <w:spacing w:line="360" w:lineRule="auto"/>
              <w:jc w:val="right"/>
              <w:rPr>
                <w:color w:val="000000"/>
              </w:rPr>
            </w:pPr>
            <w:r>
              <w:rPr>
                <w:rFonts w:hint="eastAsia"/>
                <w:color w:val="000000"/>
              </w:rPr>
              <w:t>1.</w:t>
            </w:r>
            <w:r w:rsidR="00EA6537">
              <w:rPr>
                <w:rFonts w:hint="eastAsia"/>
                <w:color w:val="000000"/>
              </w:rPr>
              <w:t>0</w:t>
            </w:r>
            <w:r w:rsidR="00EA6537">
              <w:rPr>
                <w:color w:val="000000"/>
              </w:rPr>
              <w:t>9</w:t>
            </w:r>
            <w:r>
              <w:rPr>
                <w:rFonts w:hint="eastAsia"/>
                <w:color w:val="000000"/>
              </w:rPr>
              <w:t>%</w:t>
            </w:r>
          </w:p>
        </w:tc>
        <w:tc>
          <w:tcPr>
            <w:tcW w:w="1468" w:type="dxa"/>
            <w:vAlign w:val="center"/>
          </w:tcPr>
          <w:p w:rsidR="00436DDA" w:rsidRPr="00FA0680" w:rsidRDefault="00436DDA" w:rsidP="0088011D">
            <w:pPr>
              <w:tabs>
                <w:tab w:val="left" w:pos="10440"/>
              </w:tabs>
              <w:spacing w:line="360" w:lineRule="auto"/>
              <w:jc w:val="right"/>
              <w:rPr>
                <w:rFonts w:hAnsi="宋体" w:cs="宋体"/>
                <w:color w:val="000000"/>
              </w:rPr>
            </w:pPr>
            <w:r>
              <w:t>6</w:t>
            </w:r>
            <w:r w:rsidRPr="00F863D3">
              <w:t>个月</w:t>
            </w:r>
          </w:p>
        </w:tc>
      </w:tr>
      <w:tr w:rsidR="00392487" w:rsidRPr="00FA0680" w:rsidTr="00E54CA2">
        <w:trPr>
          <w:trHeight w:val="555"/>
        </w:trPr>
        <w:tc>
          <w:tcPr>
            <w:tcW w:w="4917" w:type="dxa"/>
            <w:vAlign w:val="center"/>
          </w:tcPr>
          <w:p w:rsidR="00392487" w:rsidRPr="00B3209A" w:rsidDel="007146CE" w:rsidRDefault="00B3209A" w:rsidP="00836ECC">
            <w:pPr>
              <w:pStyle w:val="Default"/>
            </w:pPr>
            <w:r>
              <w:rPr>
                <w:rFonts w:hint="eastAsia"/>
                <w:sz w:val="21"/>
                <w:szCs w:val="21"/>
              </w:rPr>
              <w:t>华夏消费升级灵活配置混合型证券投资基金</w:t>
            </w:r>
          </w:p>
        </w:tc>
        <w:tc>
          <w:tcPr>
            <w:tcW w:w="1651" w:type="dxa"/>
            <w:vAlign w:val="center"/>
          </w:tcPr>
          <w:p w:rsidR="00392487" w:rsidRPr="00E86285" w:rsidRDefault="00B3209A" w:rsidP="00B3209A">
            <w:pPr>
              <w:pStyle w:val="Default"/>
              <w:jc w:val="right"/>
              <w:rPr>
                <w:kern w:val="2"/>
                <w:sz w:val="21"/>
                <w:szCs w:val="21"/>
              </w:rPr>
            </w:pPr>
            <w:r>
              <w:rPr>
                <w:sz w:val="21"/>
                <w:szCs w:val="21"/>
              </w:rPr>
              <w:t>1,407,407</w:t>
            </w:r>
          </w:p>
        </w:tc>
        <w:tc>
          <w:tcPr>
            <w:tcW w:w="1778" w:type="dxa"/>
            <w:vAlign w:val="center"/>
          </w:tcPr>
          <w:p w:rsidR="00392487" w:rsidRPr="00E86285" w:rsidRDefault="003420AD" w:rsidP="0088011D">
            <w:pPr>
              <w:pStyle w:val="Default"/>
              <w:jc w:val="right"/>
              <w:rPr>
                <w:kern w:val="2"/>
                <w:sz w:val="21"/>
                <w:szCs w:val="21"/>
              </w:rPr>
            </w:pPr>
            <w:r w:rsidRPr="003420AD">
              <w:rPr>
                <w:kern w:val="2"/>
                <w:sz w:val="21"/>
                <w:szCs w:val="21"/>
              </w:rPr>
              <w:t>18</w:t>
            </w:r>
            <w:r w:rsidR="00EA6537">
              <w:rPr>
                <w:kern w:val="2"/>
                <w:sz w:val="21"/>
                <w:szCs w:val="21"/>
              </w:rPr>
              <w:t>,</w:t>
            </w:r>
            <w:r w:rsidRPr="003420AD">
              <w:rPr>
                <w:kern w:val="2"/>
                <w:sz w:val="21"/>
                <w:szCs w:val="21"/>
              </w:rPr>
              <w:t>999</w:t>
            </w:r>
            <w:r w:rsidR="00EA6537">
              <w:rPr>
                <w:rFonts w:hint="eastAsia"/>
                <w:kern w:val="2"/>
                <w:sz w:val="21"/>
                <w:szCs w:val="21"/>
              </w:rPr>
              <w:t>,</w:t>
            </w:r>
            <w:r w:rsidRPr="003420AD">
              <w:rPr>
                <w:kern w:val="2"/>
                <w:sz w:val="21"/>
                <w:szCs w:val="21"/>
              </w:rPr>
              <w:t>994.50</w:t>
            </w:r>
          </w:p>
        </w:tc>
        <w:tc>
          <w:tcPr>
            <w:tcW w:w="1540" w:type="dxa"/>
            <w:vAlign w:val="center"/>
          </w:tcPr>
          <w:p w:rsidR="00392487" w:rsidRPr="00E86285" w:rsidRDefault="003420AD" w:rsidP="00EA6537">
            <w:pPr>
              <w:tabs>
                <w:tab w:val="left" w:pos="10440"/>
              </w:tabs>
              <w:jc w:val="right"/>
              <w:rPr>
                <w:color w:val="000000"/>
              </w:rPr>
            </w:pPr>
            <w:r w:rsidRPr="003420AD">
              <w:rPr>
                <w:color w:val="000000"/>
              </w:rPr>
              <w:t>1.84%</w:t>
            </w:r>
          </w:p>
        </w:tc>
        <w:tc>
          <w:tcPr>
            <w:tcW w:w="1847" w:type="dxa"/>
            <w:vAlign w:val="center"/>
          </w:tcPr>
          <w:p w:rsidR="00392487" w:rsidRPr="00E86285" w:rsidRDefault="003420AD" w:rsidP="0088011D">
            <w:pPr>
              <w:tabs>
                <w:tab w:val="left" w:pos="10440"/>
              </w:tabs>
              <w:jc w:val="right"/>
              <w:rPr>
                <w:color w:val="000000"/>
              </w:rPr>
            </w:pPr>
            <w:r w:rsidRPr="003420AD">
              <w:rPr>
                <w:color w:val="000000"/>
              </w:rPr>
              <w:t>22</w:t>
            </w:r>
            <w:r w:rsidR="00EA6537">
              <w:rPr>
                <w:color w:val="000000"/>
              </w:rPr>
              <w:t>,</w:t>
            </w:r>
            <w:r w:rsidRPr="003420AD">
              <w:rPr>
                <w:color w:val="000000"/>
              </w:rPr>
              <w:t>082</w:t>
            </w:r>
            <w:r w:rsidR="00EA6537">
              <w:rPr>
                <w:color w:val="000000"/>
              </w:rPr>
              <w:t>,</w:t>
            </w:r>
            <w:r w:rsidRPr="003420AD">
              <w:rPr>
                <w:color w:val="000000"/>
              </w:rPr>
              <w:t>215.83</w:t>
            </w:r>
          </w:p>
        </w:tc>
        <w:tc>
          <w:tcPr>
            <w:tcW w:w="1703" w:type="dxa"/>
            <w:vAlign w:val="center"/>
          </w:tcPr>
          <w:p w:rsidR="00392487" w:rsidRPr="00E86285" w:rsidRDefault="003420AD" w:rsidP="00EA6537">
            <w:pPr>
              <w:tabs>
                <w:tab w:val="left" w:pos="10440"/>
              </w:tabs>
              <w:jc w:val="right"/>
              <w:rPr>
                <w:color w:val="000000"/>
              </w:rPr>
            </w:pPr>
            <w:r w:rsidRPr="003420AD">
              <w:rPr>
                <w:color w:val="000000"/>
              </w:rPr>
              <w:t>2.14%</w:t>
            </w:r>
          </w:p>
        </w:tc>
        <w:tc>
          <w:tcPr>
            <w:tcW w:w="1468" w:type="dxa"/>
            <w:vAlign w:val="center"/>
          </w:tcPr>
          <w:p w:rsidR="00392487" w:rsidRPr="00F863D3" w:rsidRDefault="00B3209A" w:rsidP="0088011D">
            <w:pPr>
              <w:jc w:val="right"/>
            </w:pPr>
            <w:r>
              <w:t>6</w:t>
            </w:r>
            <w:r w:rsidR="00392487" w:rsidRPr="00F863D3">
              <w:t>个月</w:t>
            </w:r>
          </w:p>
        </w:tc>
      </w:tr>
    </w:tbl>
    <w:bookmarkEnd w:id="2"/>
    <w:bookmarkEnd w:id="3"/>
    <w:p w:rsidR="00004EB2" w:rsidRPr="00FA0680" w:rsidRDefault="00004EB2" w:rsidP="00934ADE">
      <w:pPr>
        <w:tabs>
          <w:tab w:val="left" w:pos="10440"/>
        </w:tabs>
        <w:spacing w:line="360" w:lineRule="auto"/>
        <w:ind w:firstLineChars="200" w:firstLine="420"/>
        <w:rPr>
          <w:color w:val="000000"/>
        </w:rPr>
      </w:pPr>
      <w:r w:rsidRPr="00FA0680">
        <w:rPr>
          <w:rFonts w:hAnsi="宋体" w:cs="宋体" w:hint="eastAsia"/>
          <w:color w:val="000000"/>
        </w:rPr>
        <w:t>注：基金资产净值、账面价值为</w:t>
      </w:r>
      <w:r w:rsidR="008D6ADC" w:rsidRPr="00FA0680">
        <w:rPr>
          <w:color w:val="000000"/>
        </w:rPr>
        <w:t>20</w:t>
      </w:r>
      <w:r w:rsidR="008D6ADC">
        <w:rPr>
          <w:color w:val="000000"/>
        </w:rPr>
        <w:t>20</w:t>
      </w:r>
      <w:r w:rsidR="008D6ADC" w:rsidRPr="00FA0680">
        <w:rPr>
          <w:rFonts w:hAnsi="宋体" w:cs="宋体" w:hint="eastAsia"/>
          <w:color w:val="000000"/>
        </w:rPr>
        <w:t>年</w:t>
      </w:r>
      <w:r w:rsidR="00B3209A">
        <w:rPr>
          <w:color w:val="000000"/>
        </w:rPr>
        <w:t>5</w:t>
      </w:r>
      <w:r w:rsidRPr="00FA0680">
        <w:rPr>
          <w:rFonts w:hAnsi="宋体" w:cs="宋体" w:hint="eastAsia"/>
          <w:color w:val="000000"/>
        </w:rPr>
        <w:t>月</w:t>
      </w:r>
      <w:r w:rsidR="00212B08">
        <w:rPr>
          <w:rFonts w:hAnsi="宋体" w:cs="宋体"/>
          <w:color w:val="000000"/>
        </w:rPr>
        <w:t>11</w:t>
      </w:r>
      <w:r w:rsidRPr="00FA0680">
        <w:rPr>
          <w:rFonts w:hAnsi="宋体" w:cs="宋体" w:hint="eastAsia"/>
          <w:color w:val="000000"/>
        </w:rPr>
        <w:t>日数据。</w:t>
      </w:r>
    </w:p>
    <w:p w:rsidR="00004EB2" w:rsidRPr="00FA0680" w:rsidRDefault="00004EB2" w:rsidP="00934ADE">
      <w:pPr>
        <w:tabs>
          <w:tab w:val="left" w:pos="10440"/>
        </w:tabs>
        <w:spacing w:line="360" w:lineRule="auto"/>
        <w:ind w:firstLineChars="200" w:firstLine="480"/>
        <w:rPr>
          <w:rFonts w:hAnsi="宋体"/>
          <w:color w:val="000000"/>
          <w:sz w:val="24"/>
          <w:szCs w:val="24"/>
        </w:rPr>
      </w:pPr>
      <w:r w:rsidRPr="00FA0680">
        <w:rPr>
          <w:rFonts w:hAnsi="宋体" w:cs="宋体" w:hint="eastAsia"/>
          <w:color w:val="000000"/>
          <w:sz w:val="24"/>
          <w:szCs w:val="24"/>
        </w:rPr>
        <w:t>特此公告</w:t>
      </w:r>
    </w:p>
    <w:p w:rsidR="00004EB2" w:rsidRPr="00FA0680" w:rsidRDefault="00004EB2" w:rsidP="00934ADE">
      <w:pPr>
        <w:tabs>
          <w:tab w:val="left" w:pos="10440"/>
        </w:tabs>
        <w:spacing w:line="360" w:lineRule="auto"/>
        <w:ind w:firstLineChars="200" w:firstLine="480"/>
        <w:rPr>
          <w:rFonts w:hAnsi="宋体"/>
          <w:color w:val="000000"/>
          <w:sz w:val="24"/>
          <w:szCs w:val="24"/>
        </w:rPr>
      </w:pPr>
    </w:p>
    <w:p w:rsidR="00004EB2" w:rsidRPr="00FA0680" w:rsidRDefault="00004EB2" w:rsidP="00934ADE">
      <w:pPr>
        <w:tabs>
          <w:tab w:val="left" w:pos="10440"/>
        </w:tabs>
        <w:spacing w:line="360" w:lineRule="auto"/>
        <w:ind w:firstLineChars="200" w:firstLine="480"/>
        <w:rPr>
          <w:rFonts w:hAnsi="宋体"/>
          <w:color w:val="000000"/>
          <w:sz w:val="24"/>
          <w:szCs w:val="24"/>
        </w:rPr>
      </w:pPr>
    </w:p>
    <w:p w:rsidR="00004EB2" w:rsidRPr="00FA0680" w:rsidRDefault="00004EB2" w:rsidP="00590E64">
      <w:pPr>
        <w:tabs>
          <w:tab w:val="left" w:pos="10440"/>
        </w:tabs>
        <w:snapToGrid w:val="0"/>
        <w:spacing w:line="360" w:lineRule="auto"/>
        <w:jc w:val="right"/>
        <w:rPr>
          <w:color w:val="000000"/>
          <w:sz w:val="24"/>
          <w:szCs w:val="24"/>
        </w:rPr>
      </w:pPr>
      <w:r w:rsidRPr="00FA0680">
        <w:rPr>
          <w:rFonts w:hAnsi="宋体" w:cs="宋体" w:hint="eastAsia"/>
          <w:color w:val="000000"/>
          <w:sz w:val="24"/>
          <w:szCs w:val="24"/>
        </w:rPr>
        <w:t>华夏基金管理有限公司</w:t>
      </w:r>
    </w:p>
    <w:p w:rsidR="00004EB2" w:rsidRPr="00BE18ED" w:rsidRDefault="00004EB2" w:rsidP="00590E64">
      <w:pPr>
        <w:tabs>
          <w:tab w:val="left" w:pos="10440"/>
        </w:tabs>
        <w:snapToGrid w:val="0"/>
        <w:spacing w:line="360" w:lineRule="auto"/>
        <w:jc w:val="right"/>
        <w:rPr>
          <w:color w:val="000000"/>
        </w:rPr>
      </w:pPr>
      <w:r w:rsidRPr="00FA0680">
        <w:rPr>
          <w:rFonts w:ascii="宋体" w:hAnsi="宋体" w:cs="宋体" w:hint="eastAsia"/>
          <w:color w:val="000000"/>
          <w:sz w:val="24"/>
          <w:szCs w:val="24"/>
        </w:rPr>
        <w:t>二</w:t>
      </w:r>
      <w:r w:rsidRPr="00FA0680">
        <w:rPr>
          <w:rFonts w:ascii="宋体" w:cs="宋体" w:hint="eastAsia"/>
          <w:color w:val="000000"/>
          <w:sz w:val="24"/>
          <w:szCs w:val="24"/>
        </w:rPr>
        <w:t>○</w:t>
      </w:r>
      <w:r w:rsidR="00BC30E9">
        <w:rPr>
          <w:rFonts w:ascii="宋体" w:hAnsi="宋体" w:cs="宋体" w:hint="eastAsia"/>
          <w:color w:val="000000"/>
          <w:sz w:val="24"/>
          <w:szCs w:val="24"/>
        </w:rPr>
        <w:t>二〇</w:t>
      </w:r>
      <w:r w:rsidR="0090238D" w:rsidRPr="00FA0680">
        <w:rPr>
          <w:rFonts w:ascii="宋体" w:hAnsi="宋体" w:cs="宋体" w:hint="eastAsia"/>
          <w:color w:val="000000"/>
          <w:sz w:val="24"/>
          <w:szCs w:val="24"/>
        </w:rPr>
        <w:t>年</w:t>
      </w:r>
      <w:r w:rsidR="00B3209A">
        <w:rPr>
          <w:rFonts w:hAnsi="宋体" w:cs="宋体" w:hint="eastAsia"/>
          <w:color w:val="000000"/>
          <w:sz w:val="24"/>
          <w:szCs w:val="24"/>
        </w:rPr>
        <w:t>五</w:t>
      </w:r>
      <w:r w:rsidR="0090238D" w:rsidRPr="00FA0680">
        <w:rPr>
          <w:rFonts w:hAnsi="宋体" w:cs="宋体" w:hint="eastAsia"/>
          <w:color w:val="000000"/>
          <w:sz w:val="24"/>
          <w:szCs w:val="24"/>
        </w:rPr>
        <w:t>月</w:t>
      </w:r>
      <w:r w:rsidR="00212B08">
        <w:rPr>
          <w:rFonts w:hAnsi="宋体" w:cs="宋体" w:hint="eastAsia"/>
          <w:color w:val="000000"/>
          <w:sz w:val="24"/>
          <w:szCs w:val="24"/>
        </w:rPr>
        <w:t>十三</w:t>
      </w:r>
      <w:r w:rsidR="0090238D" w:rsidRPr="00FA0680">
        <w:rPr>
          <w:rFonts w:hAnsi="宋体" w:cs="宋体" w:hint="eastAsia"/>
          <w:color w:val="000000"/>
          <w:sz w:val="24"/>
          <w:szCs w:val="24"/>
        </w:rPr>
        <w:t>日</w:t>
      </w:r>
    </w:p>
    <w:sectPr w:rsidR="00004EB2" w:rsidRPr="00BE18ED" w:rsidSect="00A554A3">
      <w:headerReference w:type="default" r:id="rId6"/>
      <w:footerReference w:type="default" r:id="rId7"/>
      <w:pgSz w:w="16838" w:h="11906" w:orient="landscape" w:code="9"/>
      <w:pgMar w:top="1558"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CDB" w:rsidRDefault="00EC3CDB">
      <w:r>
        <w:separator/>
      </w:r>
    </w:p>
  </w:endnote>
  <w:endnote w:type="continuationSeparator" w:id="1">
    <w:p w:rsidR="00EC3CDB" w:rsidRDefault="00EC3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1A" w:rsidRDefault="00BD5C8F" w:rsidP="001D4CDE">
    <w:pPr>
      <w:pStyle w:val="a4"/>
      <w:framePr w:wrap="auto" w:vAnchor="text" w:hAnchor="margin" w:xAlign="center" w:y="1"/>
      <w:rPr>
        <w:rStyle w:val="a5"/>
      </w:rPr>
    </w:pPr>
    <w:r>
      <w:rPr>
        <w:rStyle w:val="a5"/>
      </w:rPr>
      <w:fldChar w:fldCharType="begin"/>
    </w:r>
    <w:r w:rsidR="00013A1A">
      <w:rPr>
        <w:rStyle w:val="a5"/>
      </w:rPr>
      <w:instrText xml:space="preserve">PAGE  </w:instrText>
    </w:r>
    <w:r>
      <w:rPr>
        <w:rStyle w:val="a5"/>
      </w:rPr>
      <w:fldChar w:fldCharType="separate"/>
    </w:r>
    <w:r w:rsidR="0057020D">
      <w:rPr>
        <w:rStyle w:val="a5"/>
        <w:noProof/>
      </w:rPr>
      <w:t>1</w:t>
    </w:r>
    <w:r>
      <w:rPr>
        <w:rStyle w:val="a5"/>
      </w:rPr>
      <w:fldChar w:fldCharType="end"/>
    </w:r>
  </w:p>
  <w:p w:rsidR="00013A1A" w:rsidRDefault="00013A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CDB" w:rsidRDefault="00EC3CDB">
      <w:r>
        <w:separator/>
      </w:r>
    </w:p>
  </w:footnote>
  <w:footnote w:type="continuationSeparator" w:id="1">
    <w:p w:rsidR="00EC3CDB" w:rsidRDefault="00EC3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C64" w:rsidRDefault="00BD5C8F" w:rsidP="00553BCD">
    <w:pPr>
      <w:pStyle w:val="a6"/>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1" o:spid="_x0000_s2057" type="#_x0000_t136" style="position:absolute;left:0;text-align:left;margin-left:0;margin-top:0;width:321pt;height:67pt;rotation:315;z-index:251658240;mso-position-horizontal:center;mso-position-horizontal-relative:margin;mso-position-vertical:center;mso-position-vertical-relative:margin" fillcolor="#ccc" stroked="f">
          <v:fill opacity="46531f"/>
          <v:stroke r:id="rId1" o:title=""/>
          <v:shadow color="#868686"/>
          <v:textpath style="font-family:&quot;Arial&quot;;font-size:30pt;v-text-kern:t" trim="t" fitpath="t" string="华夏基金管理有限公司&#10;2020-01-13&amp;tanl&amp;tanlun"/>
          <o:lock v:ext="edit" aspectratio="t"/>
          <w10:wrap side="largest"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11A4"/>
    <w:rsid w:val="00000D98"/>
    <w:rsid w:val="00002706"/>
    <w:rsid w:val="000029E1"/>
    <w:rsid w:val="00004EB2"/>
    <w:rsid w:val="00013A1A"/>
    <w:rsid w:val="000249F2"/>
    <w:rsid w:val="000303D4"/>
    <w:rsid w:val="00031833"/>
    <w:rsid w:val="000425D4"/>
    <w:rsid w:val="00047F69"/>
    <w:rsid w:val="00054D55"/>
    <w:rsid w:val="00067841"/>
    <w:rsid w:val="00086108"/>
    <w:rsid w:val="00092164"/>
    <w:rsid w:val="0009262A"/>
    <w:rsid w:val="00093145"/>
    <w:rsid w:val="0009614A"/>
    <w:rsid w:val="000A5B09"/>
    <w:rsid w:val="000A63C0"/>
    <w:rsid w:val="000A6DAC"/>
    <w:rsid w:val="000B2518"/>
    <w:rsid w:val="000B3257"/>
    <w:rsid w:val="000C06C9"/>
    <w:rsid w:val="000C2A16"/>
    <w:rsid w:val="000D2119"/>
    <w:rsid w:val="000D277D"/>
    <w:rsid w:val="000F47DA"/>
    <w:rsid w:val="000F5486"/>
    <w:rsid w:val="0010282D"/>
    <w:rsid w:val="00103AAF"/>
    <w:rsid w:val="001104A1"/>
    <w:rsid w:val="00110A7D"/>
    <w:rsid w:val="00111FA6"/>
    <w:rsid w:val="00117041"/>
    <w:rsid w:val="001175B1"/>
    <w:rsid w:val="00143FE8"/>
    <w:rsid w:val="00164BD3"/>
    <w:rsid w:val="001669D1"/>
    <w:rsid w:val="00174B79"/>
    <w:rsid w:val="00191B6E"/>
    <w:rsid w:val="00194CED"/>
    <w:rsid w:val="001A2B27"/>
    <w:rsid w:val="001A33A1"/>
    <w:rsid w:val="001B33EC"/>
    <w:rsid w:val="001B37A5"/>
    <w:rsid w:val="001C6599"/>
    <w:rsid w:val="001D0AF4"/>
    <w:rsid w:val="001D4CDE"/>
    <w:rsid w:val="001E35F9"/>
    <w:rsid w:val="001F1C64"/>
    <w:rsid w:val="001F2225"/>
    <w:rsid w:val="001F7306"/>
    <w:rsid w:val="00200615"/>
    <w:rsid w:val="00202600"/>
    <w:rsid w:val="00204B5F"/>
    <w:rsid w:val="00207552"/>
    <w:rsid w:val="00212B08"/>
    <w:rsid w:val="00216F3D"/>
    <w:rsid w:val="00224F6A"/>
    <w:rsid w:val="00227CEB"/>
    <w:rsid w:val="00234EA8"/>
    <w:rsid w:val="00236BBD"/>
    <w:rsid w:val="002462F1"/>
    <w:rsid w:val="00246DEE"/>
    <w:rsid w:val="00251D83"/>
    <w:rsid w:val="00253517"/>
    <w:rsid w:val="00255D68"/>
    <w:rsid w:val="002571C9"/>
    <w:rsid w:val="0026448A"/>
    <w:rsid w:val="00277CD2"/>
    <w:rsid w:val="0029399F"/>
    <w:rsid w:val="002A0D7B"/>
    <w:rsid w:val="002A144A"/>
    <w:rsid w:val="002A263F"/>
    <w:rsid w:val="002A3B6A"/>
    <w:rsid w:val="002A73B1"/>
    <w:rsid w:val="002B0359"/>
    <w:rsid w:val="002C464E"/>
    <w:rsid w:val="002D4DE0"/>
    <w:rsid w:val="002D6312"/>
    <w:rsid w:val="00304363"/>
    <w:rsid w:val="00311094"/>
    <w:rsid w:val="00332418"/>
    <w:rsid w:val="003420AD"/>
    <w:rsid w:val="00352654"/>
    <w:rsid w:val="00352B5D"/>
    <w:rsid w:val="00352BD5"/>
    <w:rsid w:val="0035417D"/>
    <w:rsid w:val="0035656D"/>
    <w:rsid w:val="0035748D"/>
    <w:rsid w:val="00364F3E"/>
    <w:rsid w:val="003701AD"/>
    <w:rsid w:val="003703F2"/>
    <w:rsid w:val="00371013"/>
    <w:rsid w:val="00371F68"/>
    <w:rsid w:val="00381B26"/>
    <w:rsid w:val="00381B67"/>
    <w:rsid w:val="00392487"/>
    <w:rsid w:val="0039754A"/>
    <w:rsid w:val="00397D55"/>
    <w:rsid w:val="003A0AC8"/>
    <w:rsid w:val="003A34CE"/>
    <w:rsid w:val="003B1C62"/>
    <w:rsid w:val="003B52FA"/>
    <w:rsid w:val="003B5E35"/>
    <w:rsid w:val="003B647D"/>
    <w:rsid w:val="003B7889"/>
    <w:rsid w:val="003C39B4"/>
    <w:rsid w:val="003C483A"/>
    <w:rsid w:val="003C63FB"/>
    <w:rsid w:val="003D618B"/>
    <w:rsid w:val="003E271A"/>
    <w:rsid w:val="003E39AE"/>
    <w:rsid w:val="003E4BBA"/>
    <w:rsid w:val="0040455D"/>
    <w:rsid w:val="00414407"/>
    <w:rsid w:val="004171FC"/>
    <w:rsid w:val="00425B0B"/>
    <w:rsid w:val="00435DC8"/>
    <w:rsid w:val="00436B70"/>
    <w:rsid w:val="00436DDA"/>
    <w:rsid w:val="00437B5E"/>
    <w:rsid w:val="00446203"/>
    <w:rsid w:val="00462843"/>
    <w:rsid w:val="00463127"/>
    <w:rsid w:val="0046407D"/>
    <w:rsid w:val="004722F3"/>
    <w:rsid w:val="00487DA3"/>
    <w:rsid w:val="00491FD9"/>
    <w:rsid w:val="00493F07"/>
    <w:rsid w:val="004A0400"/>
    <w:rsid w:val="004A17EF"/>
    <w:rsid w:val="004A25D4"/>
    <w:rsid w:val="004A31D4"/>
    <w:rsid w:val="004A6E0A"/>
    <w:rsid w:val="004B109F"/>
    <w:rsid w:val="004B3D50"/>
    <w:rsid w:val="004B7478"/>
    <w:rsid w:val="004D2767"/>
    <w:rsid w:val="004D7714"/>
    <w:rsid w:val="004F0077"/>
    <w:rsid w:val="004F7597"/>
    <w:rsid w:val="00510645"/>
    <w:rsid w:val="00510EAC"/>
    <w:rsid w:val="00520B98"/>
    <w:rsid w:val="005236D3"/>
    <w:rsid w:val="00534ECA"/>
    <w:rsid w:val="0053655C"/>
    <w:rsid w:val="005440EE"/>
    <w:rsid w:val="00544E7F"/>
    <w:rsid w:val="005458A8"/>
    <w:rsid w:val="005515BC"/>
    <w:rsid w:val="00552D4A"/>
    <w:rsid w:val="00553BCD"/>
    <w:rsid w:val="00554EA5"/>
    <w:rsid w:val="0056521F"/>
    <w:rsid w:val="0057020D"/>
    <w:rsid w:val="0057263F"/>
    <w:rsid w:val="005734C5"/>
    <w:rsid w:val="00575AF9"/>
    <w:rsid w:val="0058390B"/>
    <w:rsid w:val="0058565F"/>
    <w:rsid w:val="00590E64"/>
    <w:rsid w:val="005A4092"/>
    <w:rsid w:val="005B461D"/>
    <w:rsid w:val="005B6551"/>
    <w:rsid w:val="005B6CA2"/>
    <w:rsid w:val="005D04DB"/>
    <w:rsid w:val="005D1D26"/>
    <w:rsid w:val="005D6173"/>
    <w:rsid w:val="005E0ADC"/>
    <w:rsid w:val="005E5C7B"/>
    <w:rsid w:val="005F66B2"/>
    <w:rsid w:val="005F7D29"/>
    <w:rsid w:val="00605D21"/>
    <w:rsid w:val="00621B7D"/>
    <w:rsid w:val="00624130"/>
    <w:rsid w:val="00625DEC"/>
    <w:rsid w:val="00626961"/>
    <w:rsid w:val="006775DA"/>
    <w:rsid w:val="0068423B"/>
    <w:rsid w:val="00687DE7"/>
    <w:rsid w:val="0069170A"/>
    <w:rsid w:val="006970A7"/>
    <w:rsid w:val="006A13B3"/>
    <w:rsid w:val="006A582A"/>
    <w:rsid w:val="006A58F0"/>
    <w:rsid w:val="006C01AF"/>
    <w:rsid w:val="006C3586"/>
    <w:rsid w:val="006D1A83"/>
    <w:rsid w:val="006D3591"/>
    <w:rsid w:val="006D7AEB"/>
    <w:rsid w:val="006E229E"/>
    <w:rsid w:val="007062C7"/>
    <w:rsid w:val="00706B30"/>
    <w:rsid w:val="007111A4"/>
    <w:rsid w:val="00713A72"/>
    <w:rsid w:val="007146CE"/>
    <w:rsid w:val="00722D55"/>
    <w:rsid w:val="00724964"/>
    <w:rsid w:val="00727B8D"/>
    <w:rsid w:val="00737DA6"/>
    <w:rsid w:val="00740EC6"/>
    <w:rsid w:val="0076276A"/>
    <w:rsid w:val="00766085"/>
    <w:rsid w:val="007779FC"/>
    <w:rsid w:val="00782651"/>
    <w:rsid w:val="0078300A"/>
    <w:rsid w:val="0078717C"/>
    <w:rsid w:val="00797CF1"/>
    <w:rsid w:val="007A3A52"/>
    <w:rsid w:val="007A4C5A"/>
    <w:rsid w:val="007A4FA3"/>
    <w:rsid w:val="007B1D38"/>
    <w:rsid w:val="007C2CE5"/>
    <w:rsid w:val="007D3A0C"/>
    <w:rsid w:val="007D6F01"/>
    <w:rsid w:val="007E0CD3"/>
    <w:rsid w:val="007E2598"/>
    <w:rsid w:val="007E6B6C"/>
    <w:rsid w:val="007E781F"/>
    <w:rsid w:val="007F7958"/>
    <w:rsid w:val="00816D0F"/>
    <w:rsid w:val="00817B5F"/>
    <w:rsid w:val="00820A37"/>
    <w:rsid w:val="008302D9"/>
    <w:rsid w:val="00836ECC"/>
    <w:rsid w:val="00837BE1"/>
    <w:rsid w:val="00843039"/>
    <w:rsid w:val="00846B1B"/>
    <w:rsid w:val="008571F5"/>
    <w:rsid w:val="00866D55"/>
    <w:rsid w:val="00872E74"/>
    <w:rsid w:val="0088011D"/>
    <w:rsid w:val="0089475F"/>
    <w:rsid w:val="00897233"/>
    <w:rsid w:val="008A3E4C"/>
    <w:rsid w:val="008B0C7D"/>
    <w:rsid w:val="008B0E43"/>
    <w:rsid w:val="008B1A36"/>
    <w:rsid w:val="008B3AC3"/>
    <w:rsid w:val="008B406B"/>
    <w:rsid w:val="008B51AF"/>
    <w:rsid w:val="008B5CA3"/>
    <w:rsid w:val="008C43AE"/>
    <w:rsid w:val="008C7505"/>
    <w:rsid w:val="008D6023"/>
    <w:rsid w:val="008D6ADC"/>
    <w:rsid w:val="008D7323"/>
    <w:rsid w:val="008F3172"/>
    <w:rsid w:val="008F6648"/>
    <w:rsid w:val="0090238D"/>
    <w:rsid w:val="00903205"/>
    <w:rsid w:val="009210C1"/>
    <w:rsid w:val="0092337E"/>
    <w:rsid w:val="0092506A"/>
    <w:rsid w:val="00932B68"/>
    <w:rsid w:val="00932BB8"/>
    <w:rsid w:val="00934ADE"/>
    <w:rsid w:val="00951D64"/>
    <w:rsid w:val="009549DA"/>
    <w:rsid w:val="0095508A"/>
    <w:rsid w:val="00956868"/>
    <w:rsid w:val="0096749A"/>
    <w:rsid w:val="00974960"/>
    <w:rsid w:val="00983B17"/>
    <w:rsid w:val="00991F25"/>
    <w:rsid w:val="009978B5"/>
    <w:rsid w:val="009A655B"/>
    <w:rsid w:val="009B026F"/>
    <w:rsid w:val="009C2D3E"/>
    <w:rsid w:val="009C732F"/>
    <w:rsid w:val="009D3453"/>
    <w:rsid w:val="009D56DE"/>
    <w:rsid w:val="009D7D4F"/>
    <w:rsid w:val="00A00697"/>
    <w:rsid w:val="00A013E6"/>
    <w:rsid w:val="00A144FE"/>
    <w:rsid w:val="00A14C52"/>
    <w:rsid w:val="00A424E3"/>
    <w:rsid w:val="00A47DD9"/>
    <w:rsid w:val="00A54140"/>
    <w:rsid w:val="00A554A3"/>
    <w:rsid w:val="00A55675"/>
    <w:rsid w:val="00A56DF7"/>
    <w:rsid w:val="00A57BF3"/>
    <w:rsid w:val="00A60930"/>
    <w:rsid w:val="00A677C6"/>
    <w:rsid w:val="00A770A3"/>
    <w:rsid w:val="00AA0D80"/>
    <w:rsid w:val="00AB0B51"/>
    <w:rsid w:val="00AB61BB"/>
    <w:rsid w:val="00AB737F"/>
    <w:rsid w:val="00AC0744"/>
    <w:rsid w:val="00AC09EB"/>
    <w:rsid w:val="00AC0F6A"/>
    <w:rsid w:val="00AC503F"/>
    <w:rsid w:val="00AC6AD7"/>
    <w:rsid w:val="00AC7E21"/>
    <w:rsid w:val="00AD52E1"/>
    <w:rsid w:val="00AE149B"/>
    <w:rsid w:val="00AE3313"/>
    <w:rsid w:val="00AE7EA8"/>
    <w:rsid w:val="00AF1C2F"/>
    <w:rsid w:val="00B043F7"/>
    <w:rsid w:val="00B051C3"/>
    <w:rsid w:val="00B0722E"/>
    <w:rsid w:val="00B07B92"/>
    <w:rsid w:val="00B07F71"/>
    <w:rsid w:val="00B3209A"/>
    <w:rsid w:val="00B434E0"/>
    <w:rsid w:val="00B52961"/>
    <w:rsid w:val="00B67A2F"/>
    <w:rsid w:val="00B73CD3"/>
    <w:rsid w:val="00B7553F"/>
    <w:rsid w:val="00B85E4B"/>
    <w:rsid w:val="00B9418F"/>
    <w:rsid w:val="00BA2133"/>
    <w:rsid w:val="00BB59B7"/>
    <w:rsid w:val="00BC23FB"/>
    <w:rsid w:val="00BC30E9"/>
    <w:rsid w:val="00BC5CD7"/>
    <w:rsid w:val="00BD158A"/>
    <w:rsid w:val="00BD5C8F"/>
    <w:rsid w:val="00BE18ED"/>
    <w:rsid w:val="00BE7EFF"/>
    <w:rsid w:val="00BF3786"/>
    <w:rsid w:val="00BF5BD2"/>
    <w:rsid w:val="00C0255D"/>
    <w:rsid w:val="00C10562"/>
    <w:rsid w:val="00C11FEA"/>
    <w:rsid w:val="00C21230"/>
    <w:rsid w:val="00C2387D"/>
    <w:rsid w:val="00C26BA6"/>
    <w:rsid w:val="00C56D35"/>
    <w:rsid w:val="00C6217C"/>
    <w:rsid w:val="00C67239"/>
    <w:rsid w:val="00C72375"/>
    <w:rsid w:val="00C803B0"/>
    <w:rsid w:val="00C81AC3"/>
    <w:rsid w:val="00C87B12"/>
    <w:rsid w:val="00C9243F"/>
    <w:rsid w:val="00C925B4"/>
    <w:rsid w:val="00CA0F9D"/>
    <w:rsid w:val="00CA3531"/>
    <w:rsid w:val="00CA5097"/>
    <w:rsid w:val="00CB007F"/>
    <w:rsid w:val="00CB1A09"/>
    <w:rsid w:val="00CB3D67"/>
    <w:rsid w:val="00CC5E18"/>
    <w:rsid w:val="00CC788D"/>
    <w:rsid w:val="00CD0FBE"/>
    <w:rsid w:val="00CE64EB"/>
    <w:rsid w:val="00CF2E8E"/>
    <w:rsid w:val="00D0422E"/>
    <w:rsid w:val="00D10D61"/>
    <w:rsid w:val="00D17575"/>
    <w:rsid w:val="00D220DF"/>
    <w:rsid w:val="00D329B3"/>
    <w:rsid w:val="00D32FCA"/>
    <w:rsid w:val="00D34C3B"/>
    <w:rsid w:val="00D35197"/>
    <w:rsid w:val="00D4046B"/>
    <w:rsid w:val="00D40E4E"/>
    <w:rsid w:val="00D423F2"/>
    <w:rsid w:val="00D451A0"/>
    <w:rsid w:val="00D451ED"/>
    <w:rsid w:val="00D457F8"/>
    <w:rsid w:val="00D577C5"/>
    <w:rsid w:val="00D60B6B"/>
    <w:rsid w:val="00D6238C"/>
    <w:rsid w:val="00D801CA"/>
    <w:rsid w:val="00D9561D"/>
    <w:rsid w:val="00DA5C28"/>
    <w:rsid w:val="00DB2013"/>
    <w:rsid w:val="00DB7940"/>
    <w:rsid w:val="00DC6AFA"/>
    <w:rsid w:val="00DC7BFC"/>
    <w:rsid w:val="00DD747A"/>
    <w:rsid w:val="00DD768D"/>
    <w:rsid w:val="00DE1180"/>
    <w:rsid w:val="00DE408D"/>
    <w:rsid w:val="00DF0232"/>
    <w:rsid w:val="00DF2298"/>
    <w:rsid w:val="00DF7350"/>
    <w:rsid w:val="00E033AC"/>
    <w:rsid w:val="00E05F3F"/>
    <w:rsid w:val="00E06864"/>
    <w:rsid w:val="00E22109"/>
    <w:rsid w:val="00E26E98"/>
    <w:rsid w:val="00E27B5B"/>
    <w:rsid w:val="00E318E6"/>
    <w:rsid w:val="00E3371C"/>
    <w:rsid w:val="00E42920"/>
    <w:rsid w:val="00E432E9"/>
    <w:rsid w:val="00E54CA2"/>
    <w:rsid w:val="00E601C0"/>
    <w:rsid w:val="00E6050E"/>
    <w:rsid w:val="00E61F24"/>
    <w:rsid w:val="00E62749"/>
    <w:rsid w:val="00E71492"/>
    <w:rsid w:val="00E8181B"/>
    <w:rsid w:val="00E85428"/>
    <w:rsid w:val="00E86285"/>
    <w:rsid w:val="00E87C7B"/>
    <w:rsid w:val="00E94BBF"/>
    <w:rsid w:val="00E963A6"/>
    <w:rsid w:val="00EA162A"/>
    <w:rsid w:val="00EA6537"/>
    <w:rsid w:val="00EC232D"/>
    <w:rsid w:val="00EC3CDB"/>
    <w:rsid w:val="00ED1C28"/>
    <w:rsid w:val="00ED2832"/>
    <w:rsid w:val="00EE365F"/>
    <w:rsid w:val="00EF1C99"/>
    <w:rsid w:val="00EF1F00"/>
    <w:rsid w:val="00F01021"/>
    <w:rsid w:val="00F03EEE"/>
    <w:rsid w:val="00F12542"/>
    <w:rsid w:val="00F15BFB"/>
    <w:rsid w:val="00F1726D"/>
    <w:rsid w:val="00F27DB3"/>
    <w:rsid w:val="00F313B9"/>
    <w:rsid w:val="00F32503"/>
    <w:rsid w:val="00F429A2"/>
    <w:rsid w:val="00F45D1F"/>
    <w:rsid w:val="00F7089E"/>
    <w:rsid w:val="00F84CA3"/>
    <w:rsid w:val="00F863D3"/>
    <w:rsid w:val="00F90A47"/>
    <w:rsid w:val="00F91A6D"/>
    <w:rsid w:val="00F9647C"/>
    <w:rsid w:val="00FA059B"/>
    <w:rsid w:val="00FA0680"/>
    <w:rsid w:val="00FA2009"/>
    <w:rsid w:val="00FA4B88"/>
    <w:rsid w:val="00FB5BA8"/>
    <w:rsid w:val="00FC27C8"/>
    <w:rsid w:val="00FC624A"/>
    <w:rsid w:val="00FD5B6A"/>
    <w:rsid w:val="00FE1812"/>
    <w:rsid w:val="00FE444F"/>
    <w:rsid w:val="00FE63A1"/>
    <w:rsid w:val="00FE6967"/>
    <w:rsid w:val="00FE7271"/>
    <w:rsid w:val="00FF00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D3E"/>
    <w:pPr>
      <w:widowControl w:val="0"/>
      <w:jc w:val="both"/>
    </w:pPr>
    <w:rPr>
      <w:szCs w:val="21"/>
    </w:rPr>
  </w:style>
  <w:style w:type="paragraph" w:styleId="1">
    <w:name w:val="heading 1"/>
    <w:basedOn w:val="a"/>
    <w:link w:val="1Char"/>
    <w:uiPriority w:val="9"/>
    <w:qFormat/>
    <w:locked/>
    <w:rsid w:val="0095686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9C2D3E"/>
    <w:rPr>
      <w:sz w:val="18"/>
      <w:szCs w:val="18"/>
    </w:rPr>
  </w:style>
  <w:style w:type="character" w:customStyle="1" w:styleId="Char">
    <w:name w:val="批注框文本 Char"/>
    <w:basedOn w:val="a0"/>
    <w:link w:val="a3"/>
    <w:uiPriority w:val="99"/>
    <w:semiHidden/>
    <w:locked/>
    <w:rsid w:val="00510EAC"/>
    <w:rPr>
      <w:sz w:val="2"/>
      <w:szCs w:val="2"/>
    </w:rPr>
  </w:style>
  <w:style w:type="paragraph" w:styleId="a4">
    <w:name w:val="footer"/>
    <w:basedOn w:val="a"/>
    <w:link w:val="Char0"/>
    <w:uiPriority w:val="99"/>
    <w:rsid w:val="008B0E4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10EAC"/>
    <w:rPr>
      <w:sz w:val="18"/>
      <w:szCs w:val="18"/>
    </w:rPr>
  </w:style>
  <w:style w:type="character" w:styleId="a5">
    <w:name w:val="page number"/>
    <w:basedOn w:val="a0"/>
    <w:uiPriority w:val="99"/>
    <w:rsid w:val="008B0E43"/>
  </w:style>
  <w:style w:type="character" w:customStyle="1" w:styleId="apple-style-span">
    <w:name w:val="apple-style-span"/>
    <w:basedOn w:val="a0"/>
    <w:uiPriority w:val="99"/>
    <w:rsid w:val="00381B26"/>
  </w:style>
  <w:style w:type="paragraph" w:styleId="a6">
    <w:name w:val="header"/>
    <w:basedOn w:val="a"/>
    <w:link w:val="Char1"/>
    <w:uiPriority w:val="99"/>
    <w:rsid w:val="0035417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510EAC"/>
    <w:rPr>
      <w:sz w:val="18"/>
      <w:szCs w:val="18"/>
    </w:rPr>
  </w:style>
  <w:style w:type="character" w:styleId="a7">
    <w:name w:val="annotation reference"/>
    <w:basedOn w:val="a0"/>
    <w:uiPriority w:val="99"/>
    <w:semiHidden/>
    <w:rsid w:val="00C87B12"/>
    <w:rPr>
      <w:sz w:val="21"/>
      <w:szCs w:val="21"/>
    </w:rPr>
  </w:style>
  <w:style w:type="paragraph" w:styleId="a8">
    <w:name w:val="annotation text"/>
    <w:basedOn w:val="a"/>
    <w:link w:val="Char2"/>
    <w:uiPriority w:val="99"/>
    <w:semiHidden/>
    <w:rsid w:val="00C87B12"/>
    <w:pPr>
      <w:jc w:val="left"/>
    </w:pPr>
  </w:style>
  <w:style w:type="character" w:customStyle="1" w:styleId="Char2">
    <w:name w:val="批注文字 Char"/>
    <w:basedOn w:val="a0"/>
    <w:link w:val="a8"/>
    <w:uiPriority w:val="99"/>
    <w:semiHidden/>
    <w:locked/>
    <w:rsid w:val="00510EAC"/>
    <w:rPr>
      <w:sz w:val="21"/>
      <w:szCs w:val="21"/>
    </w:rPr>
  </w:style>
  <w:style w:type="paragraph" w:styleId="a9">
    <w:name w:val="annotation subject"/>
    <w:basedOn w:val="a8"/>
    <w:next w:val="a8"/>
    <w:link w:val="Char3"/>
    <w:uiPriority w:val="99"/>
    <w:semiHidden/>
    <w:rsid w:val="00C87B12"/>
    <w:rPr>
      <w:b/>
      <w:bCs/>
    </w:rPr>
  </w:style>
  <w:style w:type="character" w:customStyle="1" w:styleId="Char3">
    <w:name w:val="批注主题 Char"/>
    <w:basedOn w:val="Char2"/>
    <w:link w:val="a9"/>
    <w:uiPriority w:val="99"/>
    <w:semiHidden/>
    <w:locked/>
    <w:rsid w:val="00510EAC"/>
    <w:rPr>
      <w:b/>
      <w:bCs/>
      <w:sz w:val="21"/>
      <w:szCs w:val="21"/>
    </w:rPr>
  </w:style>
  <w:style w:type="character" w:customStyle="1" w:styleId="1Char">
    <w:name w:val="标题 1 Char"/>
    <w:basedOn w:val="a0"/>
    <w:link w:val="1"/>
    <w:uiPriority w:val="9"/>
    <w:rsid w:val="00956868"/>
    <w:rPr>
      <w:rFonts w:ascii="宋体" w:hAnsi="宋体" w:cs="宋体"/>
      <w:b/>
      <w:bCs/>
      <w:kern w:val="36"/>
      <w:sz w:val="48"/>
      <w:szCs w:val="48"/>
    </w:rPr>
  </w:style>
  <w:style w:type="paragraph" w:customStyle="1" w:styleId="Default">
    <w:name w:val="Default"/>
    <w:rsid w:val="00F863D3"/>
    <w:pPr>
      <w:widowControl w:val="0"/>
      <w:autoSpaceDE w:val="0"/>
      <w:autoSpaceDN w:val="0"/>
      <w:adjustRightInd w:val="0"/>
    </w:pPr>
    <w:rPr>
      <w:color w:val="000000"/>
      <w:kern w:val="0"/>
      <w:sz w:val="24"/>
      <w:szCs w:val="24"/>
    </w:rPr>
  </w:style>
  <w:style w:type="paragraph" w:styleId="aa">
    <w:name w:val="Revision"/>
    <w:hidden/>
    <w:uiPriority w:val="99"/>
    <w:semiHidden/>
    <w:rsid w:val="00BC30E9"/>
    <w:rPr>
      <w:szCs w:val="21"/>
    </w:rPr>
  </w:style>
</w:styles>
</file>

<file path=word/webSettings.xml><?xml version="1.0" encoding="utf-8"?>
<w:webSettings xmlns:r="http://schemas.openxmlformats.org/officeDocument/2006/relationships" xmlns:w="http://schemas.openxmlformats.org/wordprocessingml/2006/main">
  <w:divs>
    <w:div w:id="1314530965">
      <w:bodyDiv w:val="1"/>
      <w:marLeft w:val="0"/>
      <w:marRight w:val="0"/>
      <w:marTop w:val="0"/>
      <w:marBottom w:val="0"/>
      <w:divBdr>
        <w:top w:val="none" w:sz="0" w:space="0" w:color="auto"/>
        <w:left w:val="none" w:sz="0" w:space="0" w:color="auto"/>
        <w:bottom w:val="none" w:sz="0" w:space="0" w:color="auto"/>
        <w:right w:val="none" w:sz="0" w:space="0" w:color="auto"/>
      </w:divBdr>
    </w:div>
    <w:div w:id="1855069909">
      <w:bodyDiv w:val="1"/>
      <w:marLeft w:val="0"/>
      <w:marRight w:val="0"/>
      <w:marTop w:val="0"/>
      <w:marBottom w:val="0"/>
      <w:divBdr>
        <w:top w:val="none" w:sz="0" w:space="0" w:color="auto"/>
        <w:left w:val="none" w:sz="0" w:space="0" w:color="auto"/>
        <w:bottom w:val="none" w:sz="0" w:space="0" w:color="auto"/>
        <w:right w:val="none" w:sz="0" w:space="0" w:color="auto"/>
      </w:divBdr>
    </w:div>
    <w:div w:id="19209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4</DocSecurity>
  <Lines>4</Lines>
  <Paragraphs>1</Paragraphs>
  <ScaleCrop>false</ScaleCrop>
  <Company>CHINAAMC</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JonMMx 2000</cp:lastModifiedBy>
  <cp:revision>2</cp:revision>
  <cp:lastPrinted>2013-03-18T11:30:00Z</cp:lastPrinted>
  <dcterms:created xsi:type="dcterms:W3CDTF">2020-05-12T16:00:00Z</dcterms:created>
  <dcterms:modified xsi:type="dcterms:W3CDTF">2020-05-12T16:00:00Z</dcterms:modified>
</cp:coreProperties>
</file>