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A7" w:rsidRPr="00992162" w:rsidRDefault="00196AA7" w:rsidP="00196AA7">
      <w:pPr>
        <w:widowControl/>
        <w:spacing w:line="360" w:lineRule="auto"/>
        <w:jc w:val="center"/>
        <w:outlineLvl w:val="2"/>
        <w:rPr>
          <w:rFonts w:ascii="宋体" w:eastAsia="宋体" w:hAnsi="宋体" w:cs="Times New Roman"/>
          <w:b/>
          <w:color w:val="000000"/>
          <w:kern w:val="0"/>
        </w:rPr>
      </w:pPr>
      <w:bookmarkStart w:id="0" w:name="_GoBack"/>
      <w:bookmarkEnd w:id="0"/>
      <w:r w:rsidRPr="00992162">
        <w:rPr>
          <w:rFonts w:ascii="宋体" w:eastAsia="宋体" w:hAnsi="宋体" w:cs="Times New Roman" w:hint="eastAsia"/>
          <w:b/>
          <w:color w:val="000000"/>
          <w:kern w:val="0"/>
        </w:rPr>
        <w:t>中欧基金管理</w:t>
      </w:r>
      <w:r w:rsidRPr="00992162">
        <w:rPr>
          <w:rFonts w:ascii="宋体" w:eastAsia="宋体" w:hAnsi="宋体" w:cs="Times New Roman"/>
          <w:b/>
          <w:color w:val="000000"/>
          <w:kern w:val="0"/>
        </w:rPr>
        <w:t>有限公司</w:t>
      </w:r>
    </w:p>
    <w:p w:rsidR="008C2070" w:rsidRDefault="00E270EC" w:rsidP="00A34106">
      <w:pPr>
        <w:widowControl/>
        <w:spacing w:line="360" w:lineRule="auto"/>
        <w:jc w:val="center"/>
        <w:outlineLvl w:val="2"/>
        <w:rPr>
          <w:rFonts w:ascii="宋体" w:eastAsia="宋体" w:hAnsi="宋体" w:cs="Times New Roman"/>
          <w:b/>
          <w:color w:val="000000"/>
          <w:kern w:val="0"/>
        </w:rPr>
      </w:pPr>
      <w:r w:rsidRPr="00A34106">
        <w:rPr>
          <w:rFonts w:ascii="宋体" w:eastAsia="宋体" w:hAnsi="宋体" w:cs="Times New Roman" w:hint="eastAsia"/>
          <w:b/>
          <w:color w:val="000000"/>
          <w:kern w:val="0"/>
        </w:rPr>
        <w:t>关于</w:t>
      </w:r>
      <w:r w:rsidR="00D173A4">
        <w:rPr>
          <w:rFonts w:ascii="宋体" w:eastAsia="宋体" w:hAnsi="宋体" w:cs="Times New Roman" w:hint="eastAsia"/>
          <w:b/>
          <w:color w:val="000000"/>
          <w:kern w:val="0"/>
        </w:rPr>
        <w:t>调整</w:t>
      </w:r>
      <w:r w:rsidR="00377794">
        <w:rPr>
          <w:rFonts w:ascii="宋体" w:eastAsia="宋体" w:hAnsi="宋体" w:cs="Times New Roman" w:hint="eastAsia"/>
          <w:b/>
          <w:color w:val="000000"/>
          <w:kern w:val="0"/>
        </w:rPr>
        <w:t>旗下</w:t>
      </w:r>
      <w:r w:rsidR="00270FF2">
        <w:rPr>
          <w:rFonts w:ascii="宋体" w:eastAsia="宋体" w:hAnsi="宋体" w:cs="Times New Roman" w:hint="eastAsia"/>
          <w:b/>
          <w:color w:val="000000"/>
          <w:kern w:val="0"/>
        </w:rPr>
        <w:t>部分基金</w:t>
      </w:r>
      <w:r w:rsidR="0065016E">
        <w:rPr>
          <w:rFonts w:ascii="宋体" w:eastAsia="宋体" w:hAnsi="宋体" w:cs="Times New Roman"/>
          <w:b/>
          <w:color w:val="000000"/>
          <w:kern w:val="0"/>
        </w:rPr>
        <w:t>在招商银行</w:t>
      </w:r>
      <w:r w:rsidR="00377794">
        <w:rPr>
          <w:rFonts w:ascii="宋体" w:eastAsia="宋体" w:hAnsi="宋体" w:cs="Times New Roman" w:hint="eastAsia"/>
          <w:b/>
          <w:color w:val="000000"/>
          <w:kern w:val="0"/>
        </w:rPr>
        <w:t>定投</w:t>
      </w:r>
      <w:r w:rsidR="0065016E">
        <w:rPr>
          <w:rFonts w:ascii="宋体" w:eastAsia="宋体" w:hAnsi="宋体" w:cs="Times New Roman" w:hint="eastAsia"/>
          <w:b/>
          <w:color w:val="000000"/>
          <w:kern w:val="0"/>
        </w:rPr>
        <w:t>业务</w:t>
      </w:r>
      <w:r w:rsidRPr="00A34106">
        <w:rPr>
          <w:rFonts w:ascii="宋体" w:eastAsia="宋体" w:hAnsi="宋体" w:cs="Times New Roman"/>
          <w:b/>
          <w:color w:val="000000"/>
          <w:kern w:val="0"/>
        </w:rPr>
        <w:t>起点</w:t>
      </w:r>
      <w:r w:rsidR="00377794">
        <w:rPr>
          <w:rFonts w:ascii="宋体" w:eastAsia="宋体" w:hAnsi="宋体" w:cs="Times New Roman" w:hint="eastAsia"/>
          <w:b/>
          <w:color w:val="000000"/>
          <w:kern w:val="0"/>
        </w:rPr>
        <w:t>金额</w:t>
      </w:r>
      <w:r w:rsidRPr="00A34106">
        <w:rPr>
          <w:rFonts w:ascii="宋体" w:eastAsia="宋体" w:hAnsi="宋体" w:cs="Times New Roman"/>
          <w:b/>
          <w:color w:val="000000"/>
          <w:kern w:val="0"/>
        </w:rPr>
        <w:t>的公告</w:t>
      </w:r>
    </w:p>
    <w:p w:rsidR="00A34106" w:rsidRPr="00A34106" w:rsidRDefault="00A34106" w:rsidP="00A34106">
      <w:pPr>
        <w:widowControl/>
        <w:spacing w:line="360" w:lineRule="auto"/>
        <w:jc w:val="center"/>
        <w:outlineLvl w:val="2"/>
        <w:rPr>
          <w:rFonts w:ascii="宋体" w:eastAsia="宋体" w:hAnsi="宋体" w:cs="Times New Roman"/>
          <w:b/>
          <w:color w:val="000000"/>
          <w:kern w:val="0"/>
        </w:rPr>
      </w:pPr>
    </w:p>
    <w:p w:rsidR="00270FF2" w:rsidRPr="00377794" w:rsidRDefault="00E270EC" w:rsidP="0037779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为满足广大投资者的理财需求，</w:t>
      </w:r>
      <w:r w:rsidR="00377794">
        <w:rPr>
          <w:rFonts w:ascii="宋体" w:eastAsia="宋体" w:hAnsi="宋体" w:cs="宋体" w:hint="eastAsia"/>
          <w:color w:val="000000"/>
          <w:kern w:val="0"/>
          <w:szCs w:val="21"/>
        </w:rPr>
        <w:t>经</w:t>
      </w: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中欧基金管理有限公司（以下简称“本公司”）与招商银行股份有限公司（以下简称“招商银行”）协商一致，决定自</w:t>
      </w:r>
      <w:r w:rsidR="00270FF2" w:rsidRPr="00A34106">
        <w:rPr>
          <w:rFonts w:ascii="宋体" w:eastAsia="宋体" w:hAnsi="宋体" w:cs="宋体"/>
          <w:color w:val="000000"/>
          <w:kern w:val="0"/>
          <w:szCs w:val="21"/>
        </w:rPr>
        <w:t>20</w:t>
      </w:r>
      <w:r w:rsidR="00310316">
        <w:rPr>
          <w:rFonts w:ascii="宋体" w:eastAsia="宋体" w:hAnsi="宋体" w:cs="宋体"/>
          <w:color w:val="000000"/>
          <w:kern w:val="0"/>
          <w:szCs w:val="21"/>
        </w:rPr>
        <w:t>20</w:t>
      </w:r>
      <w:r w:rsidR="00270FF2" w:rsidRPr="00A34106">
        <w:rPr>
          <w:rFonts w:ascii="宋体" w:eastAsia="宋体" w:hAnsi="宋体" w:cs="宋体"/>
          <w:color w:val="000000"/>
          <w:kern w:val="0"/>
          <w:szCs w:val="21"/>
        </w:rPr>
        <w:t>年</w:t>
      </w:r>
      <w:r w:rsidR="00310316">
        <w:rPr>
          <w:rFonts w:ascii="宋体" w:eastAsia="宋体" w:hAnsi="宋体" w:cs="宋体"/>
          <w:color w:val="000000"/>
          <w:kern w:val="0"/>
          <w:szCs w:val="21"/>
        </w:rPr>
        <w:t>5</w:t>
      </w:r>
      <w:r w:rsidRPr="00A34106">
        <w:rPr>
          <w:rFonts w:ascii="宋体" w:eastAsia="宋体" w:hAnsi="宋体" w:cs="宋体"/>
          <w:color w:val="000000"/>
          <w:kern w:val="0"/>
          <w:szCs w:val="21"/>
        </w:rPr>
        <w:t>月</w:t>
      </w:r>
      <w:r w:rsidR="00310316">
        <w:rPr>
          <w:rFonts w:ascii="宋体" w:eastAsia="宋体" w:hAnsi="宋体" w:cs="宋体"/>
          <w:color w:val="000000"/>
          <w:kern w:val="0"/>
          <w:szCs w:val="21"/>
        </w:rPr>
        <w:t>13</w:t>
      </w:r>
      <w:r w:rsidRPr="00A34106">
        <w:rPr>
          <w:rFonts w:ascii="宋体" w:eastAsia="宋体" w:hAnsi="宋体" w:cs="宋体"/>
          <w:color w:val="000000"/>
          <w:kern w:val="0"/>
          <w:szCs w:val="21"/>
        </w:rPr>
        <w:t>日起，</w:t>
      </w: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调整旗下</w:t>
      </w:r>
      <w:r w:rsidR="00270FF2">
        <w:rPr>
          <w:rFonts w:ascii="宋体" w:eastAsia="宋体" w:hAnsi="宋体" w:cs="宋体" w:hint="eastAsia"/>
          <w:color w:val="000000"/>
          <w:kern w:val="0"/>
          <w:szCs w:val="21"/>
        </w:rPr>
        <w:t>部分基金</w:t>
      </w: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在招商银行的</w:t>
      </w:r>
      <w:r w:rsidR="00377794">
        <w:rPr>
          <w:rFonts w:ascii="宋体" w:eastAsia="宋体" w:hAnsi="宋体" w:cs="宋体" w:hint="eastAsia"/>
          <w:color w:val="000000"/>
          <w:kern w:val="0"/>
          <w:szCs w:val="21"/>
        </w:rPr>
        <w:t>定投业务</w:t>
      </w: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起点</w:t>
      </w:r>
      <w:r w:rsidR="00377794">
        <w:rPr>
          <w:rFonts w:ascii="宋体" w:eastAsia="宋体" w:hAnsi="宋体" w:cs="宋体" w:hint="eastAsia"/>
          <w:color w:val="000000"/>
          <w:kern w:val="0"/>
          <w:szCs w:val="21"/>
        </w:rPr>
        <w:t>金额至1</w:t>
      </w:r>
      <w:r w:rsidR="00377794">
        <w:rPr>
          <w:rFonts w:ascii="宋体" w:eastAsia="宋体" w:hAnsi="宋体" w:cs="宋体"/>
          <w:color w:val="000000"/>
          <w:kern w:val="0"/>
          <w:szCs w:val="21"/>
        </w:rPr>
        <w:t>0</w:t>
      </w:r>
      <w:r w:rsidR="00377794">
        <w:rPr>
          <w:rFonts w:ascii="宋体" w:eastAsia="宋体" w:hAnsi="宋体" w:cs="宋体" w:hint="eastAsia"/>
          <w:color w:val="000000"/>
          <w:kern w:val="0"/>
          <w:szCs w:val="21"/>
        </w:rPr>
        <w:t>元（含）</w:t>
      </w:r>
      <w:r w:rsidR="00377794" w:rsidRPr="00A34106">
        <w:rPr>
          <w:rFonts w:ascii="宋体" w:eastAsia="宋体" w:hAnsi="宋体" w:cs="宋体"/>
          <w:color w:val="000000"/>
          <w:kern w:val="0"/>
          <w:szCs w:val="21"/>
        </w:rPr>
        <w:t>。</w:t>
      </w:r>
      <w:r w:rsidR="00377794">
        <w:rPr>
          <w:rFonts w:ascii="宋体" w:eastAsia="宋体" w:hAnsi="宋体" w:cs="宋体" w:hint="eastAsia"/>
          <w:color w:val="000000"/>
          <w:kern w:val="0"/>
          <w:szCs w:val="21"/>
        </w:rPr>
        <w:t>具体业务</w:t>
      </w:r>
      <w:r w:rsidR="00377794">
        <w:rPr>
          <w:rFonts w:ascii="宋体" w:eastAsia="宋体" w:hAnsi="宋体" w:cs="宋体"/>
          <w:color w:val="000000"/>
          <w:kern w:val="0"/>
          <w:szCs w:val="21"/>
        </w:rPr>
        <w:t>规则请</w:t>
      </w:r>
      <w:r w:rsidR="00377794" w:rsidRPr="00196AA7">
        <w:rPr>
          <w:rFonts w:ascii="宋体" w:eastAsia="宋体" w:hAnsi="宋体" w:cs="宋体" w:hint="eastAsia"/>
          <w:color w:val="000000"/>
          <w:kern w:val="0"/>
          <w:szCs w:val="21"/>
        </w:rPr>
        <w:t>以招商银行的</w:t>
      </w:r>
      <w:r w:rsidR="00377794">
        <w:rPr>
          <w:rFonts w:ascii="宋体" w:eastAsia="宋体" w:hAnsi="宋体" w:cs="宋体" w:hint="eastAsia"/>
          <w:color w:val="000000"/>
          <w:kern w:val="0"/>
          <w:szCs w:val="21"/>
        </w:rPr>
        <w:t>相关规定</w:t>
      </w:r>
      <w:r w:rsidR="00377794" w:rsidRPr="00196AA7">
        <w:rPr>
          <w:rFonts w:ascii="宋体" w:eastAsia="宋体" w:hAnsi="宋体" w:cs="宋体" w:hint="eastAsia"/>
          <w:color w:val="000000"/>
          <w:kern w:val="0"/>
          <w:szCs w:val="21"/>
        </w:rPr>
        <w:t>和公告为准。</w:t>
      </w:r>
    </w:p>
    <w:p w:rsidR="00270FF2" w:rsidRPr="001F15BF" w:rsidRDefault="00377794" w:rsidP="001F15B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适用基金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范围</w:t>
      </w:r>
    </w:p>
    <w:tbl>
      <w:tblPr>
        <w:tblStyle w:val="a5"/>
        <w:tblW w:w="8364" w:type="dxa"/>
        <w:tblInd w:w="420" w:type="dxa"/>
        <w:tblLook w:val="04A0"/>
      </w:tblPr>
      <w:tblGrid>
        <w:gridCol w:w="1843"/>
        <w:gridCol w:w="6521"/>
      </w:tblGrid>
      <w:tr w:rsidR="00310316" w:rsidTr="003F0B38">
        <w:tc>
          <w:tcPr>
            <w:tcW w:w="1843" w:type="dxa"/>
          </w:tcPr>
          <w:p w:rsidR="00310316" w:rsidRPr="001F15BF" w:rsidRDefault="00310316" w:rsidP="001F1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F15B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基金</w:t>
            </w:r>
            <w:r w:rsidRPr="001F15BF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6521" w:type="dxa"/>
          </w:tcPr>
          <w:p w:rsidR="00310316" w:rsidRPr="001F15BF" w:rsidRDefault="00310316" w:rsidP="001F1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F15B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基金</w:t>
            </w:r>
            <w:r w:rsidRPr="001F15BF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全称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166001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中欧新趋势混合型证券投资基金(LOF)A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004232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中欧价值发现混合型证券投资基金C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166006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中欧行业成长混合型证券投资基金(LOF)A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004231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中欧行业成长混合型证券投资基金(LOF)C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166008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中欧增强回报债券型证券投资基金(LOF)A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166009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中欧新动力混合型证券投资基金(LOF)A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166011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中欧盛世成长混合型证券投资基金(LOF)A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166014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中欧货币市场基金A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001000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中欧明睿新起点混合型证券投资基金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001811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中欧明睿新常态混合型证券投资基金A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002621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中欧消费主题股票型证券投资基金A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002697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中欧消费主题股票型证券投资基金C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003095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中欧医疗健康混合型证券投资基金A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003096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中欧医疗健康混合型证券投资基金C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002685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中欧丰泓沪港深灵活配置混合型证券投资基金A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002686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中欧丰泓沪港深灵活配置混合型证券投资基金C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002920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中欧短债债券型证券投资基金A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006562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中欧短债债券型证券投资基金C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004939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中欧滚钱宝发起式货币市场基金C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004993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中欧可转债债券型证券投资基金A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lastRenderedPageBreak/>
              <w:t>004994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中欧可转债债券型证券投资基金C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006321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中欧预见养老目标日期2035三年持有期混合型基金中基金（FOF）A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006322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中欧预见养老目标日期2035三年持有期混合型基金中基金（FOF）C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</w:t>
            </w:r>
            <w:r w:rsidRPr="003F0B38">
              <w:rPr>
                <w:rFonts w:ascii="宋体" w:eastAsia="宋体" w:hAnsi="宋体"/>
                <w:szCs w:val="21"/>
              </w:rPr>
              <w:t>06529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中欧匠心两年持有期混合型证券投资基金A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5</w:t>
            </w:r>
            <w:r w:rsidRPr="003F0B38">
              <w:rPr>
                <w:rFonts w:ascii="宋体" w:eastAsia="宋体" w:hAnsi="宋体"/>
                <w:szCs w:val="21"/>
              </w:rPr>
              <w:t>01081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中欧科创主题3年封闭运作灵活配置混合型证券投资基金</w:t>
            </w:r>
          </w:p>
        </w:tc>
      </w:tr>
      <w:tr w:rsidR="00310316" w:rsidRPr="003F0B38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008375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中欧启航三年持有期混合型证券投资基金A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008376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中欧启航三年持有期混合型证券投资基金C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</w:t>
            </w:r>
            <w:r w:rsidRPr="003F0B38">
              <w:rPr>
                <w:rFonts w:ascii="宋体" w:eastAsia="宋体" w:hAnsi="宋体"/>
                <w:szCs w:val="21"/>
              </w:rPr>
              <w:t>09210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中欧嘉和三年持有期混合型证券投资基金A</w:t>
            </w:r>
          </w:p>
        </w:tc>
      </w:tr>
      <w:tr w:rsidR="00310316" w:rsidTr="003F0B38">
        <w:tc>
          <w:tcPr>
            <w:tcW w:w="1843" w:type="dxa"/>
          </w:tcPr>
          <w:p w:rsidR="00310316" w:rsidRPr="003F0B38" w:rsidRDefault="00310316" w:rsidP="003F0B3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0</w:t>
            </w:r>
            <w:r w:rsidRPr="003F0B38">
              <w:rPr>
                <w:rFonts w:ascii="宋体" w:eastAsia="宋体" w:hAnsi="宋体"/>
                <w:szCs w:val="21"/>
              </w:rPr>
              <w:t>09211</w:t>
            </w:r>
          </w:p>
        </w:tc>
        <w:tc>
          <w:tcPr>
            <w:tcW w:w="6521" w:type="dxa"/>
          </w:tcPr>
          <w:p w:rsidR="00310316" w:rsidRPr="003F0B38" w:rsidRDefault="00310316" w:rsidP="003103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F0B38">
              <w:rPr>
                <w:rFonts w:ascii="宋体" w:eastAsia="宋体" w:hAnsi="宋体" w:hint="eastAsia"/>
                <w:szCs w:val="21"/>
              </w:rPr>
              <w:t>中欧嘉和三年持有期混合型证券投资基金C</w:t>
            </w:r>
          </w:p>
        </w:tc>
      </w:tr>
    </w:tbl>
    <w:p w:rsidR="00E270EC" w:rsidRDefault="00377794" w:rsidP="0037779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注：</w:t>
      </w:r>
      <w:r w:rsidR="001C34E8" w:rsidRPr="003F0B38">
        <w:rPr>
          <w:rFonts w:ascii="宋体" w:eastAsia="宋体" w:hAnsi="宋体" w:hint="eastAsia"/>
          <w:szCs w:val="21"/>
        </w:rPr>
        <w:t>中欧科创主题3年封闭运作灵活配置混合型证券投资基金</w:t>
      </w:r>
      <w:r w:rsidR="001C34E8"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中欧嘉和</w:t>
      </w:r>
      <w:r w:rsidRPr="003F0B38">
        <w:rPr>
          <w:rFonts w:ascii="宋体" w:eastAsia="宋体" w:hAnsi="宋体" w:hint="eastAsia"/>
          <w:szCs w:val="21"/>
        </w:rPr>
        <w:t>三年持有期混合型证券投资基金</w:t>
      </w:r>
      <w:r>
        <w:rPr>
          <w:rFonts w:ascii="宋体" w:eastAsia="宋体" w:hAnsi="宋体" w:hint="eastAsia"/>
          <w:szCs w:val="21"/>
        </w:rPr>
        <w:t>自后续公告开通定投业务起在招行适用1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元的定投业务起点金额。</w:t>
      </w:r>
    </w:p>
    <w:p w:rsidR="00377794" w:rsidRDefault="00377794" w:rsidP="0037779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70FF2" w:rsidRPr="00A34106" w:rsidRDefault="00377794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="00270FF2" w:rsidRPr="00270FF2">
        <w:rPr>
          <w:rFonts w:ascii="宋体" w:eastAsia="宋体" w:hAnsi="宋体" w:cs="宋体" w:hint="eastAsia"/>
          <w:color w:val="000000"/>
          <w:kern w:val="0"/>
          <w:szCs w:val="21"/>
        </w:rPr>
        <w:t>、投资者可通过以下途径咨询有关详情：</w:t>
      </w: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/>
          <w:color w:val="000000"/>
          <w:kern w:val="0"/>
          <w:szCs w:val="21"/>
        </w:rPr>
        <w:t>1、招商银行股份有限公司</w:t>
      </w: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客服热线：</w:t>
      </w:r>
      <w:r w:rsidRPr="00A34106">
        <w:rPr>
          <w:rFonts w:ascii="宋体" w:eastAsia="宋体" w:hAnsi="宋体" w:cs="宋体"/>
          <w:color w:val="000000"/>
          <w:kern w:val="0"/>
          <w:szCs w:val="21"/>
        </w:rPr>
        <w:t>95555</w:t>
      </w: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网址：</w:t>
      </w:r>
      <w:r w:rsidRPr="00A34106">
        <w:rPr>
          <w:rFonts w:ascii="宋体" w:eastAsia="宋体" w:hAnsi="宋体" w:cs="宋体"/>
          <w:color w:val="000000"/>
          <w:kern w:val="0"/>
          <w:szCs w:val="21"/>
        </w:rPr>
        <w:t>www.cmbchina.com</w:t>
      </w: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/>
          <w:color w:val="000000"/>
          <w:kern w:val="0"/>
          <w:szCs w:val="21"/>
        </w:rPr>
        <w:t xml:space="preserve"> 2、中欧基金管理有限公司</w:t>
      </w: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客服电话：</w:t>
      </w:r>
      <w:r w:rsidRPr="00A34106">
        <w:rPr>
          <w:rFonts w:ascii="宋体" w:eastAsia="宋体" w:hAnsi="宋体" w:cs="宋体"/>
          <w:color w:val="000000"/>
          <w:kern w:val="0"/>
          <w:szCs w:val="21"/>
        </w:rPr>
        <w:t>021-68609700、400-700-9700</w:t>
      </w:r>
    </w:p>
    <w:p w:rsidR="00E270EC" w:rsidRDefault="00A34106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Pr="00196AA7">
        <w:rPr>
          <w:rFonts w:ascii="宋体" w:eastAsia="宋体" w:hAnsi="宋体" w:cs="宋体"/>
          <w:color w:val="000000"/>
          <w:kern w:val="0"/>
          <w:szCs w:val="21"/>
        </w:rPr>
        <w:t>www.zofund.com</w:t>
      </w:r>
    </w:p>
    <w:p w:rsidR="00A34106" w:rsidRDefault="00A34106" w:rsidP="00A3410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34106" w:rsidRPr="00A34106" w:rsidRDefault="00377794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="00C920D9">
        <w:rPr>
          <w:rFonts w:ascii="宋体" w:eastAsia="宋体" w:hAnsi="宋体" w:cs="宋体"/>
          <w:color w:val="000000"/>
          <w:kern w:val="0"/>
          <w:szCs w:val="21"/>
        </w:rPr>
        <w:t>、</w:t>
      </w:r>
      <w:r w:rsidR="00A34106" w:rsidRPr="00A34106">
        <w:rPr>
          <w:rFonts w:ascii="宋体" w:eastAsia="宋体" w:hAnsi="宋体" w:cs="宋体" w:hint="eastAsia"/>
          <w:color w:val="000000"/>
          <w:kern w:val="0"/>
          <w:szCs w:val="21"/>
        </w:rPr>
        <w:t>风险提示：</w:t>
      </w: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本公司承诺以诚实信用、勤勉尽责的原则管理和运用基金资产，但不保证基金一定盈利，也不保证最低收益。投资人投资本公司旗下开放式基金前应认真阅读相关基金合同、招募说明书。敬请投资者留意投资风险。</w:t>
      </w: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34106" w:rsidRPr="00A34106" w:rsidRDefault="00A34106" w:rsidP="00A34106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 w:hint="eastAsia"/>
          <w:color w:val="000000"/>
          <w:kern w:val="0"/>
          <w:szCs w:val="21"/>
        </w:rPr>
        <w:t>中欧基金管理有限公司</w:t>
      </w:r>
    </w:p>
    <w:p w:rsidR="00A34106" w:rsidRPr="00A34106" w:rsidRDefault="00A35795" w:rsidP="00A34106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A34106">
        <w:rPr>
          <w:rFonts w:ascii="宋体" w:eastAsia="宋体" w:hAnsi="宋体" w:cs="宋体"/>
          <w:color w:val="000000"/>
          <w:kern w:val="0"/>
          <w:szCs w:val="21"/>
        </w:rPr>
        <w:t>20</w:t>
      </w:r>
      <w:r w:rsidR="003F0B38">
        <w:rPr>
          <w:rFonts w:ascii="宋体" w:eastAsia="宋体" w:hAnsi="宋体" w:cs="宋体"/>
          <w:color w:val="000000"/>
          <w:kern w:val="0"/>
          <w:szCs w:val="21"/>
        </w:rPr>
        <w:t>20</w:t>
      </w:r>
      <w:r w:rsidRPr="00A34106">
        <w:rPr>
          <w:rFonts w:ascii="宋体" w:eastAsia="宋体" w:hAnsi="宋体" w:cs="宋体"/>
          <w:color w:val="000000"/>
          <w:kern w:val="0"/>
          <w:szCs w:val="21"/>
        </w:rPr>
        <w:t>年</w:t>
      </w:r>
      <w:r w:rsidR="003F0B38">
        <w:rPr>
          <w:rFonts w:ascii="宋体" w:eastAsia="宋体" w:hAnsi="宋体" w:cs="宋体"/>
          <w:color w:val="000000"/>
          <w:kern w:val="0"/>
          <w:szCs w:val="21"/>
        </w:rPr>
        <w:t>5</w:t>
      </w:r>
      <w:r w:rsidR="00A34106" w:rsidRPr="00A34106">
        <w:rPr>
          <w:rFonts w:ascii="宋体" w:eastAsia="宋体" w:hAnsi="宋体" w:cs="宋体"/>
          <w:color w:val="000000"/>
          <w:kern w:val="0"/>
          <w:szCs w:val="21"/>
        </w:rPr>
        <w:t>月</w:t>
      </w:r>
      <w:r>
        <w:rPr>
          <w:rFonts w:ascii="宋体" w:eastAsia="宋体" w:hAnsi="宋体" w:cs="宋体"/>
          <w:color w:val="000000"/>
          <w:kern w:val="0"/>
          <w:szCs w:val="21"/>
        </w:rPr>
        <w:t>1</w:t>
      </w:r>
      <w:r w:rsidR="003F0B38">
        <w:rPr>
          <w:rFonts w:ascii="宋体" w:eastAsia="宋体" w:hAnsi="宋体" w:cs="宋体"/>
          <w:color w:val="000000"/>
          <w:kern w:val="0"/>
          <w:szCs w:val="21"/>
        </w:rPr>
        <w:t>3</w:t>
      </w:r>
      <w:r w:rsidR="00A34106" w:rsidRPr="00A34106">
        <w:rPr>
          <w:rFonts w:ascii="宋体" w:eastAsia="宋体" w:hAnsi="宋体" w:cs="宋体"/>
          <w:color w:val="000000"/>
          <w:kern w:val="0"/>
          <w:szCs w:val="21"/>
        </w:rPr>
        <w:t>日</w:t>
      </w:r>
    </w:p>
    <w:sectPr w:rsidR="00A34106" w:rsidRPr="00A34106" w:rsidSect="00D30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B3" w:rsidRDefault="00B500B3" w:rsidP="00777EA1">
      <w:r>
        <w:separator/>
      </w:r>
    </w:p>
  </w:endnote>
  <w:endnote w:type="continuationSeparator" w:id="1">
    <w:p w:rsidR="00B500B3" w:rsidRDefault="00B500B3" w:rsidP="0077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B3" w:rsidRDefault="00B500B3" w:rsidP="00777EA1">
      <w:r>
        <w:separator/>
      </w:r>
    </w:p>
  </w:footnote>
  <w:footnote w:type="continuationSeparator" w:id="1">
    <w:p w:rsidR="00B500B3" w:rsidRDefault="00B500B3" w:rsidP="00777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47"/>
    <w:multiLevelType w:val="hybridMultilevel"/>
    <w:tmpl w:val="41BEA0CA"/>
    <w:lvl w:ilvl="0" w:tplc="26CCA6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0EC"/>
    <w:rsid w:val="00196AA7"/>
    <w:rsid w:val="001C34E8"/>
    <w:rsid w:val="001F15BF"/>
    <w:rsid w:val="00270FF2"/>
    <w:rsid w:val="002B047A"/>
    <w:rsid w:val="00310316"/>
    <w:rsid w:val="00377794"/>
    <w:rsid w:val="003C5DF4"/>
    <w:rsid w:val="003F0B38"/>
    <w:rsid w:val="00464759"/>
    <w:rsid w:val="004B3A10"/>
    <w:rsid w:val="005048E5"/>
    <w:rsid w:val="0065016E"/>
    <w:rsid w:val="007207AC"/>
    <w:rsid w:val="00777EA1"/>
    <w:rsid w:val="007A3135"/>
    <w:rsid w:val="00852A76"/>
    <w:rsid w:val="009A6230"/>
    <w:rsid w:val="009C7AE1"/>
    <w:rsid w:val="00A34106"/>
    <w:rsid w:val="00A35795"/>
    <w:rsid w:val="00A75B9D"/>
    <w:rsid w:val="00B500B3"/>
    <w:rsid w:val="00C920D9"/>
    <w:rsid w:val="00D173A4"/>
    <w:rsid w:val="00D3024C"/>
    <w:rsid w:val="00D67B2B"/>
    <w:rsid w:val="00E270EC"/>
    <w:rsid w:val="00E52CF9"/>
    <w:rsid w:val="00EC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FF2"/>
    <w:pPr>
      <w:ind w:firstLineChars="200" w:firstLine="420"/>
    </w:pPr>
  </w:style>
  <w:style w:type="table" w:styleId="a5">
    <w:name w:val="Table Grid"/>
    <w:basedOn w:val="a1"/>
    <w:uiPriority w:val="39"/>
    <w:rsid w:val="0027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F15B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F15BF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7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77EA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77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77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4DB8-A472-4BE8-9771-E1AD0AB1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4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范雯倩（数据营销部）</dc:creator>
  <cp:lastModifiedBy>JonMMx 2000</cp:lastModifiedBy>
  <cp:revision>2</cp:revision>
  <cp:lastPrinted>2019-03-05T09:01:00Z</cp:lastPrinted>
  <dcterms:created xsi:type="dcterms:W3CDTF">2020-05-12T16:01:00Z</dcterms:created>
  <dcterms:modified xsi:type="dcterms:W3CDTF">2020-05-12T16:01:00Z</dcterms:modified>
</cp:coreProperties>
</file>