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0D" w:rsidRPr="00103D0D" w:rsidRDefault="00940EAD" w:rsidP="001C6D3C">
      <w:pPr>
        <w:spacing w:line="360" w:lineRule="auto"/>
        <w:jc w:val="center"/>
        <w:rPr>
          <w:rFonts w:ascii="宋体" w:eastAsia="宋体" w:hAnsi="宋体" w:cs="Times New Roman"/>
          <w:b/>
          <w:sz w:val="30"/>
          <w:szCs w:val="30"/>
        </w:rPr>
      </w:pPr>
      <w:r w:rsidRPr="00BE7A4F">
        <w:rPr>
          <w:rFonts w:ascii="宋体" w:eastAsia="宋体" w:hAnsi="宋体" w:cs="宋体" w:hint="eastAsia"/>
          <w:b/>
          <w:bCs/>
          <w:color w:val="333333"/>
          <w:kern w:val="0"/>
          <w:sz w:val="28"/>
          <w:szCs w:val="28"/>
        </w:rPr>
        <w:t>银河基金管理有限公司关于旗下</w:t>
      </w:r>
      <w:r>
        <w:rPr>
          <w:rFonts w:ascii="宋体" w:eastAsia="宋体" w:hAnsi="宋体" w:cs="宋体" w:hint="eastAsia"/>
          <w:b/>
          <w:bCs/>
          <w:color w:val="333333"/>
          <w:kern w:val="0"/>
          <w:sz w:val="28"/>
          <w:szCs w:val="28"/>
        </w:rPr>
        <w:t>部分</w:t>
      </w:r>
      <w:r w:rsidRPr="0007554C">
        <w:rPr>
          <w:rFonts w:ascii="宋体" w:eastAsia="宋体" w:hAnsi="宋体" w:cs="宋体" w:hint="eastAsia"/>
          <w:b/>
          <w:bCs/>
          <w:color w:val="333333"/>
          <w:kern w:val="0"/>
          <w:sz w:val="28"/>
          <w:szCs w:val="28"/>
        </w:rPr>
        <w:t>基金</w:t>
      </w:r>
      <w:r>
        <w:rPr>
          <w:rFonts w:ascii="宋体" w:eastAsia="宋体" w:hAnsi="宋体" w:cs="宋体" w:hint="eastAsia"/>
          <w:b/>
          <w:bCs/>
          <w:color w:val="333333"/>
          <w:kern w:val="0"/>
          <w:sz w:val="28"/>
          <w:szCs w:val="28"/>
        </w:rPr>
        <w:t>在</w:t>
      </w:r>
      <w:r w:rsidR="00A81590" w:rsidRPr="00A81590">
        <w:rPr>
          <w:rFonts w:ascii="宋体" w:eastAsia="宋体" w:hAnsi="宋体" w:cs="宋体" w:hint="eastAsia"/>
          <w:b/>
          <w:bCs/>
          <w:color w:val="333333"/>
          <w:kern w:val="0"/>
          <w:sz w:val="28"/>
          <w:szCs w:val="28"/>
        </w:rPr>
        <w:t>广发证券股份有限公司</w:t>
      </w:r>
      <w:r>
        <w:rPr>
          <w:rFonts w:ascii="宋体" w:eastAsia="宋体" w:hAnsi="宋体" w:cs="宋体" w:hint="eastAsia"/>
          <w:b/>
          <w:bCs/>
          <w:color w:val="333333"/>
          <w:kern w:val="0"/>
          <w:sz w:val="28"/>
          <w:szCs w:val="28"/>
        </w:rPr>
        <w:t>开通</w:t>
      </w:r>
      <w:r w:rsidRPr="00BE7A4F">
        <w:rPr>
          <w:rFonts w:ascii="宋体" w:eastAsia="宋体" w:hAnsi="宋体" w:cs="宋体" w:hint="eastAsia"/>
          <w:b/>
          <w:bCs/>
          <w:color w:val="333333"/>
          <w:kern w:val="0"/>
          <w:sz w:val="28"/>
          <w:szCs w:val="28"/>
        </w:rPr>
        <w:t>定投</w:t>
      </w:r>
      <w:r w:rsidR="004B06B5">
        <w:rPr>
          <w:rFonts w:ascii="宋体" w:eastAsia="宋体" w:hAnsi="宋体" w:cs="宋体" w:hint="eastAsia"/>
          <w:b/>
          <w:bCs/>
          <w:color w:val="333333"/>
          <w:kern w:val="0"/>
          <w:sz w:val="28"/>
          <w:szCs w:val="28"/>
        </w:rPr>
        <w:t>业务并参加</w:t>
      </w:r>
      <w:r w:rsidRPr="00BE7A4F">
        <w:rPr>
          <w:rFonts w:ascii="宋体" w:eastAsia="宋体" w:hAnsi="宋体" w:cs="宋体"/>
          <w:b/>
          <w:bCs/>
          <w:color w:val="333333"/>
          <w:kern w:val="0"/>
          <w:sz w:val="28"/>
          <w:szCs w:val="28"/>
        </w:rPr>
        <w:t>费率优惠</w:t>
      </w:r>
      <w:r>
        <w:rPr>
          <w:rFonts w:ascii="宋体" w:eastAsia="宋体" w:hAnsi="宋体" w:cs="宋体" w:hint="eastAsia"/>
          <w:b/>
          <w:bCs/>
          <w:color w:val="333333"/>
          <w:kern w:val="0"/>
          <w:sz w:val="28"/>
          <w:szCs w:val="28"/>
        </w:rPr>
        <w:t>活动的</w:t>
      </w:r>
      <w:r>
        <w:rPr>
          <w:rFonts w:ascii="宋体" w:eastAsia="宋体" w:hAnsi="宋体" w:cs="宋体"/>
          <w:b/>
          <w:bCs/>
          <w:color w:val="333333"/>
          <w:kern w:val="0"/>
          <w:sz w:val="28"/>
          <w:szCs w:val="28"/>
        </w:rPr>
        <w:t>公告</w:t>
      </w:r>
    </w:p>
    <w:p w:rsidR="00A307CB" w:rsidRPr="00237987" w:rsidRDefault="00A307CB" w:rsidP="006A68A0">
      <w:pPr>
        <w:spacing w:line="360" w:lineRule="auto"/>
        <w:ind w:firstLine="420"/>
        <w:rPr>
          <w:szCs w:val="21"/>
        </w:rPr>
      </w:pPr>
      <w:r w:rsidRPr="00237987">
        <w:rPr>
          <w:rFonts w:ascii="宋体" w:hAnsi="宋体" w:cs="宋体" w:hint="eastAsia"/>
          <w:color w:val="000000"/>
          <w:kern w:val="0"/>
          <w:szCs w:val="21"/>
        </w:rPr>
        <w:t>为了更好地满足广大投资者的理财需求，银河基金管理有限公司（以下简称“本公司”）与</w:t>
      </w:r>
      <w:r w:rsidR="00A81590" w:rsidRPr="00A81590">
        <w:rPr>
          <w:rFonts w:ascii="宋体" w:hAnsi="宋体" w:cs="宋体" w:hint="eastAsia"/>
          <w:kern w:val="0"/>
          <w:szCs w:val="21"/>
        </w:rPr>
        <w:t>广发证券股份有限公司</w:t>
      </w:r>
      <w:r w:rsidR="00CC2621">
        <w:rPr>
          <w:rFonts w:ascii="宋体" w:hAnsi="宋体" w:cs="宋体" w:hint="eastAsia"/>
          <w:kern w:val="0"/>
          <w:szCs w:val="21"/>
        </w:rPr>
        <w:t>（以下</w:t>
      </w:r>
      <w:r w:rsidR="00CC2621">
        <w:rPr>
          <w:rFonts w:ascii="宋体" w:hAnsi="宋体" w:cs="宋体"/>
          <w:kern w:val="0"/>
          <w:szCs w:val="21"/>
        </w:rPr>
        <w:t>简称“</w:t>
      </w:r>
      <w:r w:rsidR="00A81590">
        <w:rPr>
          <w:rFonts w:ascii="宋体" w:hAnsi="宋体" w:cs="宋体" w:hint="eastAsia"/>
          <w:kern w:val="0"/>
          <w:szCs w:val="21"/>
        </w:rPr>
        <w:t>广发</w:t>
      </w:r>
      <w:r w:rsidR="00CC2621">
        <w:rPr>
          <w:rFonts w:ascii="宋体" w:hAnsi="宋体" w:cs="宋体" w:hint="eastAsia"/>
          <w:kern w:val="0"/>
          <w:szCs w:val="21"/>
        </w:rPr>
        <w:t>证券</w:t>
      </w:r>
      <w:r w:rsidR="00CC2621">
        <w:rPr>
          <w:rFonts w:ascii="宋体" w:hAnsi="宋体" w:cs="宋体"/>
          <w:kern w:val="0"/>
          <w:szCs w:val="21"/>
        </w:rPr>
        <w:t>”</w:t>
      </w:r>
      <w:r w:rsidR="00CC2621">
        <w:rPr>
          <w:rFonts w:ascii="宋体" w:hAnsi="宋体" w:cs="宋体" w:hint="eastAsia"/>
          <w:kern w:val="0"/>
          <w:szCs w:val="21"/>
        </w:rPr>
        <w:t>）</w:t>
      </w:r>
      <w:r w:rsidR="00CC2621" w:rsidRPr="0007554C">
        <w:rPr>
          <w:rFonts w:ascii="宋体" w:hAnsi="宋体" w:cs="宋体" w:hint="eastAsia"/>
          <w:kern w:val="0"/>
          <w:szCs w:val="21"/>
        </w:rPr>
        <w:t>协商，自</w:t>
      </w:r>
      <w:r w:rsidR="00536670" w:rsidRPr="0007554C">
        <w:rPr>
          <w:rFonts w:ascii="宋体" w:hAnsi="宋体" w:cs="宋体" w:hint="eastAsia"/>
          <w:kern w:val="0"/>
          <w:szCs w:val="21"/>
        </w:rPr>
        <w:t>20</w:t>
      </w:r>
      <w:r w:rsidR="00536670">
        <w:rPr>
          <w:rFonts w:ascii="宋体" w:hAnsi="宋体" w:cs="宋体"/>
          <w:kern w:val="0"/>
          <w:szCs w:val="21"/>
        </w:rPr>
        <w:t>20</w:t>
      </w:r>
      <w:r w:rsidR="00536670" w:rsidRPr="0007554C">
        <w:rPr>
          <w:rFonts w:ascii="宋体" w:hAnsi="宋体" w:cs="宋体" w:hint="eastAsia"/>
          <w:kern w:val="0"/>
          <w:szCs w:val="21"/>
        </w:rPr>
        <w:t>年</w:t>
      </w:r>
      <w:r w:rsidR="00536670">
        <w:rPr>
          <w:rFonts w:ascii="宋体" w:hAnsi="宋体" w:cs="宋体"/>
          <w:kern w:val="0"/>
          <w:szCs w:val="21"/>
        </w:rPr>
        <w:t>5</w:t>
      </w:r>
      <w:r w:rsidR="00536670" w:rsidRPr="0007554C">
        <w:rPr>
          <w:rFonts w:ascii="宋体" w:hAnsi="宋体" w:cs="宋体" w:hint="eastAsia"/>
          <w:kern w:val="0"/>
          <w:szCs w:val="21"/>
        </w:rPr>
        <w:t>月</w:t>
      </w:r>
      <w:r w:rsidR="00114410">
        <w:rPr>
          <w:rFonts w:ascii="宋体" w:hAnsi="宋体" w:cs="宋体"/>
          <w:kern w:val="0"/>
          <w:szCs w:val="21"/>
        </w:rPr>
        <w:t>12</w:t>
      </w:r>
      <w:r w:rsidR="00CC2621" w:rsidRPr="0007554C">
        <w:rPr>
          <w:rFonts w:ascii="宋体" w:hAnsi="宋体" w:cs="宋体" w:hint="eastAsia"/>
          <w:kern w:val="0"/>
          <w:szCs w:val="21"/>
        </w:rPr>
        <w:t>日起，本公司旗下</w:t>
      </w:r>
      <w:r w:rsidR="00CC2621">
        <w:rPr>
          <w:rFonts w:ascii="宋体" w:hAnsi="宋体" w:cs="宋体" w:hint="eastAsia"/>
          <w:kern w:val="0"/>
          <w:szCs w:val="21"/>
        </w:rPr>
        <w:t>部分基金在</w:t>
      </w:r>
      <w:r w:rsidR="00A81590">
        <w:rPr>
          <w:rFonts w:ascii="宋体" w:hAnsi="宋体" w:cs="宋体" w:hint="eastAsia"/>
          <w:kern w:val="0"/>
          <w:szCs w:val="21"/>
        </w:rPr>
        <w:t>广发证券</w:t>
      </w:r>
      <w:r w:rsidR="004B06B5">
        <w:rPr>
          <w:rFonts w:ascii="宋体" w:hAnsi="宋体" w:cs="宋体" w:hint="eastAsia"/>
          <w:kern w:val="0"/>
          <w:szCs w:val="21"/>
        </w:rPr>
        <w:t>开通</w:t>
      </w:r>
      <w:r w:rsidR="004B06B5">
        <w:rPr>
          <w:rFonts w:ascii="宋体" w:hAnsi="宋体" w:cs="宋体"/>
          <w:kern w:val="0"/>
          <w:szCs w:val="21"/>
        </w:rPr>
        <w:t>定投业务，</w:t>
      </w:r>
      <w:r w:rsidR="004B06B5">
        <w:rPr>
          <w:rFonts w:ascii="宋体" w:hAnsi="宋体" w:cs="宋体" w:hint="eastAsia"/>
          <w:kern w:val="0"/>
          <w:szCs w:val="21"/>
        </w:rPr>
        <w:t>原先已开通</w:t>
      </w:r>
      <w:r w:rsidR="004B06B5">
        <w:rPr>
          <w:rFonts w:ascii="宋体" w:hAnsi="宋体" w:cs="宋体"/>
          <w:kern w:val="0"/>
          <w:szCs w:val="21"/>
        </w:rPr>
        <w:t>定投业务</w:t>
      </w:r>
      <w:r w:rsidR="004B06B5">
        <w:rPr>
          <w:rFonts w:ascii="宋体" w:hAnsi="宋体" w:cs="宋体" w:hint="eastAsia"/>
          <w:kern w:val="0"/>
          <w:szCs w:val="21"/>
        </w:rPr>
        <w:t>的</w:t>
      </w:r>
      <w:r w:rsidR="004B06B5">
        <w:rPr>
          <w:rFonts w:ascii="宋体" w:hAnsi="宋体" w:cs="宋体"/>
          <w:kern w:val="0"/>
          <w:szCs w:val="21"/>
        </w:rPr>
        <w:t>基金起始额度</w:t>
      </w:r>
      <w:r w:rsidR="00CC2621">
        <w:rPr>
          <w:rFonts w:ascii="宋体" w:hAnsi="宋体" w:cs="宋体" w:hint="eastAsia"/>
          <w:kern w:val="0"/>
          <w:szCs w:val="21"/>
        </w:rPr>
        <w:t>降</w:t>
      </w:r>
      <w:r w:rsidR="004B06B5">
        <w:rPr>
          <w:rFonts w:ascii="宋体" w:hAnsi="宋体" w:cs="宋体" w:hint="eastAsia"/>
          <w:kern w:val="0"/>
          <w:szCs w:val="21"/>
        </w:rPr>
        <w:t>为10元</w:t>
      </w:r>
      <w:r w:rsidR="00CE0D02">
        <w:rPr>
          <w:rFonts w:ascii="宋体" w:eastAsia="宋体" w:hAnsi="宋体" w:cs="Tahoma" w:hint="eastAsia"/>
          <w:color w:val="000000"/>
          <w:kern w:val="0"/>
          <w:szCs w:val="21"/>
        </w:rPr>
        <w:t>。</w:t>
      </w:r>
      <w:r w:rsidR="004B06B5">
        <w:rPr>
          <w:rFonts w:ascii="宋体" w:eastAsia="宋体" w:hAnsi="宋体" w:cs="Tahoma" w:hint="eastAsia"/>
          <w:color w:val="000000"/>
          <w:kern w:val="0"/>
          <w:szCs w:val="21"/>
        </w:rPr>
        <w:t>此外</w:t>
      </w:r>
      <w:r w:rsidR="004B06B5">
        <w:rPr>
          <w:rFonts w:ascii="宋体" w:eastAsia="宋体" w:hAnsi="宋体" w:cs="Tahoma"/>
          <w:color w:val="000000"/>
          <w:kern w:val="0"/>
          <w:szCs w:val="21"/>
        </w:rPr>
        <w:t>，</w:t>
      </w:r>
      <w:r w:rsidR="00CE0D02">
        <w:rPr>
          <w:rFonts w:ascii="宋体" w:eastAsia="宋体" w:hAnsi="宋体" w:cs="Tahoma" w:hint="eastAsia"/>
          <w:color w:val="000000"/>
          <w:kern w:val="0"/>
          <w:szCs w:val="21"/>
        </w:rPr>
        <w:t>银河基金</w:t>
      </w:r>
      <w:r w:rsidR="00CE0D02">
        <w:rPr>
          <w:rFonts w:ascii="宋体" w:eastAsia="宋体" w:hAnsi="宋体" w:cs="Tahoma"/>
          <w:color w:val="000000"/>
          <w:kern w:val="0"/>
          <w:szCs w:val="21"/>
        </w:rPr>
        <w:t>公司旗下部分</w:t>
      </w:r>
      <w:r w:rsidR="004B06B5">
        <w:rPr>
          <w:rFonts w:ascii="宋体" w:eastAsia="宋体" w:hAnsi="宋体" w:cs="Tahoma"/>
          <w:color w:val="000000"/>
          <w:kern w:val="0"/>
          <w:szCs w:val="21"/>
        </w:rPr>
        <w:t>基金</w:t>
      </w:r>
      <w:r w:rsidR="00CC2621">
        <w:rPr>
          <w:rFonts w:ascii="宋体" w:eastAsia="宋体" w:hAnsi="宋体" w:cs="Tahoma"/>
          <w:color w:val="000000"/>
          <w:kern w:val="0"/>
          <w:szCs w:val="21"/>
        </w:rPr>
        <w:t>参加</w:t>
      </w:r>
      <w:r w:rsidR="00A81590">
        <w:rPr>
          <w:rFonts w:ascii="宋体" w:hAnsi="宋体" w:cs="宋体" w:hint="eastAsia"/>
          <w:kern w:val="0"/>
          <w:szCs w:val="21"/>
        </w:rPr>
        <w:t>广发证券</w:t>
      </w:r>
      <w:r w:rsidR="00CC2621">
        <w:rPr>
          <w:rFonts w:ascii="宋体" w:eastAsia="宋体" w:hAnsi="宋体" w:cs="Tahoma" w:hint="eastAsia"/>
          <w:color w:val="000000"/>
          <w:kern w:val="0"/>
          <w:szCs w:val="21"/>
        </w:rPr>
        <w:t>新</w:t>
      </w:r>
      <w:r w:rsidR="00CC2621">
        <w:rPr>
          <w:rFonts w:ascii="宋体" w:eastAsia="宋体" w:hAnsi="宋体" w:cs="Tahoma"/>
          <w:color w:val="000000"/>
          <w:kern w:val="0"/>
          <w:szCs w:val="21"/>
        </w:rPr>
        <w:t>的</w:t>
      </w:r>
      <w:r w:rsidR="00CC2621" w:rsidRPr="0018322D">
        <w:rPr>
          <w:rFonts w:ascii="宋体" w:eastAsia="宋体" w:hAnsi="宋体" w:cs="Tahoma" w:hint="eastAsia"/>
          <w:color w:val="000000"/>
          <w:kern w:val="0"/>
          <w:szCs w:val="21"/>
        </w:rPr>
        <w:t>费率优惠活动</w:t>
      </w:r>
      <w:r w:rsidRPr="00237987">
        <w:rPr>
          <w:rFonts w:ascii="宋体" w:hAnsi="宋体" w:cs="宋体" w:hint="eastAsia"/>
          <w:color w:val="000000"/>
          <w:kern w:val="0"/>
          <w:szCs w:val="21"/>
        </w:rPr>
        <w:t>。详情如下：</w:t>
      </w:r>
      <w:bookmarkStart w:id="0" w:name="_GoBack"/>
      <w:bookmarkEnd w:id="0"/>
    </w:p>
    <w:p w:rsidR="00CC2621" w:rsidRDefault="001929B8" w:rsidP="00CC2621">
      <w:pPr>
        <w:pStyle w:val="a5"/>
        <w:numPr>
          <w:ilvl w:val="0"/>
          <w:numId w:val="1"/>
        </w:numPr>
        <w:spacing w:line="360" w:lineRule="auto"/>
        <w:ind w:firstLineChars="0"/>
        <w:rPr>
          <w:b/>
          <w:szCs w:val="21"/>
        </w:rPr>
      </w:pPr>
      <w:r>
        <w:rPr>
          <w:rFonts w:hint="eastAsia"/>
          <w:b/>
          <w:szCs w:val="21"/>
        </w:rPr>
        <w:t>新</w:t>
      </w:r>
      <w:r>
        <w:rPr>
          <w:b/>
          <w:szCs w:val="21"/>
        </w:rPr>
        <w:t>的</w:t>
      </w:r>
      <w:r w:rsidR="004B06B5">
        <w:rPr>
          <w:rFonts w:hint="eastAsia"/>
          <w:b/>
          <w:szCs w:val="21"/>
        </w:rPr>
        <w:t>开通定投</w:t>
      </w:r>
      <w:r w:rsidR="004B06B5">
        <w:rPr>
          <w:b/>
          <w:szCs w:val="21"/>
        </w:rPr>
        <w:t>业务的</w:t>
      </w:r>
      <w:r w:rsidR="006A6451">
        <w:rPr>
          <w:rFonts w:hint="eastAsia"/>
          <w:b/>
          <w:szCs w:val="21"/>
        </w:rPr>
        <w:t>基金</w:t>
      </w:r>
    </w:p>
    <w:tbl>
      <w:tblPr>
        <w:tblW w:w="0" w:type="auto"/>
        <w:tblLook w:val="04A0"/>
      </w:tblPr>
      <w:tblGrid>
        <w:gridCol w:w="1060"/>
        <w:gridCol w:w="3681"/>
        <w:gridCol w:w="2141"/>
      </w:tblGrid>
      <w:tr w:rsidR="00A81590" w:rsidRPr="00A81590" w:rsidTr="00A81590">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81590" w:rsidRPr="00A81590" w:rsidRDefault="00A81590" w:rsidP="00A81590">
            <w:pPr>
              <w:widowControl/>
              <w:jc w:val="center"/>
              <w:rPr>
                <w:rFonts w:ascii="宋体" w:eastAsia="宋体" w:hAnsi="宋体" w:cs="宋体"/>
                <w:b/>
                <w:bCs/>
                <w:color w:val="000000"/>
                <w:kern w:val="0"/>
                <w:szCs w:val="21"/>
              </w:rPr>
            </w:pPr>
            <w:r w:rsidRPr="00A81590">
              <w:rPr>
                <w:rFonts w:ascii="宋体" w:eastAsia="宋体" w:hAnsi="宋体" w:cs="宋体" w:hint="eastAsia"/>
                <w:b/>
                <w:bCs/>
                <w:color w:val="000000"/>
                <w:kern w:val="0"/>
                <w:szCs w:val="21"/>
              </w:rPr>
              <w:t>基金代码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1590" w:rsidRPr="00A81590" w:rsidRDefault="00A81590" w:rsidP="00A81590">
            <w:pPr>
              <w:widowControl/>
              <w:jc w:val="center"/>
              <w:rPr>
                <w:rFonts w:ascii="宋体" w:eastAsia="宋体" w:hAnsi="宋体" w:cs="宋体"/>
                <w:b/>
                <w:bCs/>
                <w:color w:val="000000"/>
                <w:kern w:val="0"/>
                <w:szCs w:val="21"/>
              </w:rPr>
            </w:pPr>
            <w:r w:rsidRPr="00A81590">
              <w:rPr>
                <w:rFonts w:ascii="宋体" w:eastAsia="宋体" w:hAnsi="宋体" w:cs="宋体" w:hint="eastAsia"/>
                <w:b/>
                <w:bCs/>
                <w:color w:val="000000"/>
                <w:kern w:val="0"/>
                <w:szCs w:val="21"/>
              </w:rPr>
              <w:t>基金名称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1590" w:rsidRPr="00A81590" w:rsidRDefault="00A81590" w:rsidP="00A81590">
            <w:pPr>
              <w:widowControl/>
              <w:jc w:val="center"/>
              <w:rPr>
                <w:rFonts w:ascii="宋体" w:eastAsia="宋体" w:hAnsi="宋体" w:cs="宋体"/>
                <w:b/>
                <w:bCs/>
                <w:color w:val="000000"/>
                <w:kern w:val="0"/>
                <w:szCs w:val="21"/>
              </w:rPr>
            </w:pPr>
            <w:r w:rsidRPr="00A81590">
              <w:rPr>
                <w:rFonts w:ascii="宋体" w:eastAsia="宋体" w:hAnsi="宋体" w:cs="宋体" w:hint="eastAsia"/>
                <w:b/>
                <w:bCs/>
                <w:color w:val="000000"/>
                <w:kern w:val="0"/>
                <w:szCs w:val="21"/>
              </w:rPr>
              <w:t>基金简称</w:t>
            </w:r>
          </w:p>
        </w:tc>
      </w:tr>
      <w:tr w:rsidR="00A81590" w:rsidRPr="00A81590" w:rsidTr="00A8159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161505</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银河通利债券型证券投资基金</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银河通利债券</w:t>
            </w:r>
          </w:p>
        </w:tc>
      </w:tr>
      <w:tr w:rsidR="00A81590" w:rsidRPr="00A81590" w:rsidTr="00A8159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161506</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银河通利债券型证券投资基金C</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银河通利债券C</w:t>
            </w:r>
          </w:p>
        </w:tc>
      </w:tr>
      <w:tr w:rsidR="00A81590" w:rsidRPr="00A81590" w:rsidTr="00A8159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519664</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银河美丽优萃混合型证券投资基金A</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银河美丽混合A</w:t>
            </w:r>
          </w:p>
        </w:tc>
      </w:tr>
      <w:tr w:rsidR="00A81590" w:rsidRPr="00A81590" w:rsidTr="00A8159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519665</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银河美丽优萃混合型证券投资基金C</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银河美丽混合C</w:t>
            </w:r>
          </w:p>
        </w:tc>
      </w:tr>
      <w:tr w:rsidR="00A81590" w:rsidRPr="00A81590" w:rsidTr="00A8159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519666</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银河银信添利债券型证券投资基金B</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银河银信添利债券B</w:t>
            </w:r>
          </w:p>
        </w:tc>
      </w:tr>
      <w:tr w:rsidR="00A81590" w:rsidRPr="00A81590" w:rsidTr="00A8159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519667</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银河银信添利债券型证券投资基金A</w:t>
            </w:r>
          </w:p>
        </w:tc>
        <w:tc>
          <w:tcPr>
            <w:tcW w:w="0" w:type="auto"/>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银河银信添利债券A</w:t>
            </w:r>
          </w:p>
        </w:tc>
      </w:tr>
    </w:tbl>
    <w:p w:rsidR="004B06B5" w:rsidRPr="005073ED" w:rsidRDefault="005073ED" w:rsidP="004B06B5">
      <w:pPr>
        <w:pStyle w:val="a5"/>
        <w:spacing w:line="360" w:lineRule="auto"/>
        <w:ind w:left="510" w:firstLineChars="0" w:firstLine="0"/>
        <w:rPr>
          <w:szCs w:val="21"/>
        </w:rPr>
      </w:pPr>
      <w:r>
        <w:rPr>
          <w:rFonts w:hint="eastAsia"/>
          <w:szCs w:val="21"/>
        </w:rPr>
        <w:t>上述</w:t>
      </w:r>
      <w:r w:rsidR="009E58D3" w:rsidRPr="005073ED">
        <w:rPr>
          <w:rFonts w:hint="eastAsia"/>
          <w:szCs w:val="21"/>
        </w:rPr>
        <w:t>基金</w:t>
      </w:r>
      <w:r w:rsidRPr="00CD6CE8">
        <w:rPr>
          <w:rFonts w:hint="eastAsia"/>
          <w:szCs w:val="21"/>
        </w:rPr>
        <w:t>定期定额起始额度为</w:t>
      </w:r>
      <w:r>
        <w:rPr>
          <w:szCs w:val="21"/>
        </w:rPr>
        <w:t>10</w:t>
      </w:r>
      <w:r w:rsidRPr="00CD6CE8">
        <w:rPr>
          <w:rFonts w:hint="eastAsia"/>
          <w:szCs w:val="21"/>
        </w:rPr>
        <w:t>元</w:t>
      </w:r>
      <w:r w:rsidR="009E58D3" w:rsidRPr="005073ED">
        <w:rPr>
          <w:rFonts w:hint="eastAsia"/>
          <w:szCs w:val="21"/>
        </w:rPr>
        <w:t>。</w:t>
      </w:r>
    </w:p>
    <w:p w:rsidR="006A6451" w:rsidRDefault="00726184" w:rsidP="00CC2621">
      <w:pPr>
        <w:pStyle w:val="a5"/>
        <w:numPr>
          <w:ilvl w:val="0"/>
          <w:numId w:val="1"/>
        </w:numPr>
        <w:spacing w:line="360" w:lineRule="auto"/>
        <w:ind w:firstLineChars="0"/>
        <w:rPr>
          <w:b/>
          <w:szCs w:val="21"/>
        </w:rPr>
      </w:pPr>
      <w:r>
        <w:rPr>
          <w:rFonts w:hint="eastAsia"/>
          <w:b/>
          <w:szCs w:val="21"/>
        </w:rPr>
        <w:t>调整</w:t>
      </w:r>
      <w:r w:rsidR="00A81590">
        <w:rPr>
          <w:rFonts w:hint="eastAsia"/>
          <w:b/>
          <w:szCs w:val="21"/>
        </w:rPr>
        <w:t>定投起</w:t>
      </w:r>
      <w:r w:rsidR="00A81590">
        <w:rPr>
          <w:b/>
          <w:szCs w:val="21"/>
        </w:rPr>
        <w:t>始额度的</w:t>
      </w:r>
      <w:r w:rsidR="00A81590">
        <w:rPr>
          <w:rFonts w:hint="eastAsia"/>
          <w:b/>
          <w:szCs w:val="21"/>
        </w:rPr>
        <w:t>基金</w:t>
      </w:r>
    </w:p>
    <w:tbl>
      <w:tblPr>
        <w:tblW w:w="0" w:type="auto"/>
        <w:tblLayout w:type="fixed"/>
        <w:tblLook w:val="04A0"/>
      </w:tblPr>
      <w:tblGrid>
        <w:gridCol w:w="1060"/>
        <w:gridCol w:w="4111"/>
        <w:gridCol w:w="2693"/>
      </w:tblGrid>
      <w:tr w:rsidR="00A81590" w:rsidRPr="00A81590" w:rsidTr="00A81590">
        <w:trPr>
          <w:trHeight w:val="2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590" w:rsidRPr="00A81590" w:rsidRDefault="00A81590" w:rsidP="00A81590">
            <w:pPr>
              <w:widowControl/>
              <w:jc w:val="center"/>
              <w:rPr>
                <w:rFonts w:ascii="宋体" w:eastAsia="宋体" w:hAnsi="宋体" w:cs="宋体"/>
                <w:b/>
                <w:bCs/>
                <w:color w:val="000000"/>
                <w:kern w:val="0"/>
                <w:szCs w:val="21"/>
              </w:rPr>
            </w:pPr>
            <w:r w:rsidRPr="00A81590">
              <w:rPr>
                <w:rFonts w:ascii="宋体" w:eastAsia="宋体" w:hAnsi="宋体" w:cs="宋体" w:hint="eastAsia"/>
                <w:b/>
                <w:bCs/>
                <w:color w:val="000000"/>
                <w:kern w:val="0"/>
                <w:szCs w:val="21"/>
              </w:rPr>
              <w:t>基金代码</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81590" w:rsidRPr="00A81590" w:rsidRDefault="00A81590" w:rsidP="00A81590">
            <w:pPr>
              <w:widowControl/>
              <w:jc w:val="center"/>
              <w:rPr>
                <w:rFonts w:ascii="宋体" w:eastAsia="宋体" w:hAnsi="宋体" w:cs="宋体"/>
                <w:b/>
                <w:bCs/>
                <w:color w:val="000000"/>
                <w:kern w:val="0"/>
                <w:szCs w:val="21"/>
              </w:rPr>
            </w:pPr>
            <w:r w:rsidRPr="00A81590">
              <w:rPr>
                <w:rFonts w:ascii="宋体" w:eastAsia="宋体" w:hAnsi="宋体" w:cs="宋体" w:hint="eastAsia"/>
                <w:b/>
                <w:bCs/>
                <w:color w:val="000000"/>
                <w:kern w:val="0"/>
                <w:szCs w:val="21"/>
              </w:rPr>
              <w:t>基金名称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81590" w:rsidRPr="00A81590" w:rsidRDefault="00A81590" w:rsidP="00A81590">
            <w:pPr>
              <w:widowControl/>
              <w:jc w:val="center"/>
              <w:rPr>
                <w:rFonts w:ascii="宋体" w:eastAsia="宋体" w:hAnsi="宋体" w:cs="宋体"/>
                <w:b/>
                <w:bCs/>
                <w:color w:val="000000"/>
                <w:kern w:val="0"/>
                <w:szCs w:val="21"/>
              </w:rPr>
            </w:pPr>
            <w:r w:rsidRPr="00A81590">
              <w:rPr>
                <w:rFonts w:ascii="宋体" w:eastAsia="宋体" w:hAnsi="宋体" w:cs="宋体" w:hint="eastAsia"/>
                <w:b/>
                <w:bCs/>
                <w:color w:val="000000"/>
                <w:kern w:val="0"/>
                <w:szCs w:val="21"/>
              </w:rPr>
              <w:t>基金简称</w:t>
            </w:r>
          </w:p>
        </w:tc>
      </w:tr>
      <w:tr w:rsidR="00A81590" w:rsidRPr="00A81590" w:rsidTr="00A81590">
        <w:trPr>
          <w:trHeight w:val="27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004250</w:t>
            </w:r>
          </w:p>
        </w:tc>
        <w:tc>
          <w:tcPr>
            <w:tcW w:w="4111"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银河量化优选混合型证券投资基金</w:t>
            </w:r>
          </w:p>
        </w:tc>
        <w:tc>
          <w:tcPr>
            <w:tcW w:w="2693"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银河量化优选混合</w:t>
            </w:r>
          </w:p>
        </w:tc>
      </w:tr>
      <w:tr w:rsidR="00A81590" w:rsidRPr="00A81590" w:rsidTr="00A81590">
        <w:trPr>
          <w:trHeight w:val="27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519668</w:t>
            </w:r>
          </w:p>
        </w:tc>
        <w:tc>
          <w:tcPr>
            <w:tcW w:w="4111"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银河竞争优势成长混合型证券投资基金</w:t>
            </w:r>
          </w:p>
        </w:tc>
        <w:tc>
          <w:tcPr>
            <w:tcW w:w="2693"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银河成长混合</w:t>
            </w:r>
          </w:p>
        </w:tc>
      </w:tr>
      <w:tr w:rsidR="00A81590" w:rsidRPr="00A81590" w:rsidTr="00A81590">
        <w:trPr>
          <w:trHeight w:val="27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519669</w:t>
            </w:r>
          </w:p>
        </w:tc>
        <w:tc>
          <w:tcPr>
            <w:tcW w:w="4111"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银河领先债券型证券投资基金</w:t>
            </w:r>
          </w:p>
        </w:tc>
        <w:tc>
          <w:tcPr>
            <w:tcW w:w="2693"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银河领先债券</w:t>
            </w:r>
          </w:p>
        </w:tc>
      </w:tr>
      <w:tr w:rsidR="00A81590" w:rsidRPr="00A81590" w:rsidTr="00A81590">
        <w:trPr>
          <w:trHeight w:val="27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519670</w:t>
            </w:r>
          </w:p>
        </w:tc>
        <w:tc>
          <w:tcPr>
            <w:tcW w:w="4111"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银河行业优选混合型证券投资基金</w:t>
            </w:r>
          </w:p>
        </w:tc>
        <w:tc>
          <w:tcPr>
            <w:tcW w:w="2693"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银河行业混合</w:t>
            </w:r>
          </w:p>
        </w:tc>
      </w:tr>
      <w:tr w:rsidR="00A81590" w:rsidRPr="00A81590" w:rsidTr="00A81590">
        <w:trPr>
          <w:trHeight w:val="27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519671</w:t>
            </w:r>
          </w:p>
        </w:tc>
        <w:tc>
          <w:tcPr>
            <w:tcW w:w="4111"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银河沪深300价值指数证券投资基金</w:t>
            </w:r>
          </w:p>
        </w:tc>
        <w:tc>
          <w:tcPr>
            <w:tcW w:w="2693"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银河沪深300价值指数</w:t>
            </w:r>
          </w:p>
        </w:tc>
      </w:tr>
      <w:tr w:rsidR="00A81590" w:rsidRPr="00A81590" w:rsidTr="00A81590">
        <w:trPr>
          <w:trHeight w:val="27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519672</w:t>
            </w:r>
          </w:p>
        </w:tc>
        <w:tc>
          <w:tcPr>
            <w:tcW w:w="4111"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银河蓝筹精选混合型证券投资基金</w:t>
            </w:r>
          </w:p>
        </w:tc>
        <w:tc>
          <w:tcPr>
            <w:tcW w:w="2693"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银河蓝筹混合</w:t>
            </w:r>
          </w:p>
        </w:tc>
      </w:tr>
      <w:tr w:rsidR="00A81590" w:rsidRPr="00A81590" w:rsidTr="00A81590">
        <w:trPr>
          <w:trHeight w:val="27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519676</w:t>
            </w:r>
          </w:p>
        </w:tc>
        <w:tc>
          <w:tcPr>
            <w:tcW w:w="4111"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银河强化收益债券型证券投资基金</w:t>
            </w:r>
          </w:p>
        </w:tc>
        <w:tc>
          <w:tcPr>
            <w:tcW w:w="2693"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银河强化债券</w:t>
            </w:r>
          </w:p>
        </w:tc>
      </w:tr>
      <w:tr w:rsidR="00A81590" w:rsidRPr="00A81590" w:rsidTr="00A81590">
        <w:trPr>
          <w:trHeight w:val="27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519677</w:t>
            </w:r>
          </w:p>
        </w:tc>
        <w:tc>
          <w:tcPr>
            <w:tcW w:w="4111"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银河定投宝中证腾讯济安价值100A股指数型发起式证券投资基金</w:t>
            </w:r>
          </w:p>
        </w:tc>
        <w:tc>
          <w:tcPr>
            <w:tcW w:w="2693"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银河定投宝腾讯济安指数</w:t>
            </w:r>
          </w:p>
        </w:tc>
      </w:tr>
      <w:tr w:rsidR="00A81590" w:rsidRPr="00A81590" w:rsidTr="00A81590">
        <w:trPr>
          <w:trHeight w:val="27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519678</w:t>
            </w:r>
          </w:p>
        </w:tc>
        <w:tc>
          <w:tcPr>
            <w:tcW w:w="4111"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银河消费驱动混合型证券投资基金</w:t>
            </w:r>
          </w:p>
        </w:tc>
        <w:tc>
          <w:tcPr>
            <w:tcW w:w="2693"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银河消费混合</w:t>
            </w:r>
          </w:p>
        </w:tc>
      </w:tr>
      <w:tr w:rsidR="00A81590" w:rsidRPr="00A81590" w:rsidTr="00A81590">
        <w:trPr>
          <w:trHeight w:val="27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519679</w:t>
            </w:r>
          </w:p>
        </w:tc>
        <w:tc>
          <w:tcPr>
            <w:tcW w:w="4111"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银河主题策略混合型证券投资基金</w:t>
            </w:r>
          </w:p>
        </w:tc>
        <w:tc>
          <w:tcPr>
            <w:tcW w:w="2693" w:type="dxa"/>
            <w:tcBorders>
              <w:top w:val="nil"/>
              <w:left w:val="nil"/>
              <w:bottom w:val="single" w:sz="4" w:space="0" w:color="auto"/>
              <w:right w:val="single" w:sz="4" w:space="0" w:color="auto"/>
            </w:tcBorders>
            <w:shd w:val="clear" w:color="auto" w:fill="auto"/>
            <w:noWrap/>
            <w:vAlign w:val="center"/>
            <w:hideMark/>
          </w:tcPr>
          <w:p w:rsidR="00A81590" w:rsidRPr="00A81590" w:rsidRDefault="00A81590" w:rsidP="00A81590">
            <w:pPr>
              <w:widowControl/>
              <w:jc w:val="left"/>
              <w:rPr>
                <w:rFonts w:ascii="宋体" w:eastAsia="宋体" w:hAnsi="宋体" w:cs="宋体"/>
                <w:color w:val="000000"/>
                <w:kern w:val="0"/>
                <w:sz w:val="22"/>
              </w:rPr>
            </w:pPr>
            <w:r w:rsidRPr="00A81590">
              <w:rPr>
                <w:rFonts w:ascii="宋体" w:eastAsia="宋体" w:hAnsi="宋体" w:cs="宋体" w:hint="eastAsia"/>
                <w:color w:val="000000"/>
                <w:kern w:val="0"/>
                <w:sz w:val="22"/>
              </w:rPr>
              <w:t>银河主题混合</w:t>
            </w:r>
          </w:p>
        </w:tc>
      </w:tr>
    </w:tbl>
    <w:p w:rsidR="007D350B" w:rsidRPr="005073ED" w:rsidRDefault="007D350B" w:rsidP="007D350B">
      <w:pPr>
        <w:pStyle w:val="a5"/>
        <w:spacing w:line="360" w:lineRule="auto"/>
        <w:ind w:left="510" w:firstLineChars="0" w:firstLine="0"/>
        <w:rPr>
          <w:szCs w:val="21"/>
        </w:rPr>
      </w:pPr>
      <w:r>
        <w:rPr>
          <w:rFonts w:hint="eastAsia"/>
          <w:szCs w:val="21"/>
        </w:rPr>
        <w:t>上述</w:t>
      </w:r>
      <w:r w:rsidRPr="005073ED">
        <w:rPr>
          <w:rFonts w:hint="eastAsia"/>
          <w:szCs w:val="21"/>
        </w:rPr>
        <w:t>基金</w:t>
      </w:r>
      <w:r w:rsidRPr="00CD6CE8">
        <w:rPr>
          <w:rFonts w:hint="eastAsia"/>
          <w:szCs w:val="21"/>
        </w:rPr>
        <w:t>定期定额起始额度</w:t>
      </w:r>
      <w:r>
        <w:rPr>
          <w:rFonts w:hint="eastAsia"/>
          <w:szCs w:val="21"/>
        </w:rPr>
        <w:t>调整</w:t>
      </w:r>
      <w:r w:rsidRPr="00CD6CE8">
        <w:rPr>
          <w:rFonts w:hint="eastAsia"/>
          <w:szCs w:val="21"/>
        </w:rPr>
        <w:t>为</w:t>
      </w:r>
      <w:r>
        <w:rPr>
          <w:szCs w:val="21"/>
        </w:rPr>
        <w:t>10</w:t>
      </w:r>
      <w:r w:rsidRPr="00CD6CE8">
        <w:rPr>
          <w:rFonts w:hint="eastAsia"/>
          <w:szCs w:val="21"/>
        </w:rPr>
        <w:t>元</w:t>
      </w:r>
      <w:r w:rsidRPr="005073ED">
        <w:rPr>
          <w:rFonts w:hint="eastAsia"/>
          <w:szCs w:val="21"/>
        </w:rPr>
        <w:t>。</w:t>
      </w:r>
    </w:p>
    <w:p w:rsidR="004B06B5" w:rsidRPr="00EF0DB1" w:rsidRDefault="00EF0DB1" w:rsidP="00EF0DB1">
      <w:pPr>
        <w:pStyle w:val="a5"/>
        <w:numPr>
          <w:ilvl w:val="0"/>
          <w:numId w:val="1"/>
        </w:numPr>
        <w:spacing w:line="360" w:lineRule="auto"/>
        <w:ind w:firstLineChars="0"/>
        <w:rPr>
          <w:b/>
          <w:szCs w:val="21"/>
        </w:rPr>
      </w:pPr>
      <w:r>
        <w:rPr>
          <w:rFonts w:hint="eastAsia"/>
          <w:b/>
          <w:szCs w:val="21"/>
        </w:rPr>
        <w:t>新</w:t>
      </w:r>
      <w:r w:rsidR="0058652E">
        <w:rPr>
          <w:rFonts w:hint="eastAsia"/>
          <w:b/>
          <w:szCs w:val="21"/>
        </w:rPr>
        <w:t>增</w:t>
      </w:r>
      <w:r>
        <w:rPr>
          <w:rFonts w:hint="eastAsia"/>
          <w:b/>
          <w:szCs w:val="21"/>
        </w:rPr>
        <w:t>参加申购</w:t>
      </w:r>
      <w:r>
        <w:rPr>
          <w:b/>
          <w:szCs w:val="21"/>
        </w:rPr>
        <w:t>及定投费率</w:t>
      </w:r>
      <w:r>
        <w:rPr>
          <w:rFonts w:hint="eastAsia"/>
          <w:b/>
          <w:szCs w:val="21"/>
        </w:rPr>
        <w:t>优惠</w:t>
      </w:r>
      <w:r>
        <w:rPr>
          <w:b/>
          <w:szCs w:val="21"/>
        </w:rPr>
        <w:t>的</w:t>
      </w:r>
      <w:r>
        <w:rPr>
          <w:rFonts w:hint="eastAsia"/>
          <w:b/>
          <w:szCs w:val="21"/>
        </w:rPr>
        <w:t>基金</w:t>
      </w:r>
    </w:p>
    <w:tbl>
      <w:tblPr>
        <w:tblW w:w="0" w:type="auto"/>
        <w:tblLayout w:type="fixed"/>
        <w:tblLook w:val="04A0"/>
      </w:tblPr>
      <w:tblGrid>
        <w:gridCol w:w="1060"/>
        <w:gridCol w:w="4111"/>
        <w:gridCol w:w="2693"/>
      </w:tblGrid>
      <w:tr w:rsidR="00EF0DB1" w:rsidRPr="00A81590" w:rsidTr="00605436">
        <w:trPr>
          <w:trHeight w:val="2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DB1" w:rsidRPr="00A81590" w:rsidRDefault="00EF0DB1" w:rsidP="00605436">
            <w:pPr>
              <w:widowControl/>
              <w:jc w:val="center"/>
              <w:rPr>
                <w:rFonts w:ascii="宋体" w:eastAsia="宋体" w:hAnsi="宋体" w:cs="宋体"/>
                <w:b/>
                <w:bCs/>
                <w:color w:val="000000"/>
                <w:kern w:val="0"/>
                <w:szCs w:val="21"/>
              </w:rPr>
            </w:pPr>
            <w:r w:rsidRPr="00A81590">
              <w:rPr>
                <w:rFonts w:ascii="宋体" w:eastAsia="宋体" w:hAnsi="宋体" w:cs="宋体" w:hint="eastAsia"/>
                <w:b/>
                <w:bCs/>
                <w:color w:val="000000"/>
                <w:kern w:val="0"/>
                <w:szCs w:val="21"/>
              </w:rPr>
              <w:t>基金代码</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F0DB1" w:rsidRPr="00A81590" w:rsidRDefault="00EF0DB1" w:rsidP="00605436">
            <w:pPr>
              <w:widowControl/>
              <w:jc w:val="center"/>
              <w:rPr>
                <w:rFonts w:ascii="宋体" w:eastAsia="宋体" w:hAnsi="宋体" w:cs="宋体"/>
                <w:b/>
                <w:bCs/>
                <w:color w:val="000000"/>
                <w:kern w:val="0"/>
                <w:szCs w:val="21"/>
              </w:rPr>
            </w:pPr>
            <w:r w:rsidRPr="00A81590">
              <w:rPr>
                <w:rFonts w:ascii="宋体" w:eastAsia="宋体" w:hAnsi="宋体" w:cs="宋体" w:hint="eastAsia"/>
                <w:b/>
                <w:bCs/>
                <w:color w:val="000000"/>
                <w:kern w:val="0"/>
                <w:szCs w:val="21"/>
              </w:rPr>
              <w:t>基金名称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F0DB1" w:rsidRPr="00A81590" w:rsidRDefault="00EF0DB1" w:rsidP="00605436">
            <w:pPr>
              <w:widowControl/>
              <w:jc w:val="center"/>
              <w:rPr>
                <w:rFonts w:ascii="宋体" w:eastAsia="宋体" w:hAnsi="宋体" w:cs="宋体"/>
                <w:b/>
                <w:bCs/>
                <w:color w:val="000000"/>
                <w:kern w:val="0"/>
                <w:szCs w:val="21"/>
              </w:rPr>
            </w:pPr>
            <w:r w:rsidRPr="00A81590">
              <w:rPr>
                <w:rFonts w:ascii="宋体" w:eastAsia="宋体" w:hAnsi="宋体" w:cs="宋体" w:hint="eastAsia"/>
                <w:b/>
                <w:bCs/>
                <w:color w:val="000000"/>
                <w:kern w:val="0"/>
                <w:szCs w:val="21"/>
              </w:rPr>
              <w:t>基金简称</w:t>
            </w:r>
          </w:p>
        </w:tc>
      </w:tr>
      <w:tr w:rsidR="005D7F89" w:rsidRPr="00A81590" w:rsidTr="00AD6F4A">
        <w:trPr>
          <w:trHeight w:val="270"/>
        </w:trPr>
        <w:tc>
          <w:tcPr>
            <w:tcW w:w="1060" w:type="dxa"/>
            <w:tcBorders>
              <w:top w:val="nil"/>
              <w:left w:val="single" w:sz="4" w:space="0" w:color="auto"/>
              <w:bottom w:val="single" w:sz="4" w:space="0" w:color="auto"/>
              <w:right w:val="single" w:sz="4" w:space="0" w:color="auto"/>
            </w:tcBorders>
            <w:shd w:val="clear" w:color="auto" w:fill="auto"/>
            <w:noWrap/>
            <w:hideMark/>
          </w:tcPr>
          <w:p w:rsidR="005D7F89" w:rsidRPr="005D7F89" w:rsidRDefault="005D7F89" w:rsidP="005D7F89">
            <w:pPr>
              <w:widowControl/>
              <w:jc w:val="left"/>
              <w:rPr>
                <w:rFonts w:ascii="宋体" w:eastAsia="宋体" w:hAnsi="宋体" w:cs="宋体"/>
                <w:color w:val="000000"/>
                <w:kern w:val="0"/>
                <w:sz w:val="22"/>
              </w:rPr>
            </w:pPr>
            <w:r w:rsidRPr="005D7F89">
              <w:rPr>
                <w:rFonts w:ascii="宋体" w:eastAsia="宋体" w:hAnsi="宋体" w:cs="宋体"/>
                <w:color w:val="000000"/>
                <w:kern w:val="0"/>
                <w:sz w:val="22"/>
              </w:rPr>
              <w:t>161505</w:t>
            </w:r>
          </w:p>
        </w:tc>
        <w:tc>
          <w:tcPr>
            <w:tcW w:w="4111" w:type="dxa"/>
            <w:tcBorders>
              <w:top w:val="nil"/>
              <w:left w:val="nil"/>
              <w:bottom w:val="single" w:sz="4" w:space="0" w:color="auto"/>
              <w:right w:val="single" w:sz="4" w:space="0" w:color="auto"/>
            </w:tcBorders>
            <w:shd w:val="clear" w:color="auto" w:fill="auto"/>
            <w:noWrap/>
            <w:vAlign w:val="center"/>
            <w:hideMark/>
          </w:tcPr>
          <w:p w:rsidR="005D7F89" w:rsidRDefault="005D7F89" w:rsidP="005D7F89">
            <w:pPr>
              <w:widowControl/>
              <w:jc w:val="left"/>
              <w:rPr>
                <w:color w:val="000000"/>
                <w:sz w:val="22"/>
              </w:rPr>
            </w:pPr>
            <w:r>
              <w:rPr>
                <w:rFonts w:hint="eastAsia"/>
                <w:color w:val="000000"/>
                <w:sz w:val="22"/>
              </w:rPr>
              <w:t>银河通利债券型证券投资基金</w:t>
            </w:r>
          </w:p>
        </w:tc>
        <w:tc>
          <w:tcPr>
            <w:tcW w:w="2693" w:type="dxa"/>
            <w:tcBorders>
              <w:top w:val="nil"/>
              <w:left w:val="nil"/>
              <w:bottom w:val="single" w:sz="4" w:space="0" w:color="auto"/>
              <w:right w:val="single" w:sz="4" w:space="0" w:color="auto"/>
            </w:tcBorders>
            <w:shd w:val="clear" w:color="auto" w:fill="auto"/>
            <w:noWrap/>
            <w:vAlign w:val="center"/>
            <w:hideMark/>
          </w:tcPr>
          <w:p w:rsidR="005D7F89" w:rsidRDefault="005D7F89" w:rsidP="005D7F89">
            <w:pPr>
              <w:rPr>
                <w:color w:val="000000"/>
                <w:sz w:val="22"/>
              </w:rPr>
            </w:pPr>
            <w:r>
              <w:rPr>
                <w:rFonts w:hint="eastAsia"/>
                <w:color w:val="000000"/>
                <w:sz w:val="22"/>
              </w:rPr>
              <w:t>银河通利债券</w:t>
            </w:r>
          </w:p>
        </w:tc>
      </w:tr>
      <w:tr w:rsidR="005D7F89" w:rsidRPr="00A81590" w:rsidTr="00AD6F4A">
        <w:trPr>
          <w:trHeight w:val="270"/>
        </w:trPr>
        <w:tc>
          <w:tcPr>
            <w:tcW w:w="1060" w:type="dxa"/>
            <w:tcBorders>
              <w:top w:val="nil"/>
              <w:left w:val="single" w:sz="4" w:space="0" w:color="auto"/>
              <w:bottom w:val="single" w:sz="4" w:space="0" w:color="auto"/>
              <w:right w:val="single" w:sz="4" w:space="0" w:color="auto"/>
            </w:tcBorders>
            <w:shd w:val="clear" w:color="auto" w:fill="auto"/>
            <w:noWrap/>
            <w:hideMark/>
          </w:tcPr>
          <w:p w:rsidR="005D7F89" w:rsidRPr="005D7F89" w:rsidRDefault="005D7F89" w:rsidP="005D7F89">
            <w:pPr>
              <w:widowControl/>
              <w:jc w:val="left"/>
              <w:rPr>
                <w:rFonts w:ascii="宋体" w:eastAsia="宋体" w:hAnsi="宋体" w:cs="宋体"/>
                <w:color w:val="000000"/>
                <w:kern w:val="0"/>
                <w:sz w:val="22"/>
              </w:rPr>
            </w:pPr>
            <w:r w:rsidRPr="005D7F89">
              <w:rPr>
                <w:rFonts w:ascii="宋体" w:eastAsia="宋体" w:hAnsi="宋体" w:cs="宋体"/>
                <w:color w:val="000000"/>
                <w:kern w:val="0"/>
                <w:sz w:val="22"/>
              </w:rPr>
              <w:t>519664</w:t>
            </w:r>
          </w:p>
        </w:tc>
        <w:tc>
          <w:tcPr>
            <w:tcW w:w="4111" w:type="dxa"/>
            <w:tcBorders>
              <w:top w:val="nil"/>
              <w:left w:val="nil"/>
              <w:bottom w:val="single" w:sz="4" w:space="0" w:color="auto"/>
              <w:right w:val="single" w:sz="4" w:space="0" w:color="auto"/>
            </w:tcBorders>
            <w:shd w:val="clear" w:color="auto" w:fill="auto"/>
            <w:noWrap/>
            <w:vAlign w:val="center"/>
            <w:hideMark/>
          </w:tcPr>
          <w:p w:rsidR="005D7F89" w:rsidRDefault="005D7F89" w:rsidP="005D7F89">
            <w:pPr>
              <w:rPr>
                <w:color w:val="000000"/>
                <w:sz w:val="22"/>
              </w:rPr>
            </w:pPr>
            <w:r>
              <w:rPr>
                <w:rFonts w:hint="eastAsia"/>
                <w:color w:val="000000"/>
                <w:sz w:val="22"/>
              </w:rPr>
              <w:t>银河美丽优萃混合型证券投资基金</w:t>
            </w:r>
            <w:r>
              <w:rPr>
                <w:rFonts w:hint="eastAsia"/>
                <w:color w:val="000000"/>
                <w:sz w:val="22"/>
              </w:rPr>
              <w:t>A</w:t>
            </w:r>
          </w:p>
        </w:tc>
        <w:tc>
          <w:tcPr>
            <w:tcW w:w="2693" w:type="dxa"/>
            <w:tcBorders>
              <w:top w:val="nil"/>
              <w:left w:val="nil"/>
              <w:bottom w:val="single" w:sz="4" w:space="0" w:color="auto"/>
              <w:right w:val="single" w:sz="4" w:space="0" w:color="auto"/>
            </w:tcBorders>
            <w:shd w:val="clear" w:color="auto" w:fill="auto"/>
            <w:noWrap/>
            <w:vAlign w:val="center"/>
            <w:hideMark/>
          </w:tcPr>
          <w:p w:rsidR="005D7F89" w:rsidRDefault="005D7F89" w:rsidP="005D7F89">
            <w:pPr>
              <w:rPr>
                <w:color w:val="000000"/>
                <w:sz w:val="22"/>
              </w:rPr>
            </w:pPr>
            <w:r>
              <w:rPr>
                <w:rFonts w:hint="eastAsia"/>
                <w:color w:val="000000"/>
                <w:sz w:val="22"/>
              </w:rPr>
              <w:t>银河美丽混合</w:t>
            </w:r>
            <w:r>
              <w:rPr>
                <w:rFonts w:hint="eastAsia"/>
                <w:color w:val="000000"/>
                <w:sz w:val="22"/>
              </w:rPr>
              <w:t>A</w:t>
            </w:r>
          </w:p>
        </w:tc>
      </w:tr>
      <w:tr w:rsidR="005D7F89" w:rsidRPr="00A81590" w:rsidTr="005D7F89">
        <w:trPr>
          <w:trHeight w:val="270"/>
        </w:trPr>
        <w:tc>
          <w:tcPr>
            <w:tcW w:w="1060" w:type="dxa"/>
            <w:tcBorders>
              <w:top w:val="nil"/>
              <w:left w:val="single" w:sz="4" w:space="0" w:color="auto"/>
              <w:bottom w:val="single" w:sz="4" w:space="0" w:color="auto"/>
              <w:right w:val="single" w:sz="4" w:space="0" w:color="auto"/>
            </w:tcBorders>
            <w:shd w:val="clear" w:color="auto" w:fill="auto"/>
            <w:noWrap/>
            <w:hideMark/>
          </w:tcPr>
          <w:p w:rsidR="005D7F89" w:rsidRPr="005D7F89" w:rsidRDefault="005D7F89" w:rsidP="005D7F89">
            <w:pPr>
              <w:widowControl/>
              <w:jc w:val="left"/>
              <w:rPr>
                <w:rFonts w:ascii="宋体" w:eastAsia="宋体" w:hAnsi="宋体" w:cs="宋体"/>
                <w:color w:val="000000"/>
                <w:kern w:val="0"/>
                <w:sz w:val="22"/>
              </w:rPr>
            </w:pPr>
            <w:r w:rsidRPr="005D7F89">
              <w:rPr>
                <w:rFonts w:ascii="宋体" w:eastAsia="宋体" w:hAnsi="宋体" w:cs="宋体"/>
                <w:color w:val="000000"/>
                <w:kern w:val="0"/>
                <w:sz w:val="22"/>
              </w:rPr>
              <w:t>519667</w:t>
            </w:r>
          </w:p>
        </w:tc>
        <w:tc>
          <w:tcPr>
            <w:tcW w:w="4111" w:type="dxa"/>
            <w:tcBorders>
              <w:top w:val="nil"/>
              <w:left w:val="nil"/>
              <w:bottom w:val="single" w:sz="4" w:space="0" w:color="auto"/>
              <w:right w:val="single" w:sz="4" w:space="0" w:color="auto"/>
            </w:tcBorders>
            <w:shd w:val="clear" w:color="auto" w:fill="auto"/>
            <w:noWrap/>
            <w:vAlign w:val="center"/>
            <w:hideMark/>
          </w:tcPr>
          <w:p w:rsidR="005D7F89" w:rsidRDefault="005D7F89" w:rsidP="005D7F89">
            <w:pPr>
              <w:rPr>
                <w:color w:val="000000"/>
                <w:sz w:val="22"/>
              </w:rPr>
            </w:pPr>
            <w:r>
              <w:rPr>
                <w:rFonts w:hint="eastAsia"/>
                <w:color w:val="000000"/>
                <w:sz w:val="22"/>
              </w:rPr>
              <w:t>银河银信添利债券型证券投资基金</w:t>
            </w:r>
            <w:r>
              <w:rPr>
                <w:rFonts w:hint="eastAsia"/>
                <w:color w:val="000000"/>
                <w:sz w:val="22"/>
              </w:rPr>
              <w:t>A</w:t>
            </w:r>
          </w:p>
        </w:tc>
        <w:tc>
          <w:tcPr>
            <w:tcW w:w="2693" w:type="dxa"/>
            <w:tcBorders>
              <w:top w:val="nil"/>
              <w:left w:val="nil"/>
              <w:bottom w:val="single" w:sz="4" w:space="0" w:color="auto"/>
              <w:right w:val="single" w:sz="4" w:space="0" w:color="auto"/>
            </w:tcBorders>
            <w:shd w:val="clear" w:color="auto" w:fill="auto"/>
            <w:noWrap/>
            <w:vAlign w:val="center"/>
            <w:hideMark/>
          </w:tcPr>
          <w:p w:rsidR="005D7F89" w:rsidRDefault="005D7F89" w:rsidP="005D7F89">
            <w:pPr>
              <w:rPr>
                <w:color w:val="000000"/>
                <w:sz w:val="22"/>
              </w:rPr>
            </w:pPr>
            <w:r>
              <w:rPr>
                <w:rFonts w:hint="eastAsia"/>
                <w:color w:val="000000"/>
                <w:sz w:val="22"/>
              </w:rPr>
              <w:t>银河银信添利债券</w:t>
            </w:r>
            <w:r>
              <w:rPr>
                <w:rFonts w:hint="eastAsia"/>
                <w:color w:val="000000"/>
                <w:sz w:val="22"/>
              </w:rPr>
              <w:t>A</w:t>
            </w:r>
          </w:p>
        </w:tc>
      </w:tr>
      <w:tr w:rsidR="005D7F89" w:rsidRPr="00A81590" w:rsidTr="00616B27">
        <w:trPr>
          <w:trHeight w:val="27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F89" w:rsidRDefault="005D7F89" w:rsidP="005D7F89">
            <w:pPr>
              <w:widowControl/>
              <w:jc w:val="left"/>
              <w:rPr>
                <w:rFonts w:ascii="仿宋_GB2312" w:eastAsia="仿宋_GB2312"/>
                <w:color w:val="000000"/>
              </w:rPr>
            </w:pPr>
            <w:r w:rsidRPr="005D7F89">
              <w:rPr>
                <w:rFonts w:ascii="宋体" w:eastAsia="宋体" w:hAnsi="宋体" w:cs="宋体" w:hint="eastAsia"/>
                <w:color w:val="000000"/>
                <w:kern w:val="0"/>
                <w:sz w:val="22"/>
              </w:rPr>
              <w:t>519669</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5D7F89" w:rsidRDefault="005D7F89" w:rsidP="005D7F89">
            <w:pPr>
              <w:widowControl/>
              <w:jc w:val="left"/>
              <w:rPr>
                <w:color w:val="000000"/>
                <w:sz w:val="22"/>
              </w:rPr>
            </w:pPr>
            <w:r>
              <w:rPr>
                <w:rFonts w:hint="eastAsia"/>
                <w:color w:val="000000"/>
                <w:sz w:val="22"/>
              </w:rPr>
              <w:t>银河领先债券型证券投资基金</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5D7F89" w:rsidRDefault="005D7F89" w:rsidP="005D7F89">
            <w:pPr>
              <w:rPr>
                <w:color w:val="000000"/>
                <w:sz w:val="22"/>
              </w:rPr>
            </w:pPr>
            <w:r>
              <w:rPr>
                <w:rFonts w:hint="eastAsia"/>
                <w:color w:val="000000"/>
                <w:sz w:val="22"/>
              </w:rPr>
              <w:t>银河领先债券</w:t>
            </w:r>
          </w:p>
        </w:tc>
      </w:tr>
      <w:tr w:rsidR="00D028BD" w:rsidRPr="00A81590" w:rsidTr="00616B27">
        <w:trPr>
          <w:trHeight w:val="27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8BD" w:rsidRPr="005D7F89" w:rsidRDefault="00D028BD" w:rsidP="00D028BD">
            <w:pPr>
              <w:rPr>
                <w:rFonts w:ascii="仿宋_GB2312" w:eastAsia="仿宋_GB2312"/>
                <w:color w:val="000000"/>
                <w:sz w:val="22"/>
              </w:rPr>
            </w:pPr>
            <w:r w:rsidRPr="005D7F89">
              <w:rPr>
                <w:rFonts w:ascii="仿宋_GB2312" w:eastAsia="仿宋_GB2312" w:hint="eastAsia"/>
                <w:color w:val="000000"/>
                <w:sz w:val="22"/>
              </w:rPr>
              <w:t>519671</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028BD" w:rsidRPr="005D7F89" w:rsidRDefault="00D028BD" w:rsidP="00D028BD">
            <w:pPr>
              <w:rPr>
                <w:color w:val="000000"/>
                <w:sz w:val="22"/>
              </w:rPr>
            </w:pPr>
            <w:r w:rsidRPr="005D7F89">
              <w:rPr>
                <w:rFonts w:hint="eastAsia"/>
                <w:color w:val="000000"/>
                <w:sz w:val="22"/>
              </w:rPr>
              <w:t>银河沪深</w:t>
            </w:r>
            <w:r w:rsidRPr="005D7F89">
              <w:rPr>
                <w:rFonts w:hint="eastAsia"/>
                <w:color w:val="000000"/>
                <w:sz w:val="22"/>
              </w:rPr>
              <w:t>300</w:t>
            </w:r>
            <w:r w:rsidRPr="005D7F89">
              <w:rPr>
                <w:rFonts w:hint="eastAsia"/>
                <w:color w:val="000000"/>
                <w:sz w:val="22"/>
              </w:rPr>
              <w:t>价值指数证券投资基金</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028BD" w:rsidRPr="005D7F89" w:rsidRDefault="00D028BD" w:rsidP="00D028BD">
            <w:pPr>
              <w:rPr>
                <w:color w:val="000000"/>
                <w:sz w:val="22"/>
              </w:rPr>
            </w:pPr>
            <w:r w:rsidRPr="005D7F89">
              <w:rPr>
                <w:rFonts w:hint="eastAsia"/>
                <w:color w:val="000000"/>
                <w:sz w:val="22"/>
              </w:rPr>
              <w:t>银河沪深</w:t>
            </w:r>
            <w:r w:rsidRPr="005D7F89">
              <w:rPr>
                <w:rFonts w:hint="eastAsia"/>
                <w:color w:val="000000"/>
                <w:sz w:val="22"/>
              </w:rPr>
              <w:t>300</w:t>
            </w:r>
            <w:r w:rsidRPr="005D7F89">
              <w:rPr>
                <w:rFonts w:hint="eastAsia"/>
                <w:color w:val="000000"/>
                <w:sz w:val="22"/>
              </w:rPr>
              <w:t>价值指数</w:t>
            </w:r>
          </w:p>
        </w:tc>
      </w:tr>
      <w:tr w:rsidR="00D028BD" w:rsidRPr="00A81590" w:rsidTr="00616B27">
        <w:trPr>
          <w:trHeight w:val="27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8BD" w:rsidRPr="005D7F89" w:rsidRDefault="00D028BD" w:rsidP="00D028BD">
            <w:pPr>
              <w:rPr>
                <w:rFonts w:ascii="仿宋_GB2312" w:eastAsia="仿宋_GB2312"/>
                <w:color w:val="000000"/>
                <w:sz w:val="22"/>
              </w:rPr>
            </w:pPr>
            <w:r w:rsidRPr="005D7F89">
              <w:rPr>
                <w:rFonts w:ascii="仿宋_GB2312" w:eastAsia="仿宋_GB2312" w:hint="eastAsia"/>
                <w:color w:val="000000"/>
                <w:sz w:val="22"/>
              </w:rPr>
              <w:t>519672</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D028BD" w:rsidRPr="005D7F89" w:rsidRDefault="00D028BD" w:rsidP="00D028BD">
            <w:pPr>
              <w:rPr>
                <w:color w:val="000000"/>
                <w:sz w:val="22"/>
              </w:rPr>
            </w:pPr>
            <w:r w:rsidRPr="005D7F89">
              <w:rPr>
                <w:rFonts w:hint="eastAsia"/>
                <w:color w:val="000000"/>
                <w:sz w:val="22"/>
              </w:rPr>
              <w:t>银河蓝筹精选混合型证券投资基金</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028BD" w:rsidRPr="005D7F89" w:rsidRDefault="00D028BD" w:rsidP="00D028BD">
            <w:pPr>
              <w:rPr>
                <w:color w:val="000000"/>
                <w:sz w:val="22"/>
              </w:rPr>
            </w:pPr>
            <w:r w:rsidRPr="005D7F89">
              <w:rPr>
                <w:rFonts w:hint="eastAsia"/>
                <w:color w:val="000000"/>
                <w:sz w:val="22"/>
              </w:rPr>
              <w:t>银河蓝筹混合</w:t>
            </w:r>
          </w:p>
        </w:tc>
      </w:tr>
      <w:tr w:rsidR="0058652E" w:rsidRPr="00A81590" w:rsidTr="00616B27">
        <w:trPr>
          <w:trHeight w:val="27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52E" w:rsidRPr="005D7F89" w:rsidRDefault="0058652E" w:rsidP="00D028BD">
            <w:pPr>
              <w:rPr>
                <w:rFonts w:ascii="仿宋_GB2312" w:eastAsia="仿宋_GB2312"/>
                <w:color w:val="000000"/>
                <w:sz w:val="22"/>
              </w:rPr>
            </w:pPr>
            <w:r>
              <w:rPr>
                <w:rFonts w:ascii="仿宋_GB2312" w:eastAsia="仿宋_GB2312" w:hint="eastAsia"/>
                <w:color w:val="000000"/>
                <w:sz w:val="22"/>
              </w:rPr>
              <w:lastRenderedPageBreak/>
              <w:t>519678</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58652E" w:rsidRPr="005D7F89" w:rsidRDefault="0058652E" w:rsidP="00D028BD">
            <w:pPr>
              <w:rPr>
                <w:color w:val="000000"/>
                <w:sz w:val="22"/>
              </w:rPr>
            </w:pPr>
            <w:r w:rsidRPr="005D7F89">
              <w:rPr>
                <w:rFonts w:hint="eastAsia"/>
                <w:color w:val="000000"/>
                <w:sz w:val="22"/>
              </w:rPr>
              <w:t>银河消费驱动混合型证券投资基金</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58652E" w:rsidRPr="005D7F89" w:rsidRDefault="0058652E" w:rsidP="00D028BD">
            <w:pPr>
              <w:rPr>
                <w:color w:val="000000"/>
                <w:sz w:val="22"/>
              </w:rPr>
            </w:pPr>
            <w:r w:rsidRPr="005D7F89">
              <w:rPr>
                <w:rFonts w:hint="eastAsia"/>
                <w:color w:val="000000"/>
                <w:sz w:val="22"/>
              </w:rPr>
              <w:t>银河消费混合</w:t>
            </w:r>
          </w:p>
        </w:tc>
      </w:tr>
    </w:tbl>
    <w:p w:rsidR="00CC2621" w:rsidRPr="00536670" w:rsidRDefault="00536670" w:rsidP="00536670">
      <w:pPr>
        <w:spacing w:line="360" w:lineRule="auto"/>
        <w:ind w:firstLine="420"/>
        <w:rPr>
          <w:szCs w:val="21"/>
        </w:rPr>
      </w:pPr>
      <w:r>
        <w:rPr>
          <w:rFonts w:hint="eastAsia"/>
          <w:szCs w:val="21"/>
        </w:rPr>
        <w:t>上述</w:t>
      </w:r>
      <w:r w:rsidR="00C562C3" w:rsidRPr="00536670">
        <w:rPr>
          <w:rFonts w:hint="eastAsia"/>
          <w:szCs w:val="21"/>
        </w:rPr>
        <w:t>基金申购、定投享有</w:t>
      </w:r>
      <w:r w:rsidR="00C562C3" w:rsidRPr="00536670">
        <w:rPr>
          <w:rFonts w:hint="eastAsia"/>
          <w:szCs w:val="21"/>
        </w:rPr>
        <w:t>1</w:t>
      </w:r>
      <w:r w:rsidR="00C562C3" w:rsidRPr="00536670">
        <w:rPr>
          <w:rFonts w:hint="eastAsia"/>
          <w:szCs w:val="21"/>
        </w:rPr>
        <w:t>折费率优惠</w:t>
      </w:r>
      <w:r w:rsidR="0091602A" w:rsidRPr="00536670">
        <w:rPr>
          <w:rFonts w:hint="eastAsia"/>
          <w:szCs w:val="21"/>
        </w:rPr>
        <w:t>。</w:t>
      </w:r>
    </w:p>
    <w:p w:rsidR="005D400B" w:rsidRDefault="00AA20C6" w:rsidP="005D400B">
      <w:pPr>
        <w:spacing w:line="360" w:lineRule="auto"/>
        <w:rPr>
          <w:b/>
          <w:szCs w:val="21"/>
        </w:rPr>
      </w:pPr>
      <w:r>
        <w:rPr>
          <w:rFonts w:hint="eastAsia"/>
          <w:b/>
          <w:szCs w:val="21"/>
        </w:rPr>
        <w:t>四</w:t>
      </w:r>
      <w:r w:rsidR="005D400B">
        <w:rPr>
          <w:b/>
          <w:szCs w:val="21"/>
        </w:rPr>
        <w:t>、</w:t>
      </w:r>
      <w:r w:rsidR="0058652E">
        <w:rPr>
          <w:rFonts w:hint="eastAsia"/>
          <w:b/>
          <w:szCs w:val="21"/>
        </w:rPr>
        <w:t>下调</w:t>
      </w:r>
      <w:r w:rsidR="00CC2621">
        <w:rPr>
          <w:b/>
          <w:szCs w:val="21"/>
        </w:rPr>
        <w:t>定投费率</w:t>
      </w:r>
      <w:r w:rsidR="0058652E">
        <w:rPr>
          <w:rFonts w:hint="eastAsia"/>
          <w:b/>
          <w:szCs w:val="21"/>
        </w:rPr>
        <w:t>折扣</w:t>
      </w:r>
      <w:r w:rsidR="00CC2621">
        <w:rPr>
          <w:b/>
          <w:szCs w:val="21"/>
        </w:rPr>
        <w:t>优惠活动</w:t>
      </w:r>
      <w:r w:rsidR="00CC2621">
        <w:rPr>
          <w:rFonts w:hint="eastAsia"/>
          <w:b/>
          <w:szCs w:val="21"/>
        </w:rPr>
        <w:t>的</w:t>
      </w:r>
      <w:r w:rsidR="00AF31C6">
        <w:rPr>
          <w:rFonts w:hint="eastAsia"/>
          <w:b/>
          <w:szCs w:val="21"/>
        </w:rPr>
        <w:t>基金</w:t>
      </w:r>
    </w:p>
    <w:tbl>
      <w:tblPr>
        <w:tblW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4566"/>
        <w:gridCol w:w="2552"/>
      </w:tblGrid>
      <w:tr w:rsidR="005D7F89" w:rsidRPr="004B06B5" w:rsidTr="005D7F89">
        <w:trPr>
          <w:trHeight w:val="270"/>
        </w:trPr>
        <w:tc>
          <w:tcPr>
            <w:tcW w:w="1060" w:type="dxa"/>
            <w:shd w:val="clear" w:color="auto" w:fill="auto"/>
            <w:vAlign w:val="center"/>
            <w:hideMark/>
          </w:tcPr>
          <w:p w:rsidR="005D7F89" w:rsidRPr="004B06B5" w:rsidRDefault="005D7F89" w:rsidP="006A6451">
            <w:pPr>
              <w:widowControl/>
              <w:jc w:val="center"/>
              <w:rPr>
                <w:rFonts w:ascii="宋体" w:eastAsia="宋体" w:hAnsi="宋体" w:cs="宋体"/>
                <w:b/>
                <w:bCs/>
                <w:color w:val="000000"/>
                <w:kern w:val="0"/>
                <w:szCs w:val="21"/>
              </w:rPr>
            </w:pPr>
            <w:r w:rsidRPr="004B06B5">
              <w:rPr>
                <w:rFonts w:ascii="宋体" w:eastAsia="宋体" w:hAnsi="宋体" w:cs="宋体" w:hint="eastAsia"/>
                <w:b/>
                <w:bCs/>
                <w:color w:val="000000"/>
                <w:kern w:val="0"/>
                <w:szCs w:val="21"/>
              </w:rPr>
              <w:t>基金代码</w:t>
            </w:r>
          </w:p>
        </w:tc>
        <w:tc>
          <w:tcPr>
            <w:tcW w:w="4566" w:type="dxa"/>
            <w:shd w:val="clear" w:color="auto" w:fill="auto"/>
            <w:vAlign w:val="center"/>
            <w:hideMark/>
          </w:tcPr>
          <w:p w:rsidR="005D7F89" w:rsidRPr="004B06B5" w:rsidRDefault="005D7F89" w:rsidP="006A6451">
            <w:pPr>
              <w:widowControl/>
              <w:jc w:val="center"/>
              <w:rPr>
                <w:rFonts w:ascii="宋体" w:eastAsia="宋体" w:hAnsi="宋体" w:cs="宋体"/>
                <w:b/>
                <w:bCs/>
                <w:color w:val="000000"/>
                <w:kern w:val="0"/>
                <w:szCs w:val="21"/>
              </w:rPr>
            </w:pPr>
            <w:r w:rsidRPr="004B06B5">
              <w:rPr>
                <w:rFonts w:ascii="宋体" w:eastAsia="宋体" w:hAnsi="宋体" w:cs="宋体" w:hint="eastAsia"/>
                <w:b/>
                <w:bCs/>
                <w:color w:val="000000"/>
                <w:kern w:val="0"/>
                <w:szCs w:val="21"/>
              </w:rPr>
              <w:t>基金名称</w:t>
            </w:r>
          </w:p>
        </w:tc>
        <w:tc>
          <w:tcPr>
            <w:tcW w:w="2552" w:type="dxa"/>
            <w:shd w:val="clear" w:color="auto" w:fill="auto"/>
            <w:vAlign w:val="center"/>
            <w:hideMark/>
          </w:tcPr>
          <w:p w:rsidR="005D7F89" w:rsidRPr="004B06B5" w:rsidRDefault="005D7F89" w:rsidP="006A6451">
            <w:pPr>
              <w:widowControl/>
              <w:jc w:val="center"/>
              <w:rPr>
                <w:rFonts w:ascii="宋体" w:eastAsia="宋体" w:hAnsi="宋体" w:cs="宋体"/>
                <w:b/>
                <w:bCs/>
                <w:color w:val="000000"/>
                <w:kern w:val="0"/>
                <w:szCs w:val="21"/>
              </w:rPr>
            </w:pPr>
            <w:r w:rsidRPr="004B06B5">
              <w:rPr>
                <w:rFonts w:ascii="宋体" w:eastAsia="宋体" w:hAnsi="宋体" w:cs="宋体" w:hint="eastAsia"/>
                <w:b/>
                <w:bCs/>
                <w:color w:val="000000"/>
                <w:kern w:val="0"/>
                <w:szCs w:val="21"/>
              </w:rPr>
              <w:t>基金简称</w:t>
            </w:r>
          </w:p>
        </w:tc>
      </w:tr>
      <w:tr w:rsidR="005C6E97" w:rsidRPr="004B06B5" w:rsidTr="005D7F89">
        <w:trPr>
          <w:trHeight w:val="270"/>
        </w:trPr>
        <w:tc>
          <w:tcPr>
            <w:tcW w:w="1060" w:type="dxa"/>
            <w:shd w:val="clear" w:color="auto" w:fill="auto"/>
            <w:vAlign w:val="center"/>
          </w:tcPr>
          <w:p w:rsidR="005C6E97" w:rsidRPr="005C6E97" w:rsidRDefault="005C6E97" w:rsidP="005C6E97">
            <w:pPr>
              <w:widowControl/>
              <w:jc w:val="left"/>
              <w:rPr>
                <w:rFonts w:ascii="仿宋_GB2312" w:eastAsia="仿宋_GB2312"/>
                <w:color w:val="000000"/>
                <w:sz w:val="22"/>
              </w:rPr>
            </w:pPr>
            <w:r w:rsidRPr="005C6E97">
              <w:rPr>
                <w:rFonts w:ascii="仿宋_GB2312" w:eastAsia="仿宋_GB2312" w:hint="eastAsia"/>
                <w:color w:val="000000"/>
                <w:sz w:val="22"/>
              </w:rPr>
              <w:t>150968</w:t>
            </w:r>
          </w:p>
        </w:tc>
        <w:tc>
          <w:tcPr>
            <w:tcW w:w="4566" w:type="dxa"/>
            <w:shd w:val="clear" w:color="auto" w:fill="auto"/>
            <w:vAlign w:val="center"/>
          </w:tcPr>
          <w:p w:rsidR="005C6E97" w:rsidRPr="005C6E97" w:rsidRDefault="005C6E97" w:rsidP="005C6E97">
            <w:pPr>
              <w:widowControl/>
              <w:jc w:val="left"/>
              <w:rPr>
                <w:color w:val="000000"/>
                <w:sz w:val="22"/>
              </w:rPr>
            </w:pPr>
            <w:r w:rsidRPr="005C6E97">
              <w:rPr>
                <w:rFonts w:hint="eastAsia"/>
                <w:color w:val="000000"/>
                <w:sz w:val="22"/>
              </w:rPr>
              <w:t>银河研究精选混合型证券投资基金</w:t>
            </w:r>
          </w:p>
        </w:tc>
        <w:tc>
          <w:tcPr>
            <w:tcW w:w="2552" w:type="dxa"/>
            <w:shd w:val="clear" w:color="auto" w:fill="auto"/>
            <w:vAlign w:val="center"/>
          </w:tcPr>
          <w:p w:rsidR="005C6E97" w:rsidRPr="005C6E97" w:rsidRDefault="005C6E97" w:rsidP="005C6E97">
            <w:pPr>
              <w:widowControl/>
              <w:jc w:val="left"/>
              <w:rPr>
                <w:color w:val="000000"/>
                <w:sz w:val="22"/>
              </w:rPr>
            </w:pPr>
            <w:r w:rsidRPr="005C6E97">
              <w:rPr>
                <w:rFonts w:hint="eastAsia"/>
                <w:color w:val="000000"/>
                <w:sz w:val="22"/>
              </w:rPr>
              <w:t>银河研究精选混合</w:t>
            </w:r>
          </w:p>
        </w:tc>
      </w:tr>
      <w:tr w:rsidR="005C6E97" w:rsidRPr="004B06B5" w:rsidTr="005D7F89">
        <w:trPr>
          <w:trHeight w:val="270"/>
        </w:trPr>
        <w:tc>
          <w:tcPr>
            <w:tcW w:w="1060" w:type="dxa"/>
            <w:shd w:val="clear" w:color="auto" w:fill="auto"/>
            <w:vAlign w:val="center"/>
          </w:tcPr>
          <w:p w:rsidR="005C6E97" w:rsidRPr="005C6E97" w:rsidRDefault="005C6E97" w:rsidP="005C6E97">
            <w:pPr>
              <w:widowControl/>
              <w:jc w:val="left"/>
              <w:rPr>
                <w:rFonts w:ascii="仿宋_GB2312" w:eastAsia="仿宋_GB2312"/>
                <w:color w:val="000000"/>
                <w:sz w:val="22"/>
              </w:rPr>
            </w:pPr>
            <w:r w:rsidRPr="005C6E97">
              <w:rPr>
                <w:rFonts w:ascii="仿宋_GB2312" w:eastAsia="仿宋_GB2312" w:hint="eastAsia"/>
                <w:color w:val="000000"/>
                <w:sz w:val="22"/>
              </w:rPr>
              <w:t>151001</w:t>
            </w:r>
          </w:p>
        </w:tc>
        <w:tc>
          <w:tcPr>
            <w:tcW w:w="4566" w:type="dxa"/>
            <w:shd w:val="clear" w:color="auto" w:fill="auto"/>
            <w:vAlign w:val="center"/>
          </w:tcPr>
          <w:p w:rsidR="005C6E97" w:rsidRPr="005C6E97" w:rsidRDefault="005C6E97" w:rsidP="005C6E97">
            <w:pPr>
              <w:widowControl/>
              <w:jc w:val="left"/>
              <w:rPr>
                <w:color w:val="000000"/>
                <w:sz w:val="22"/>
              </w:rPr>
            </w:pPr>
            <w:r w:rsidRPr="005C6E97">
              <w:rPr>
                <w:rFonts w:hint="eastAsia"/>
                <w:color w:val="000000"/>
                <w:sz w:val="22"/>
              </w:rPr>
              <w:t>银河稳健证券投资基金</w:t>
            </w:r>
          </w:p>
        </w:tc>
        <w:tc>
          <w:tcPr>
            <w:tcW w:w="2552" w:type="dxa"/>
            <w:shd w:val="clear" w:color="auto" w:fill="auto"/>
            <w:vAlign w:val="center"/>
          </w:tcPr>
          <w:p w:rsidR="005C6E97" w:rsidRPr="005C6E97" w:rsidRDefault="005C6E97" w:rsidP="005C6E97">
            <w:pPr>
              <w:widowControl/>
              <w:jc w:val="left"/>
              <w:rPr>
                <w:color w:val="000000"/>
                <w:sz w:val="22"/>
              </w:rPr>
            </w:pPr>
            <w:r w:rsidRPr="005C6E97">
              <w:rPr>
                <w:rFonts w:hint="eastAsia"/>
                <w:color w:val="000000"/>
                <w:sz w:val="22"/>
              </w:rPr>
              <w:t>银河稳健混合</w:t>
            </w:r>
          </w:p>
        </w:tc>
      </w:tr>
      <w:tr w:rsidR="005C6E97" w:rsidRPr="004B06B5" w:rsidTr="005D7F89">
        <w:trPr>
          <w:trHeight w:val="270"/>
        </w:trPr>
        <w:tc>
          <w:tcPr>
            <w:tcW w:w="1060" w:type="dxa"/>
            <w:shd w:val="clear" w:color="auto" w:fill="auto"/>
            <w:vAlign w:val="center"/>
          </w:tcPr>
          <w:p w:rsidR="005C6E97" w:rsidRPr="005C6E97" w:rsidRDefault="005C6E97" w:rsidP="005C6E97">
            <w:pPr>
              <w:widowControl/>
              <w:jc w:val="left"/>
              <w:rPr>
                <w:rFonts w:ascii="仿宋_GB2312" w:eastAsia="仿宋_GB2312"/>
                <w:color w:val="000000"/>
                <w:sz w:val="22"/>
              </w:rPr>
            </w:pPr>
            <w:r w:rsidRPr="005C6E97">
              <w:rPr>
                <w:rFonts w:ascii="仿宋_GB2312" w:eastAsia="仿宋_GB2312" w:hint="eastAsia"/>
                <w:color w:val="000000"/>
                <w:sz w:val="22"/>
              </w:rPr>
              <w:t>151002</w:t>
            </w:r>
          </w:p>
        </w:tc>
        <w:tc>
          <w:tcPr>
            <w:tcW w:w="4566" w:type="dxa"/>
            <w:shd w:val="clear" w:color="auto" w:fill="auto"/>
            <w:vAlign w:val="center"/>
          </w:tcPr>
          <w:p w:rsidR="005C6E97" w:rsidRPr="005C6E97" w:rsidRDefault="005C6E97" w:rsidP="005C6E97">
            <w:pPr>
              <w:widowControl/>
              <w:jc w:val="left"/>
              <w:rPr>
                <w:color w:val="000000"/>
                <w:sz w:val="22"/>
              </w:rPr>
            </w:pPr>
            <w:r w:rsidRPr="005C6E97">
              <w:rPr>
                <w:rFonts w:hint="eastAsia"/>
                <w:color w:val="000000"/>
                <w:sz w:val="22"/>
              </w:rPr>
              <w:t>银河收益证券投资基金</w:t>
            </w:r>
          </w:p>
        </w:tc>
        <w:tc>
          <w:tcPr>
            <w:tcW w:w="2552" w:type="dxa"/>
            <w:shd w:val="clear" w:color="auto" w:fill="auto"/>
            <w:vAlign w:val="center"/>
          </w:tcPr>
          <w:p w:rsidR="005C6E97" w:rsidRPr="005C6E97" w:rsidRDefault="005C6E97" w:rsidP="005C6E97">
            <w:pPr>
              <w:widowControl/>
              <w:jc w:val="left"/>
              <w:rPr>
                <w:color w:val="000000"/>
                <w:sz w:val="22"/>
              </w:rPr>
            </w:pPr>
            <w:r w:rsidRPr="005C6E97">
              <w:rPr>
                <w:rFonts w:hint="eastAsia"/>
                <w:color w:val="000000"/>
                <w:sz w:val="22"/>
              </w:rPr>
              <w:t>银河收益债券</w:t>
            </w:r>
          </w:p>
        </w:tc>
      </w:tr>
      <w:tr w:rsidR="005D7F89" w:rsidRPr="004B06B5" w:rsidTr="005D7F89">
        <w:trPr>
          <w:trHeight w:val="270"/>
        </w:trPr>
        <w:tc>
          <w:tcPr>
            <w:tcW w:w="1060" w:type="dxa"/>
            <w:shd w:val="clear" w:color="auto" w:fill="auto"/>
            <w:vAlign w:val="center"/>
            <w:hideMark/>
          </w:tcPr>
          <w:p w:rsidR="005D7F89" w:rsidRPr="005D7F89" w:rsidRDefault="005D7F89" w:rsidP="005D7F89">
            <w:pPr>
              <w:widowControl/>
              <w:jc w:val="left"/>
              <w:rPr>
                <w:rFonts w:ascii="仿宋_GB2312" w:eastAsia="仿宋_GB2312"/>
                <w:color w:val="000000"/>
                <w:sz w:val="22"/>
              </w:rPr>
            </w:pPr>
            <w:r w:rsidRPr="005D7F89">
              <w:rPr>
                <w:rFonts w:ascii="仿宋_GB2312" w:eastAsia="仿宋_GB2312" w:hint="eastAsia"/>
                <w:color w:val="000000"/>
                <w:sz w:val="22"/>
              </w:rPr>
              <w:t>004250</w:t>
            </w:r>
          </w:p>
        </w:tc>
        <w:tc>
          <w:tcPr>
            <w:tcW w:w="4566" w:type="dxa"/>
            <w:shd w:val="clear" w:color="auto" w:fill="auto"/>
            <w:vAlign w:val="center"/>
            <w:hideMark/>
          </w:tcPr>
          <w:p w:rsidR="005D7F89" w:rsidRPr="005D7F89" w:rsidRDefault="005D7F89" w:rsidP="005D7F89">
            <w:pPr>
              <w:widowControl/>
              <w:jc w:val="left"/>
              <w:rPr>
                <w:color w:val="000000"/>
                <w:sz w:val="22"/>
              </w:rPr>
            </w:pPr>
            <w:r w:rsidRPr="005D7F89">
              <w:rPr>
                <w:rFonts w:hint="eastAsia"/>
                <w:color w:val="000000"/>
                <w:sz w:val="22"/>
              </w:rPr>
              <w:t>银河量化优选混合型证券投资基金</w:t>
            </w:r>
          </w:p>
        </w:tc>
        <w:tc>
          <w:tcPr>
            <w:tcW w:w="2552"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银河量化优选混合</w:t>
            </w:r>
          </w:p>
        </w:tc>
      </w:tr>
      <w:tr w:rsidR="005D7F89" w:rsidRPr="004B06B5" w:rsidTr="005D7F89">
        <w:trPr>
          <w:trHeight w:val="270"/>
        </w:trPr>
        <w:tc>
          <w:tcPr>
            <w:tcW w:w="1060" w:type="dxa"/>
            <w:shd w:val="clear" w:color="auto" w:fill="auto"/>
            <w:vAlign w:val="center"/>
            <w:hideMark/>
          </w:tcPr>
          <w:p w:rsidR="005D7F89" w:rsidRPr="005D7F89" w:rsidRDefault="005D7F89" w:rsidP="005D7F89">
            <w:pPr>
              <w:rPr>
                <w:rFonts w:ascii="仿宋_GB2312" w:eastAsia="仿宋_GB2312"/>
                <w:color w:val="000000"/>
                <w:sz w:val="22"/>
              </w:rPr>
            </w:pPr>
            <w:r w:rsidRPr="005D7F89">
              <w:rPr>
                <w:rFonts w:ascii="仿宋_GB2312" w:eastAsia="仿宋_GB2312" w:hint="eastAsia"/>
                <w:color w:val="000000"/>
                <w:sz w:val="22"/>
              </w:rPr>
              <w:t>519668</w:t>
            </w:r>
          </w:p>
        </w:tc>
        <w:tc>
          <w:tcPr>
            <w:tcW w:w="4566"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银河竞争优势成长混合型证券投资基金</w:t>
            </w:r>
          </w:p>
        </w:tc>
        <w:tc>
          <w:tcPr>
            <w:tcW w:w="2552"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银河成长混合</w:t>
            </w:r>
          </w:p>
        </w:tc>
      </w:tr>
      <w:tr w:rsidR="005D7F89" w:rsidRPr="004B06B5" w:rsidTr="005D7F89">
        <w:trPr>
          <w:trHeight w:val="270"/>
        </w:trPr>
        <w:tc>
          <w:tcPr>
            <w:tcW w:w="1060" w:type="dxa"/>
            <w:shd w:val="clear" w:color="auto" w:fill="auto"/>
            <w:vAlign w:val="center"/>
            <w:hideMark/>
          </w:tcPr>
          <w:p w:rsidR="005D7F89" w:rsidRPr="005D7F89" w:rsidRDefault="005D7F89" w:rsidP="005D7F89">
            <w:pPr>
              <w:rPr>
                <w:rFonts w:ascii="仿宋_GB2312" w:eastAsia="仿宋_GB2312"/>
                <w:color w:val="000000"/>
                <w:sz w:val="22"/>
              </w:rPr>
            </w:pPr>
            <w:r w:rsidRPr="005D7F89">
              <w:rPr>
                <w:rFonts w:ascii="仿宋_GB2312" w:eastAsia="仿宋_GB2312" w:hint="eastAsia"/>
                <w:color w:val="000000"/>
                <w:sz w:val="22"/>
              </w:rPr>
              <w:t>519670</w:t>
            </w:r>
          </w:p>
        </w:tc>
        <w:tc>
          <w:tcPr>
            <w:tcW w:w="4566"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银河行业优选混合型证券投资基金</w:t>
            </w:r>
          </w:p>
        </w:tc>
        <w:tc>
          <w:tcPr>
            <w:tcW w:w="2552"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银河行业混合</w:t>
            </w:r>
          </w:p>
        </w:tc>
      </w:tr>
      <w:tr w:rsidR="005D7F89" w:rsidRPr="004B06B5" w:rsidTr="005D7F89">
        <w:trPr>
          <w:trHeight w:val="270"/>
        </w:trPr>
        <w:tc>
          <w:tcPr>
            <w:tcW w:w="1060" w:type="dxa"/>
            <w:shd w:val="clear" w:color="auto" w:fill="auto"/>
            <w:vAlign w:val="center"/>
            <w:hideMark/>
          </w:tcPr>
          <w:p w:rsidR="005D7F89" w:rsidRPr="005D7F89" w:rsidRDefault="005D7F89" w:rsidP="005D7F89">
            <w:pPr>
              <w:rPr>
                <w:rFonts w:ascii="仿宋_GB2312" w:eastAsia="仿宋_GB2312"/>
                <w:color w:val="000000"/>
                <w:sz w:val="22"/>
              </w:rPr>
            </w:pPr>
            <w:r w:rsidRPr="005D7F89">
              <w:rPr>
                <w:rFonts w:ascii="仿宋_GB2312" w:eastAsia="仿宋_GB2312" w:hint="eastAsia"/>
                <w:color w:val="000000"/>
                <w:sz w:val="22"/>
              </w:rPr>
              <w:t>519671</w:t>
            </w:r>
          </w:p>
        </w:tc>
        <w:tc>
          <w:tcPr>
            <w:tcW w:w="4566"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银河沪深</w:t>
            </w:r>
            <w:r w:rsidRPr="005D7F89">
              <w:rPr>
                <w:rFonts w:hint="eastAsia"/>
                <w:color w:val="000000"/>
                <w:sz w:val="22"/>
              </w:rPr>
              <w:t>300</w:t>
            </w:r>
            <w:r w:rsidRPr="005D7F89">
              <w:rPr>
                <w:rFonts w:hint="eastAsia"/>
                <w:color w:val="000000"/>
                <w:sz w:val="22"/>
              </w:rPr>
              <w:t>价值指数证券投资基金</w:t>
            </w:r>
          </w:p>
        </w:tc>
        <w:tc>
          <w:tcPr>
            <w:tcW w:w="2552"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银河沪深</w:t>
            </w:r>
            <w:r w:rsidRPr="005D7F89">
              <w:rPr>
                <w:rFonts w:hint="eastAsia"/>
                <w:color w:val="000000"/>
                <w:sz w:val="22"/>
              </w:rPr>
              <w:t>300</w:t>
            </w:r>
            <w:r w:rsidRPr="005D7F89">
              <w:rPr>
                <w:rFonts w:hint="eastAsia"/>
                <w:color w:val="000000"/>
                <w:sz w:val="22"/>
              </w:rPr>
              <w:t>价值指数</w:t>
            </w:r>
          </w:p>
        </w:tc>
      </w:tr>
      <w:tr w:rsidR="005D7F89" w:rsidRPr="004B06B5" w:rsidTr="005D7F89">
        <w:trPr>
          <w:trHeight w:val="270"/>
        </w:trPr>
        <w:tc>
          <w:tcPr>
            <w:tcW w:w="1060" w:type="dxa"/>
            <w:shd w:val="clear" w:color="auto" w:fill="auto"/>
            <w:vAlign w:val="center"/>
            <w:hideMark/>
          </w:tcPr>
          <w:p w:rsidR="005D7F89" w:rsidRPr="005D7F89" w:rsidRDefault="005D7F89" w:rsidP="005D7F89">
            <w:pPr>
              <w:rPr>
                <w:rFonts w:ascii="仿宋_GB2312" w:eastAsia="仿宋_GB2312"/>
                <w:color w:val="000000"/>
                <w:sz w:val="22"/>
              </w:rPr>
            </w:pPr>
            <w:r w:rsidRPr="005D7F89">
              <w:rPr>
                <w:rFonts w:ascii="仿宋_GB2312" w:eastAsia="仿宋_GB2312" w:hint="eastAsia"/>
                <w:color w:val="000000"/>
                <w:sz w:val="22"/>
              </w:rPr>
              <w:t>519672</w:t>
            </w:r>
          </w:p>
        </w:tc>
        <w:tc>
          <w:tcPr>
            <w:tcW w:w="4566"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银河蓝筹精选混合型证券投资基金</w:t>
            </w:r>
          </w:p>
        </w:tc>
        <w:tc>
          <w:tcPr>
            <w:tcW w:w="2552"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银河蓝筹混合</w:t>
            </w:r>
          </w:p>
        </w:tc>
      </w:tr>
      <w:tr w:rsidR="005D7F89" w:rsidRPr="004B06B5" w:rsidTr="005D7F89">
        <w:trPr>
          <w:trHeight w:val="270"/>
        </w:trPr>
        <w:tc>
          <w:tcPr>
            <w:tcW w:w="1060" w:type="dxa"/>
            <w:shd w:val="clear" w:color="auto" w:fill="auto"/>
            <w:vAlign w:val="center"/>
            <w:hideMark/>
          </w:tcPr>
          <w:p w:rsidR="005D7F89" w:rsidRPr="005D7F89" w:rsidRDefault="005D7F89" w:rsidP="005D7F89">
            <w:pPr>
              <w:rPr>
                <w:rFonts w:ascii="仿宋_GB2312" w:eastAsia="仿宋_GB2312"/>
                <w:color w:val="000000"/>
                <w:sz w:val="22"/>
              </w:rPr>
            </w:pPr>
            <w:r w:rsidRPr="005D7F89">
              <w:rPr>
                <w:rFonts w:ascii="仿宋_GB2312" w:eastAsia="仿宋_GB2312" w:hint="eastAsia"/>
                <w:color w:val="000000"/>
                <w:sz w:val="22"/>
              </w:rPr>
              <w:t>519676</w:t>
            </w:r>
          </w:p>
        </w:tc>
        <w:tc>
          <w:tcPr>
            <w:tcW w:w="4566"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银河强化收益债券型证券投资基金</w:t>
            </w:r>
          </w:p>
        </w:tc>
        <w:tc>
          <w:tcPr>
            <w:tcW w:w="2552"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银河强化债券</w:t>
            </w:r>
          </w:p>
        </w:tc>
      </w:tr>
      <w:tr w:rsidR="005D7F89" w:rsidRPr="004B06B5" w:rsidTr="005D7F89">
        <w:trPr>
          <w:trHeight w:val="270"/>
        </w:trPr>
        <w:tc>
          <w:tcPr>
            <w:tcW w:w="1060" w:type="dxa"/>
            <w:shd w:val="clear" w:color="auto" w:fill="auto"/>
            <w:vAlign w:val="center"/>
            <w:hideMark/>
          </w:tcPr>
          <w:p w:rsidR="005D7F89" w:rsidRPr="005D7F89" w:rsidRDefault="005D7F89" w:rsidP="005D7F89">
            <w:pPr>
              <w:rPr>
                <w:rFonts w:ascii="仿宋_GB2312" w:eastAsia="仿宋_GB2312"/>
                <w:color w:val="000000"/>
                <w:sz w:val="22"/>
              </w:rPr>
            </w:pPr>
            <w:r w:rsidRPr="005D7F89">
              <w:rPr>
                <w:rFonts w:ascii="仿宋_GB2312" w:eastAsia="仿宋_GB2312" w:hint="eastAsia"/>
                <w:color w:val="000000"/>
                <w:sz w:val="22"/>
              </w:rPr>
              <w:t>519679</w:t>
            </w:r>
          </w:p>
        </w:tc>
        <w:tc>
          <w:tcPr>
            <w:tcW w:w="4566"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银河主题策略混合型证券投资基金</w:t>
            </w:r>
          </w:p>
        </w:tc>
        <w:tc>
          <w:tcPr>
            <w:tcW w:w="2552" w:type="dxa"/>
            <w:shd w:val="clear" w:color="auto" w:fill="auto"/>
            <w:vAlign w:val="center"/>
            <w:hideMark/>
          </w:tcPr>
          <w:p w:rsidR="005D7F89" w:rsidRPr="005D7F89" w:rsidRDefault="005D7F89" w:rsidP="005D7F89">
            <w:pPr>
              <w:rPr>
                <w:color w:val="000000"/>
                <w:sz w:val="22"/>
              </w:rPr>
            </w:pPr>
            <w:r w:rsidRPr="005D7F89">
              <w:rPr>
                <w:rFonts w:hint="eastAsia"/>
                <w:color w:val="000000"/>
                <w:sz w:val="22"/>
              </w:rPr>
              <w:t>银河主题混合</w:t>
            </w:r>
          </w:p>
        </w:tc>
      </w:tr>
    </w:tbl>
    <w:p w:rsidR="005D400B" w:rsidRPr="00536670" w:rsidRDefault="00536670" w:rsidP="00536670">
      <w:pPr>
        <w:spacing w:line="360" w:lineRule="auto"/>
        <w:ind w:firstLine="420"/>
        <w:rPr>
          <w:szCs w:val="21"/>
        </w:rPr>
      </w:pPr>
      <w:r>
        <w:rPr>
          <w:rFonts w:hint="eastAsia"/>
          <w:szCs w:val="21"/>
        </w:rPr>
        <w:t>上述</w:t>
      </w:r>
      <w:r w:rsidR="0058652E" w:rsidRPr="00536670">
        <w:rPr>
          <w:rFonts w:hint="eastAsia"/>
          <w:szCs w:val="21"/>
        </w:rPr>
        <w:t>基金调整定投优惠折扣为</w:t>
      </w:r>
      <w:r w:rsidR="0058652E" w:rsidRPr="00536670">
        <w:rPr>
          <w:rFonts w:hint="eastAsia"/>
          <w:szCs w:val="21"/>
        </w:rPr>
        <w:t>1</w:t>
      </w:r>
      <w:r w:rsidR="0058652E" w:rsidRPr="00536670">
        <w:rPr>
          <w:rFonts w:hint="eastAsia"/>
          <w:szCs w:val="21"/>
        </w:rPr>
        <w:t>折。</w:t>
      </w:r>
    </w:p>
    <w:p w:rsidR="00237987" w:rsidRPr="00237987" w:rsidRDefault="00AA20C6" w:rsidP="005D400B">
      <w:pPr>
        <w:spacing w:line="360" w:lineRule="auto"/>
        <w:rPr>
          <w:b/>
          <w:szCs w:val="21"/>
        </w:rPr>
      </w:pPr>
      <w:r>
        <w:rPr>
          <w:rFonts w:hint="eastAsia"/>
          <w:b/>
          <w:szCs w:val="21"/>
        </w:rPr>
        <w:t>五</w:t>
      </w:r>
      <w:r w:rsidR="004E2FC9">
        <w:rPr>
          <w:b/>
          <w:szCs w:val="21"/>
        </w:rPr>
        <w:t>、</w:t>
      </w:r>
      <w:r w:rsidR="004B06B5">
        <w:rPr>
          <w:rFonts w:hint="eastAsia"/>
          <w:b/>
          <w:szCs w:val="21"/>
        </w:rPr>
        <w:t>最新</w:t>
      </w:r>
      <w:r w:rsidR="008E2CE1">
        <w:rPr>
          <w:rFonts w:hint="eastAsia"/>
          <w:b/>
          <w:szCs w:val="21"/>
        </w:rPr>
        <w:t>费率优惠</w:t>
      </w:r>
      <w:r w:rsidR="008E2CE1">
        <w:rPr>
          <w:b/>
          <w:szCs w:val="21"/>
        </w:rPr>
        <w:t>活动</w:t>
      </w:r>
      <w:r w:rsidR="00712739">
        <w:rPr>
          <w:rFonts w:hint="eastAsia"/>
          <w:b/>
          <w:szCs w:val="21"/>
        </w:rPr>
        <w:t>规则</w:t>
      </w:r>
    </w:p>
    <w:p w:rsidR="00EF0DB1" w:rsidRPr="00EF0DB1" w:rsidRDefault="00EF0DB1" w:rsidP="00173F0F">
      <w:pPr>
        <w:spacing w:afterLines="30" w:line="360" w:lineRule="auto"/>
        <w:ind w:firstLineChars="202" w:firstLine="424"/>
        <w:rPr>
          <w:szCs w:val="21"/>
        </w:rPr>
      </w:pPr>
      <w:r>
        <w:rPr>
          <w:rFonts w:hint="eastAsia"/>
          <w:szCs w:val="21"/>
        </w:rPr>
        <w:t>上述</w:t>
      </w:r>
      <w:r w:rsidRPr="00EF0DB1">
        <w:rPr>
          <w:rFonts w:hint="eastAsia"/>
          <w:szCs w:val="21"/>
        </w:rPr>
        <w:t>基金参加广发证券开放式基金网上及手机申购费率优惠活动，通过广发证券网上、手机委托系统申购的部分开放式基金（场外前端模式），享有</w:t>
      </w:r>
      <w:r w:rsidRPr="00EF0DB1">
        <w:rPr>
          <w:rFonts w:hint="eastAsia"/>
          <w:szCs w:val="21"/>
        </w:rPr>
        <w:t>1</w:t>
      </w:r>
      <w:r w:rsidRPr="00EF0DB1">
        <w:rPr>
          <w:rFonts w:hint="eastAsia"/>
          <w:szCs w:val="21"/>
        </w:rPr>
        <w:t>折申购费率优惠；原申购费率为固定费用的（即若原费率为</w:t>
      </w:r>
      <w:r w:rsidRPr="00EF0DB1">
        <w:rPr>
          <w:rFonts w:hint="eastAsia"/>
          <w:szCs w:val="21"/>
        </w:rPr>
        <w:t>1000</w:t>
      </w:r>
      <w:r w:rsidRPr="00EF0DB1">
        <w:rPr>
          <w:rFonts w:hint="eastAsia"/>
          <w:szCs w:val="21"/>
        </w:rPr>
        <w:t>元</w:t>
      </w:r>
      <w:r w:rsidRPr="00EF0DB1">
        <w:rPr>
          <w:rFonts w:hint="eastAsia"/>
          <w:szCs w:val="21"/>
        </w:rPr>
        <w:t>/</w:t>
      </w:r>
      <w:r w:rsidRPr="00EF0DB1">
        <w:rPr>
          <w:rFonts w:hint="eastAsia"/>
          <w:szCs w:val="21"/>
        </w:rPr>
        <w:t>笔的固定费用的），则按原申购费率执行。</w:t>
      </w:r>
    </w:p>
    <w:p w:rsidR="00237987" w:rsidRPr="00CC2621" w:rsidRDefault="00EF0DB1" w:rsidP="00173F0F">
      <w:pPr>
        <w:spacing w:afterLines="30" w:line="360" w:lineRule="auto"/>
        <w:ind w:firstLineChars="202" w:firstLine="424"/>
        <w:rPr>
          <w:szCs w:val="21"/>
        </w:rPr>
      </w:pPr>
      <w:r w:rsidRPr="00EF0DB1">
        <w:rPr>
          <w:rFonts w:hint="eastAsia"/>
          <w:szCs w:val="21"/>
        </w:rPr>
        <w:t>同时，</w:t>
      </w:r>
      <w:r>
        <w:rPr>
          <w:rFonts w:hint="eastAsia"/>
          <w:szCs w:val="21"/>
        </w:rPr>
        <w:t>上述</w:t>
      </w:r>
      <w:r w:rsidRPr="00EF0DB1">
        <w:rPr>
          <w:rFonts w:hint="eastAsia"/>
          <w:szCs w:val="21"/>
        </w:rPr>
        <w:t>基金也参加广发证券网上、手机定期定额投资申购优惠活动，享有</w:t>
      </w:r>
      <w:r w:rsidRPr="00EF0DB1">
        <w:rPr>
          <w:rFonts w:hint="eastAsia"/>
          <w:szCs w:val="21"/>
        </w:rPr>
        <w:t>1</w:t>
      </w:r>
      <w:r w:rsidRPr="00EF0DB1">
        <w:rPr>
          <w:rFonts w:hint="eastAsia"/>
          <w:szCs w:val="21"/>
        </w:rPr>
        <w:t>折费率优惠。原申购费率为固定费用的（即若原费率为</w:t>
      </w:r>
      <w:r w:rsidRPr="00EF0DB1">
        <w:rPr>
          <w:rFonts w:hint="eastAsia"/>
          <w:szCs w:val="21"/>
        </w:rPr>
        <w:t>1000</w:t>
      </w:r>
      <w:r w:rsidRPr="00EF0DB1">
        <w:rPr>
          <w:rFonts w:hint="eastAsia"/>
          <w:szCs w:val="21"/>
        </w:rPr>
        <w:t>元</w:t>
      </w:r>
      <w:r w:rsidRPr="00EF0DB1">
        <w:rPr>
          <w:rFonts w:hint="eastAsia"/>
          <w:szCs w:val="21"/>
        </w:rPr>
        <w:t>/</w:t>
      </w:r>
      <w:r w:rsidRPr="00EF0DB1">
        <w:rPr>
          <w:rFonts w:hint="eastAsia"/>
          <w:szCs w:val="21"/>
        </w:rPr>
        <w:t>笔的固定费用的），则按原申购费率执行。</w:t>
      </w:r>
    </w:p>
    <w:p w:rsidR="006A68A0" w:rsidRPr="001A568D" w:rsidRDefault="006A68A0" w:rsidP="001A568D">
      <w:pPr>
        <w:spacing w:line="360" w:lineRule="auto"/>
        <w:ind w:firstLineChars="200" w:firstLine="420"/>
        <w:rPr>
          <w:szCs w:val="21"/>
        </w:rPr>
      </w:pPr>
      <w:r w:rsidRPr="001A568D">
        <w:rPr>
          <w:rFonts w:hint="eastAsia"/>
          <w:szCs w:val="21"/>
        </w:rPr>
        <w:t>投资者可通过以下途径咨询有关详情</w:t>
      </w:r>
      <w:r w:rsidR="007166B6" w:rsidRPr="001A568D">
        <w:rPr>
          <w:rFonts w:hint="eastAsia"/>
          <w:szCs w:val="21"/>
        </w:rPr>
        <w:t>：</w:t>
      </w:r>
    </w:p>
    <w:p w:rsidR="00CC2621" w:rsidRPr="0018322D" w:rsidRDefault="00CC2621" w:rsidP="00CC2621">
      <w:pPr>
        <w:widowControl/>
        <w:spacing w:line="360" w:lineRule="auto"/>
        <w:ind w:firstLineChars="177" w:firstLine="372"/>
        <w:jc w:val="left"/>
        <w:rPr>
          <w:rFonts w:ascii="宋体" w:hAnsi="宋体" w:cs="宋体"/>
          <w:kern w:val="0"/>
          <w:szCs w:val="21"/>
        </w:rPr>
      </w:pPr>
      <w:r w:rsidRPr="00BE7A4F">
        <w:rPr>
          <w:rFonts w:asciiTheme="minorEastAsia" w:hAnsiTheme="minorEastAsia" w:cs="Tahoma" w:hint="eastAsia"/>
          <w:color w:val="000000"/>
          <w:kern w:val="0"/>
          <w:szCs w:val="21"/>
        </w:rPr>
        <w:t>1、</w:t>
      </w:r>
      <w:r w:rsidR="00A81590" w:rsidRPr="00A81590">
        <w:rPr>
          <w:rFonts w:ascii="宋体" w:hAnsi="宋体" w:cs="宋体" w:hint="eastAsia"/>
          <w:kern w:val="0"/>
          <w:szCs w:val="21"/>
        </w:rPr>
        <w:t>广发证券股份有限公司</w:t>
      </w:r>
    </w:p>
    <w:p w:rsidR="00EF0DB1" w:rsidRPr="00EF0DB1" w:rsidRDefault="00EF0DB1" w:rsidP="00EF0DB1">
      <w:pPr>
        <w:widowControl/>
        <w:spacing w:line="360" w:lineRule="auto"/>
        <w:ind w:firstLineChars="177" w:firstLine="372"/>
        <w:jc w:val="left"/>
        <w:rPr>
          <w:rFonts w:ascii="宋体" w:hAnsi="宋体" w:cs="宋体"/>
          <w:kern w:val="0"/>
          <w:szCs w:val="21"/>
        </w:rPr>
      </w:pPr>
      <w:r w:rsidRPr="00EF0DB1">
        <w:rPr>
          <w:rFonts w:ascii="宋体" w:hAnsi="宋体" w:cs="宋体" w:hint="eastAsia"/>
          <w:kern w:val="0"/>
          <w:szCs w:val="21"/>
        </w:rPr>
        <w:t>客户服务电话：95575或02095575</w:t>
      </w:r>
    </w:p>
    <w:p w:rsidR="00CC2621" w:rsidRPr="00BE7A4F" w:rsidRDefault="00EF0DB1" w:rsidP="00EF0DB1">
      <w:pPr>
        <w:widowControl/>
        <w:spacing w:line="360" w:lineRule="auto"/>
        <w:ind w:firstLineChars="177" w:firstLine="372"/>
        <w:jc w:val="left"/>
        <w:rPr>
          <w:rFonts w:ascii="宋体" w:hAnsi="宋体"/>
          <w:szCs w:val="21"/>
        </w:rPr>
      </w:pPr>
      <w:r w:rsidRPr="00EF0DB1">
        <w:rPr>
          <w:rFonts w:ascii="宋体" w:hAnsi="宋体" w:cs="宋体" w:hint="eastAsia"/>
          <w:kern w:val="0"/>
          <w:szCs w:val="21"/>
        </w:rPr>
        <w:t>网址： www.gf.com.cn</w:t>
      </w:r>
    </w:p>
    <w:p w:rsidR="00CC2621" w:rsidRPr="00BE7A4F" w:rsidRDefault="00CC2621" w:rsidP="00CC2621">
      <w:pPr>
        <w:spacing w:line="360" w:lineRule="auto"/>
        <w:ind w:firstLineChars="177" w:firstLine="372"/>
        <w:rPr>
          <w:rFonts w:asciiTheme="minorEastAsia" w:hAnsiTheme="minorEastAsia" w:cs="宋体"/>
          <w:color w:val="000000"/>
          <w:kern w:val="0"/>
          <w:szCs w:val="21"/>
        </w:rPr>
      </w:pPr>
      <w:r w:rsidRPr="00BE7A4F">
        <w:rPr>
          <w:rFonts w:asciiTheme="minorEastAsia" w:hAnsiTheme="minorEastAsia" w:cs="Tahoma"/>
          <w:color w:val="000000"/>
          <w:kern w:val="0"/>
          <w:szCs w:val="21"/>
        </w:rPr>
        <w:t>2</w:t>
      </w:r>
      <w:r w:rsidRPr="00BE7A4F">
        <w:rPr>
          <w:rFonts w:asciiTheme="minorEastAsia" w:hAnsiTheme="minorEastAsia" w:cs="Tahoma" w:hint="eastAsia"/>
          <w:color w:val="000000"/>
          <w:kern w:val="0"/>
          <w:szCs w:val="21"/>
        </w:rPr>
        <w:t>、</w:t>
      </w:r>
      <w:r w:rsidRPr="00BE7A4F">
        <w:rPr>
          <w:rFonts w:asciiTheme="minorEastAsia" w:hAnsiTheme="minorEastAsia" w:cs="宋体" w:hint="eastAsia"/>
          <w:color w:val="000000"/>
          <w:kern w:val="0"/>
          <w:szCs w:val="21"/>
        </w:rPr>
        <w:t>银河基金管理有限公司</w:t>
      </w:r>
    </w:p>
    <w:p w:rsidR="00CC2621" w:rsidRPr="00BE7A4F" w:rsidRDefault="00CC2621" w:rsidP="00CC2621">
      <w:pPr>
        <w:spacing w:line="360" w:lineRule="auto"/>
        <w:ind w:firstLineChars="177" w:firstLine="372"/>
        <w:rPr>
          <w:rFonts w:asciiTheme="minorEastAsia" w:hAnsiTheme="minorEastAsia" w:cs="宋体"/>
          <w:color w:val="000000"/>
          <w:kern w:val="0"/>
          <w:szCs w:val="21"/>
        </w:rPr>
      </w:pPr>
      <w:r w:rsidRPr="00BE7A4F">
        <w:rPr>
          <w:rFonts w:asciiTheme="minorEastAsia" w:hAnsiTheme="minorEastAsia" w:cs="宋体" w:hint="eastAsia"/>
          <w:color w:val="000000"/>
          <w:kern w:val="0"/>
          <w:szCs w:val="21"/>
        </w:rPr>
        <w:t>客户服务电话：400-820-0860</w:t>
      </w:r>
    </w:p>
    <w:p w:rsidR="00CC2621" w:rsidRPr="00BE7A4F" w:rsidRDefault="00CC2621" w:rsidP="00CC2621">
      <w:pPr>
        <w:spacing w:line="360" w:lineRule="auto"/>
        <w:ind w:firstLineChars="177" w:firstLine="372"/>
        <w:rPr>
          <w:rFonts w:asciiTheme="minorEastAsia" w:hAnsiTheme="minorEastAsia" w:cs="Tahoma"/>
          <w:color w:val="000000"/>
          <w:kern w:val="0"/>
          <w:szCs w:val="21"/>
        </w:rPr>
      </w:pPr>
      <w:r w:rsidRPr="00BE7A4F">
        <w:rPr>
          <w:rFonts w:asciiTheme="minorEastAsia" w:hAnsiTheme="minorEastAsia" w:cs="宋体" w:hint="eastAsia"/>
          <w:color w:val="000000"/>
          <w:kern w:val="0"/>
          <w:szCs w:val="21"/>
        </w:rPr>
        <w:t>网址：www.galaxyasset.com</w:t>
      </w:r>
    </w:p>
    <w:p w:rsidR="00A7738A" w:rsidRPr="00A7738A" w:rsidRDefault="00EF0DB1" w:rsidP="00CC2621">
      <w:pPr>
        <w:spacing w:line="360" w:lineRule="auto"/>
        <w:ind w:firstLine="420"/>
        <w:rPr>
          <w:szCs w:val="21"/>
        </w:rPr>
      </w:pPr>
      <w:r>
        <w:rPr>
          <w:rFonts w:ascii="宋体" w:hAnsi="宋体" w:cs="宋体" w:hint="eastAsia"/>
          <w:color w:val="000000"/>
          <w:kern w:val="0"/>
          <w:szCs w:val="21"/>
        </w:rPr>
        <w:t>广发</w:t>
      </w:r>
      <w:r w:rsidR="00CC2621">
        <w:rPr>
          <w:rFonts w:ascii="宋体" w:hAnsi="宋体" w:cs="宋体" w:hint="eastAsia"/>
          <w:color w:val="000000"/>
          <w:kern w:val="0"/>
          <w:szCs w:val="21"/>
        </w:rPr>
        <w:t>证券保留对</w:t>
      </w:r>
      <w:r w:rsidR="00CC2621">
        <w:rPr>
          <w:rFonts w:ascii="宋体" w:hAnsi="宋体" w:cs="宋体"/>
          <w:color w:val="000000"/>
          <w:kern w:val="0"/>
          <w:szCs w:val="21"/>
        </w:rPr>
        <w:t>上述</w:t>
      </w:r>
      <w:r w:rsidR="00CC2621">
        <w:rPr>
          <w:rFonts w:ascii="宋体" w:hAnsi="宋体" w:cs="宋体" w:hint="eastAsia"/>
          <w:color w:val="000000"/>
          <w:kern w:val="0"/>
          <w:szCs w:val="21"/>
        </w:rPr>
        <w:t>业务</w:t>
      </w:r>
      <w:r w:rsidR="00CC2621">
        <w:rPr>
          <w:rFonts w:ascii="宋体" w:hAnsi="宋体" w:cs="宋体"/>
          <w:color w:val="000000"/>
          <w:kern w:val="0"/>
          <w:szCs w:val="21"/>
        </w:rPr>
        <w:t>及</w:t>
      </w:r>
      <w:r w:rsidR="00CC2621" w:rsidRPr="0007554C">
        <w:rPr>
          <w:rFonts w:ascii="宋体" w:hAnsi="宋体" w:cs="宋体" w:hint="eastAsia"/>
          <w:color w:val="000000"/>
          <w:kern w:val="0"/>
          <w:szCs w:val="21"/>
        </w:rPr>
        <w:t>优惠活动的最终解释权</w:t>
      </w:r>
      <w:r w:rsidR="00CC2621" w:rsidRPr="00BE7A4F">
        <w:rPr>
          <w:rFonts w:ascii="宋体" w:hAnsi="宋体" w:cs="宋体" w:hint="eastAsia"/>
          <w:color w:val="000000"/>
          <w:kern w:val="0"/>
          <w:szCs w:val="21"/>
        </w:rPr>
        <w:t>。</w:t>
      </w:r>
    </w:p>
    <w:p w:rsidR="00A7738A" w:rsidRPr="00A7738A" w:rsidRDefault="00AA20C6" w:rsidP="00A7738A">
      <w:pPr>
        <w:spacing w:line="360" w:lineRule="auto"/>
        <w:rPr>
          <w:b/>
          <w:szCs w:val="21"/>
        </w:rPr>
      </w:pPr>
      <w:r>
        <w:rPr>
          <w:rFonts w:hint="eastAsia"/>
          <w:b/>
          <w:szCs w:val="21"/>
        </w:rPr>
        <w:t>六</w:t>
      </w:r>
      <w:r w:rsidR="00A7738A" w:rsidRPr="00A7738A">
        <w:rPr>
          <w:rFonts w:hint="eastAsia"/>
          <w:b/>
          <w:szCs w:val="21"/>
        </w:rPr>
        <w:t>、风险提示</w:t>
      </w:r>
    </w:p>
    <w:p w:rsidR="006A68A0" w:rsidRPr="00A7738A" w:rsidRDefault="00A7738A" w:rsidP="00A7738A">
      <w:pPr>
        <w:spacing w:line="360" w:lineRule="auto"/>
        <w:ind w:firstLine="420"/>
        <w:rPr>
          <w:szCs w:val="21"/>
        </w:rPr>
      </w:pPr>
      <w:r w:rsidRPr="00A7738A">
        <w:rPr>
          <w:rFonts w:hint="eastAsia"/>
          <w:szCs w:val="21"/>
        </w:rPr>
        <w:t>本公司承诺以诚实信用、勤勉尽责的原则管理和运用基金资产，但不保证基金一定盈利，也不保证最低收益。敬请投资者注意投资风险。投资者投资于上述基金前应认真阅读基金的</w:t>
      </w:r>
      <w:r w:rsidRPr="00A7738A">
        <w:rPr>
          <w:rFonts w:hint="eastAsia"/>
          <w:szCs w:val="21"/>
        </w:rPr>
        <w:lastRenderedPageBreak/>
        <w:t>基金合同、招募说明书等法律文件。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103D0D" w:rsidRPr="00237987" w:rsidRDefault="00EF132F" w:rsidP="00EF132F">
      <w:pPr>
        <w:spacing w:line="360" w:lineRule="auto"/>
        <w:ind w:left="420"/>
        <w:rPr>
          <w:szCs w:val="21"/>
        </w:rPr>
      </w:pPr>
      <w:r w:rsidRPr="00237987">
        <w:rPr>
          <w:rFonts w:hint="eastAsia"/>
          <w:szCs w:val="21"/>
        </w:rPr>
        <w:t>本公告的解释权归银河基金管理有限公司。</w:t>
      </w:r>
      <w:r w:rsidRPr="00237987">
        <w:rPr>
          <w:szCs w:val="21"/>
        </w:rPr>
        <w:br/>
      </w:r>
      <w:r w:rsidR="00103D0D" w:rsidRPr="00237987">
        <w:rPr>
          <w:rFonts w:hint="eastAsia"/>
          <w:szCs w:val="21"/>
        </w:rPr>
        <w:t>特此公告。</w:t>
      </w:r>
    </w:p>
    <w:p w:rsidR="00131D67" w:rsidRPr="00237987" w:rsidRDefault="00131D67" w:rsidP="006A68A0">
      <w:pPr>
        <w:spacing w:line="360" w:lineRule="auto"/>
        <w:jc w:val="right"/>
        <w:rPr>
          <w:szCs w:val="21"/>
        </w:rPr>
      </w:pPr>
    </w:p>
    <w:p w:rsidR="00103D0D" w:rsidRPr="00237987" w:rsidRDefault="00103D0D" w:rsidP="006A68A0">
      <w:pPr>
        <w:spacing w:line="360" w:lineRule="auto"/>
        <w:jc w:val="right"/>
        <w:rPr>
          <w:szCs w:val="21"/>
        </w:rPr>
      </w:pPr>
      <w:r w:rsidRPr="00237987">
        <w:rPr>
          <w:rFonts w:hint="eastAsia"/>
          <w:szCs w:val="21"/>
        </w:rPr>
        <w:t>银河基金管理有限公司</w:t>
      </w:r>
    </w:p>
    <w:p w:rsidR="00B13F19" w:rsidRDefault="00536670" w:rsidP="00BA1459">
      <w:pPr>
        <w:spacing w:line="360" w:lineRule="auto"/>
        <w:ind w:firstLineChars="2250" w:firstLine="4725"/>
        <w:jc w:val="right"/>
      </w:pPr>
      <w:r w:rsidRPr="00237987">
        <w:rPr>
          <w:rFonts w:ascii="宋体" w:hAnsi="宋体" w:hint="eastAsia"/>
          <w:szCs w:val="21"/>
        </w:rPr>
        <w:t>20</w:t>
      </w:r>
      <w:r>
        <w:rPr>
          <w:rFonts w:ascii="宋体" w:hAnsi="宋体"/>
          <w:szCs w:val="21"/>
        </w:rPr>
        <w:t>20</w:t>
      </w:r>
      <w:r w:rsidRPr="00237987">
        <w:rPr>
          <w:rFonts w:ascii="宋体" w:hAnsi="宋体" w:hint="eastAsia"/>
          <w:szCs w:val="21"/>
        </w:rPr>
        <w:t>年</w:t>
      </w:r>
      <w:r>
        <w:rPr>
          <w:rFonts w:ascii="宋体" w:hAnsi="宋体"/>
          <w:szCs w:val="21"/>
        </w:rPr>
        <w:t>5</w:t>
      </w:r>
      <w:r w:rsidRPr="00237987">
        <w:rPr>
          <w:rFonts w:ascii="宋体" w:hAnsi="宋体" w:hint="eastAsia"/>
          <w:szCs w:val="21"/>
        </w:rPr>
        <w:t>月</w:t>
      </w:r>
      <w:r w:rsidR="00114410">
        <w:rPr>
          <w:rFonts w:ascii="宋体" w:hAnsi="宋体"/>
          <w:szCs w:val="21"/>
        </w:rPr>
        <w:t>12</w:t>
      </w:r>
      <w:r w:rsidR="006A68A0" w:rsidRPr="00237987">
        <w:rPr>
          <w:rFonts w:ascii="宋体" w:hAnsi="宋体" w:hint="eastAsia"/>
          <w:szCs w:val="21"/>
        </w:rPr>
        <w:t>日</w:t>
      </w:r>
    </w:p>
    <w:sectPr w:rsidR="00B13F19" w:rsidSect="00B13F1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D5C" w:rsidRDefault="00CF4D5C" w:rsidP="00EF132F">
      <w:r>
        <w:separator/>
      </w:r>
    </w:p>
  </w:endnote>
  <w:endnote w:type="continuationSeparator" w:id="1">
    <w:p w:rsidR="00CF4D5C" w:rsidRDefault="00CF4D5C" w:rsidP="00EF1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814"/>
      <w:docPartObj>
        <w:docPartGallery w:val="Page Numbers (Bottom of Page)"/>
        <w:docPartUnique/>
      </w:docPartObj>
    </w:sdtPr>
    <w:sdtContent>
      <w:p w:rsidR="006A6451" w:rsidRDefault="0086212D">
        <w:pPr>
          <w:pStyle w:val="a4"/>
          <w:jc w:val="center"/>
        </w:pPr>
        <w:r w:rsidRPr="0086212D">
          <w:fldChar w:fldCharType="begin"/>
        </w:r>
        <w:r w:rsidR="006A6451">
          <w:instrText xml:space="preserve"> PAGE   \* MERGEFORMAT </w:instrText>
        </w:r>
        <w:r w:rsidRPr="0086212D">
          <w:fldChar w:fldCharType="separate"/>
        </w:r>
        <w:r w:rsidR="00173F0F" w:rsidRPr="00173F0F">
          <w:rPr>
            <w:noProof/>
            <w:lang w:val="zh-CN"/>
          </w:rPr>
          <w:t>1</w:t>
        </w:r>
        <w:r>
          <w:rPr>
            <w:noProof/>
            <w:lang w:val="zh-CN"/>
          </w:rPr>
          <w:fldChar w:fldCharType="end"/>
        </w:r>
      </w:p>
    </w:sdtContent>
  </w:sdt>
  <w:p w:rsidR="006A6451" w:rsidRDefault="006A64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D5C" w:rsidRDefault="00CF4D5C" w:rsidP="00EF132F">
      <w:r>
        <w:separator/>
      </w:r>
    </w:p>
  </w:footnote>
  <w:footnote w:type="continuationSeparator" w:id="1">
    <w:p w:rsidR="00CF4D5C" w:rsidRDefault="00CF4D5C" w:rsidP="00EF1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C3961"/>
    <w:multiLevelType w:val="hybridMultilevel"/>
    <w:tmpl w:val="A78E7194"/>
    <w:lvl w:ilvl="0" w:tplc="419C92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D0D"/>
    <w:rsid w:val="000106DB"/>
    <w:rsid w:val="000212AF"/>
    <w:rsid w:val="000327D2"/>
    <w:rsid w:val="00034BA9"/>
    <w:rsid w:val="00066B0A"/>
    <w:rsid w:val="0008550F"/>
    <w:rsid w:val="000A0073"/>
    <w:rsid w:val="000B7A92"/>
    <w:rsid w:val="000C342E"/>
    <w:rsid w:val="000E10B3"/>
    <w:rsid w:val="000F4CD4"/>
    <w:rsid w:val="00103D0D"/>
    <w:rsid w:val="00114410"/>
    <w:rsid w:val="00115106"/>
    <w:rsid w:val="00131D67"/>
    <w:rsid w:val="0014389E"/>
    <w:rsid w:val="001479A4"/>
    <w:rsid w:val="00150EF3"/>
    <w:rsid w:val="00162EFD"/>
    <w:rsid w:val="001719F7"/>
    <w:rsid w:val="00173F0F"/>
    <w:rsid w:val="0018544C"/>
    <w:rsid w:val="00186152"/>
    <w:rsid w:val="001929B8"/>
    <w:rsid w:val="00194C5E"/>
    <w:rsid w:val="001A568D"/>
    <w:rsid w:val="001B0ABF"/>
    <w:rsid w:val="001C3B39"/>
    <w:rsid w:val="001C6D3C"/>
    <w:rsid w:val="001E2DD4"/>
    <w:rsid w:val="001F0E50"/>
    <w:rsid w:val="001F4D75"/>
    <w:rsid w:val="00200BC8"/>
    <w:rsid w:val="00237987"/>
    <w:rsid w:val="00243205"/>
    <w:rsid w:val="00264FC3"/>
    <w:rsid w:val="0027271F"/>
    <w:rsid w:val="00282F99"/>
    <w:rsid w:val="002B5B66"/>
    <w:rsid w:val="002C32D2"/>
    <w:rsid w:val="002C5373"/>
    <w:rsid w:val="002D3AE5"/>
    <w:rsid w:val="002D412B"/>
    <w:rsid w:val="002D6684"/>
    <w:rsid w:val="002E763A"/>
    <w:rsid w:val="002F4819"/>
    <w:rsid w:val="00322459"/>
    <w:rsid w:val="00327444"/>
    <w:rsid w:val="00337DDA"/>
    <w:rsid w:val="0034188C"/>
    <w:rsid w:val="00343D5E"/>
    <w:rsid w:val="00357D8D"/>
    <w:rsid w:val="003628E3"/>
    <w:rsid w:val="00387DA0"/>
    <w:rsid w:val="00387DEA"/>
    <w:rsid w:val="003A33B5"/>
    <w:rsid w:val="003A634E"/>
    <w:rsid w:val="003B6773"/>
    <w:rsid w:val="003B7E79"/>
    <w:rsid w:val="003C56EA"/>
    <w:rsid w:val="003D0237"/>
    <w:rsid w:val="003D6A5A"/>
    <w:rsid w:val="00403351"/>
    <w:rsid w:val="0040734B"/>
    <w:rsid w:val="00422432"/>
    <w:rsid w:val="00422F1C"/>
    <w:rsid w:val="0043777A"/>
    <w:rsid w:val="00446569"/>
    <w:rsid w:val="00457986"/>
    <w:rsid w:val="004617A3"/>
    <w:rsid w:val="00477E4A"/>
    <w:rsid w:val="004844B7"/>
    <w:rsid w:val="004B06B5"/>
    <w:rsid w:val="004C2AF5"/>
    <w:rsid w:val="004C3BEF"/>
    <w:rsid w:val="004C5138"/>
    <w:rsid w:val="004D7CFC"/>
    <w:rsid w:val="004E2FC9"/>
    <w:rsid w:val="004F0300"/>
    <w:rsid w:val="005073ED"/>
    <w:rsid w:val="00523E05"/>
    <w:rsid w:val="00523FED"/>
    <w:rsid w:val="00527B4A"/>
    <w:rsid w:val="005333CF"/>
    <w:rsid w:val="00536670"/>
    <w:rsid w:val="00542193"/>
    <w:rsid w:val="0055099D"/>
    <w:rsid w:val="00556FB9"/>
    <w:rsid w:val="00561557"/>
    <w:rsid w:val="005637B7"/>
    <w:rsid w:val="0057295E"/>
    <w:rsid w:val="00584C88"/>
    <w:rsid w:val="00584F65"/>
    <w:rsid w:val="0058652E"/>
    <w:rsid w:val="00592988"/>
    <w:rsid w:val="005A472E"/>
    <w:rsid w:val="005B1BFA"/>
    <w:rsid w:val="005B6EC3"/>
    <w:rsid w:val="005C6E97"/>
    <w:rsid w:val="005D089B"/>
    <w:rsid w:val="005D13B1"/>
    <w:rsid w:val="005D400B"/>
    <w:rsid w:val="005D7F89"/>
    <w:rsid w:val="005F304F"/>
    <w:rsid w:val="006134F7"/>
    <w:rsid w:val="006159E2"/>
    <w:rsid w:val="00617908"/>
    <w:rsid w:val="006241D5"/>
    <w:rsid w:val="00626A6E"/>
    <w:rsid w:val="006466A1"/>
    <w:rsid w:val="00667ADC"/>
    <w:rsid w:val="00667FFA"/>
    <w:rsid w:val="00671A70"/>
    <w:rsid w:val="00680DCB"/>
    <w:rsid w:val="00692DE0"/>
    <w:rsid w:val="0069392E"/>
    <w:rsid w:val="006A6451"/>
    <w:rsid w:val="006A68A0"/>
    <w:rsid w:val="006D2BA2"/>
    <w:rsid w:val="006D7F2D"/>
    <w:rsid w:val="006F56AD"/>
    <w:rsid w:val="006F64B5"/>
    <w:rsid w:val="00701A79"/>
    <w:rsid w:val="007042BD"/>
    <w:rsid w:val="00704323"/>
    <w:rsid w:val="0070673B"/>
    <w:rsid w:val="00712739"/>
    <w:rsid w:val="00713822"/>
    <w:rsid w:val="007166B6"/>
    <w:rsid w:val="00722701"/>
    <w:rsid w:val="00726184"/>
    <w:rsid w:val="007433BF"/>
    <w:rsid w:val="00747C60"/>
    <w:rsid w:val="007661A9"/>
    <w:rsid w:val="00777D5B"/>
    <w:rsid w:val="0078183E"/>
    <w:rsid w:val="007D350B"/>
    <w:rsid w:val="007F0065"/>
    <w:rsid w:val="007F4C53"/>
    <w:rsid w:val="00814A1D"/>
    <w:rsid w:val="00840F4F"/>
    <w:rsid w:val="008473DC"/>
    <w:rsid w:val="00851D35"/>
    <w:rsid w:val="0086172A"/>
    <w:rsid w:val="0086212D"/>
    <w:rsid w:val="0088284F"/>
    <w:rsid w:val="008905E8"/>
    <w:rsid w:val="00892B89"/>
    <w:rsid w:val="00896C59"/>
    <w:rsid w:val="008A4496"/>
    <w:rsid w:val="008B1EA0"/>
    <w:rsid w:val="008B2B84"/>
    <w:rsid w:val="008B4C1D"/>
    <w:rsid w:val="008B5B17"/>
    <w:rsid w:val="008B7422"/>
    <w:rsid w:val="008E04BF"/>
    <w:rsid w:val="008E25ED"/>
    <w:rsid w:val="008E2CE1"/>
    <w:rsid w:val="00910B80"/>
    <w:rsid w:val="00915D70"/>
    <w:rsid w:val="0091602A"/>
    <w:rsid w:val="00936505"/>
    <w:rsid w:val="00940EAD"/>
    <w:rsid w:val="00942A4F"/>
    <w:rsid w:val="00956A04"/>
    <w:rsid w:val="00957A3B"/>
    <w:rsid w:val="00961EF5"/>
    <w:rsid w:val="00963116"/>
    <w:rsid w:val="00974091"/>
    <w:rsid w:val="009914A5"/>
    <w:rsid w:val="009975DF"/>
    <w:rsid w:val="009A126D"/>
    <w:rsid w:val="009A3E66"/>
    <w:rsid w:val="009B10B6"/>
    <w:rsid w:val="009B23F9"/>
    <w:rsid w:val="009C736F"/>
    <w:rsid w:val="009D01CE"/>
    <w:rsid w:val="009E58D3"/>
    <w:rsid w:val="009F63C6"/>
    <w:rsid w:val="00A307CB"/>
    <w:rsid w:val="00A511E5"/>
    <w:rsid w:val="00A76807"/>
    <w:rsid w:val="00A7738A"/>
    <w:rsid w:val="00A779D7"/>
    <w:rsid w:val="00A81590"/>
    <w:rsid w:val="00A90905"/>
    <w:rsid w:val="00A9324D"/>
    <w:rsid w:val="00A93742"/>
    <w:rsid w:val="00A954CC"/>
    <w:rsid w:val="00AA0A46"/>
    <w:rsid w:val="00AA20C6"/>
    <w:rsid w:val="00AB209D"/>
    <w:rsid w:val="00AB6317"/>
    <w:rsid w:val="00AD42F2"/>
    <w:rsid w:val="00AF04F8"/>
    <w:rsid w:val="00AF31C6"/>
    <w:rsid w:val="00AF32B6"/>
    <w:rsid w:val="00B0447E"/>
    <w:rsid w:val="00B13F19"/>
    <w:rsid w:val="00B420DC"/>
    <w:rsid w:val="00B44FF0"/>
    <w:rsid w:val="00B4530D"/>
    <w:rsid w:val="00B45D8D"/>
    <w:rsid w:val="00B55EDD"/>
    <w:rsid w:val="00B60523"/>
    <w:rsid w:val="00B67DE5"/>
    <w:rsid w:val="00B72388"/>
    <w:rsid w:val="00B723DF"/>
    <w:rsid w:val="00B81463"/>
    <w:rsid w:val="00BA1459"/>
    <w:rsid w:val="00BB342E"/>
    <w:rsid w:val="00BC55C6"/>
    <w:rsid w:val="00BC6D6B"/>
    <w:rsid w:val="00BD4CF7"/>
    <w:rsid w:val="00BD6D0D"/>
    <w:rsid w:val="00BE2B25"/>
    <w:rsid w:val="00C03E8B"/>
    <w:rsid w:val="00C10677"/>
    <w:rsid w:val="00C21E4A"/>
    <w:rsid w:val="00C562C3"/>
    <w:rsid w:val="00C5719F"/>
    <w:rsid w:val="00C64F54"/>
    <w:rsid w:val="00C671EE"/>
    <w:rsid w:val="00C95531"/>
    <w:rsid w:val="00CA4FAA"/>
    <w:rsid w:val="00CB077B"/>
    <w:rsid w:val="00CC2621"/>
    <w:rsid w:val="00CC5613"/>
    <w:rsid w:val="00CD6CE8"/>
    <w:rsid w:val="00CD6FEE"/>
    <w:rsid w:val="00CE0D02"/>
    <w:rsid w:val="00CE1EA3"/>
    <w:rsid w:val="00CF2D99"/>
    <w:rsid w:val="00CF3209"/>
    <w:rsid w:val="00CF4D5C"/>
    <w:rsid w:val="00CF548A"/>
    <w:rsid w:val="00D028BD"/>
    <w:rsid w:val="00D10C41"/>
    <w:rsid w:val="00D50F0C"/>
    <w:rsid w:val="00DC329E"/>
    <w:rsid w:val="00DD2E64"/>
    <w:rsid w:val="00DE13FE"/>
    <w:rsid w:val="00E0253B"/>
    <w:rsid w:val="00E03A11"/>
    <w:rsid w:val="00E05100"/>
    <w:rsid w:val="00E11547"/>
    <w:rsid w:val="00E17D4A"/>
    <w:rsid w:val="00E20037"/>
    <w:rsid w:val="00E24BE3"/>
    <w:rsid w:val="00E32B5A"/>
    <w:rsid w:val="00E55496"/>
    <w:rsid w:val="00E63255"/>
    <w:rsid w:val="00E65372"/>
    <w:rsid w:val="00E70FD9"/>
    <w:rsid w:val="00E723A6"/>
    <w:rsid w:val="00E724C7"/>
    <w:rsid w:val="00E84EC0"/>
    <w:rsid w:val="00E87957"/>
    <w:rsid w:val="00EC66D4"/>
    <w:rsid w:val="00ED3A77"/>
    <w:rsid w:val="00EF0DB1"/>
    <w:rsid w:val="00EF132F"/>
    <w:rsid w:val="00EF2AEE"/>
    <w:rsid w:val="00F0124C"/>
    <w:rsid w:val="00F060FF"/>
    <w:rsid w:val="00F1292E"/>
    <w:rsid w:val="00F15454"/>
    <w:rsid w:val="00F234C4"/>
    <w:rsid w:val="00F32AD1"/>
    <w:rsid w:val="00F335ED"/>
    <w:rsid w:val="00F53D1A"/>
    <w:rsid w:val="00F62ACB"/>
    <w:rsid w:val="00F62C1D"/>
    <w:rsid w:val="00FB64D5"/>
    <w:rsid w:val="00FC77E8"/>
    <w:rsid w:val="00FD1CA6"/>
    <w:rsid w:val="00FE17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32F"/>
    <w:rPr>
      <w:sz w:val="18"/>
      <w:szCs w:val="18"/>
    </w:rPr>
  </w:style>
  <w:style w:type="paragraph" w:styleId="a4">
    <w:name w:val="footer"/>
    <w:basedOn w:val="a"/>
    <w:link w:val="Char0"/>
    <w:uiPriority w:val="99"/>
    <w:unhideWhenUsed/>
    <w:rsid w:val="00EF132F"/>
    <w:pPr>
      <w:tabs>
        <w:tab w:val="center" w:pos="4153"/>
        <w:tab w:val="right" w:pos="8306"/>
      </w:tabs>
      <w:snapToGrid w:val="0"/>
      <w:jc w:val="left"/>
    </w:pPr>
    <w:rPr>
      <w:sz w:val="18"/>
      <w:szCs w:val="18"/>
    </w:rPr>
  </w:style>
  <w:style w:type="character" w:customStyle="1" w:styleId="Char0">
    <w:name w:val="页脚 Char"/>
    <w:basedOn w:val="a0"/>
    <w:link w:val="a4"/>
    <w:uiPriority w:val="99"/>
    <w:rsid w:val="00EF132F"/>
    <w:rPr>
      <w:sz w:val="18"/>
      <w:szCs w:val="18"/>
    </w:rPr>
  </w:style>
  <w:style w:type="paragraph" w:styleId="a5">
    <w:name w:val="List Paragraph"/>
    <w:basedOn w:val="a"/>
    <w:uiPriority w:val="34"/>
    <w:qFormat/>
    <w:rsid w:val="00237987"/>
    <w:pPr>
      <w:ind w:firstLineChars="200" w:firstLine="420"/>
    </w:pPr>
  </w:style>
  <w:style w:type="paragraph" w:styleId="a6">
    <w:name w:val="Balloon Text"/>
    <w:basedOn w:val="a"/>
    <w:link w:val="Char1"/>
    <w:uiPriority w:val="99"/>
    <w:semiHidden/>
    <w:unhideWhenUsed/>
    <w:rsid w:val="00E70FD9"/>
    <w:rPr>
      <w:sz w:val="18"/>
      <w:szCs w:val="18"/>
    </w:rPr>
  </w:style>
  <w:style w:type="character" w:customStyle="1" w:styleId="Char1">
    <w:name w:val="批注框文本 Char"/>
    <w:basedOn w:val="a0"/>
    <w:link w:val="a6"/>
    <w:uiPriority w:val="99"/>
    <w:semiHidden/>
    <w:rsid w:val="00E70FD9"/>
    <w:rPr>
      <w:sz w:val="18"/>
      <w:szCs w:val="18"/>
    </w:rPr>
  </w:style>
</w:styles>
</file>

<file path=word/webSettings.xml><?xml version="1.0" encoding="utf-8"?>
<w:webSettings xmlns:r="http://schemas.openxmlformats.org/officeDocument/2006/relationships" xmlns:w="http://schemas.openxmlformats.org/wordprocessingml/2006/main">
  <w:divs>
    <w:div w:id="102578820">
      <w:bodyDiv w:val="1"/>
      <w:marLeft w:val="0"/>
      <w:marRight w:val="0"/>
      <w:marTop w:val="0"/>
      <w:marBottom w:val="0"/>
      <w:divBdr>
        <w:top w:val="none" w:sz="0" w:space="0" w:color="auto"/>
        <w:left w:val="none" w:sz="0" w:space="0" w:color="auto"/>
        <w:bottom w:val="none" w:sz="0" w:space="0" w:color="auto"/>
        <w:right w:val="none" w:sz="0" w:space="0" w:color="auto"/>
      </w:divBdr>
      <w:divsChild>
        <w:div w:id="2029519689">
          <w:marLeft w:val="0"/>
          <w:marRight w:val="0"/>
          <w:marTop w:val="376"/>
          <w:marBottom w:val="376"/>
          <w:divBdr>
            <w:top w:val="none" w:sz="0" w:space="0" w:color="auto"/>
            <w:left w:val="none" w:sz="0" w:space="0" w:color="auto"/>
            <w:bottom w:val="none" w:sz="0" w:space="0" w:color="auto"/>
            <w:right w:val="none" w:sz="0" w:space="0" w:color="auto"/>
          </w:divBdr>
          <w:divsChild>
            <w:div w:id="1545361237">
              <w:marLeft w:val="0"/>
              <w:marRight w:val="0"/>
              <w:marTop w:val="0"/>
              <w:marBottom w:val="0"/>
              <w:divBdr>
                <w:top w:val="none" w:sz="0" w:space="0" w:color="auto"/>
                <w:left w:val="none" w:sz="0" w:space="0" w:color="auto"/>
                <w:bottom w:val="none" w:sz="0" w:space="0" w:color="auto"/>
                <w:right w:val="none" w:sz="0" w:space="0" w:color="auto"/>
              </w:divBdr>
              <w:divsChild>
                <w:div w:id="53748671">
                  <w:marLeft w:val="0"/>
                  <w:marRight w:val="0"/>
                  <w:marTop w:val="0"/>
                  <w:marBottom w:val="0"/>
                  <w:divBdr>
                    <w:top w:val="none" w:sz="0" w:space="0" w:color="auto"/>
                    <w:left w:val="none" w:sz="0" w:space="0" w:color="auto"/>
                    <w:bottom w:val="none" w:sz="0" w:space="0" w:color="auto"/>
                    <w:right w:val="none" w:sz="0" w:space="0" w:color="auto"/>
                  </w:divBdr>
                  <w:divsChild>
                    <w:div w:id="1166048308">
                      <w:marLeft w:val="0"/>
                      <w:marRight w:val="0"/>
                      <w:marTop w:val="0"/>
                      <w:marBottom w:val="0"/>
                      <w:divBdr>
                        <w:top w:val="none" w:sz="0" w:space="0" w:color="auto"/>
                        <w:left w:val="none" w:sz="0" w:space="0" w:color="auto"/>
                        <w:bottom w:val="none" w:sz="0" w:space="0" w:color="auto"/>
                        <w:right w:val="none" w:sz="0" w:space="0" w:color="auto"/>
                      </w:divBdr>
                      <w:divsChild>
                        <w:div w:id="4436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1753">
      <w:bodyDiv w:val="1"/>
      <w:marLeft w:val="0"/>
      <w:marRight w:val="0"/>
      <w:marTop w:val="0"/>
      <w:marBottom w:val="0"/>
      <w:divBdr>
        <w:top w:val="none" w:sz="0" w:space="0" w:color="auto"/>
        <w:left w:val="none" w:sz="0" w:space="0" w:color="auto"/>
        <w:bottom w:val="none" w:sz="0" w:space="0" w:color="auto"/>
        <w:right w:val="none" w:sz="0" w:space="0" w:color="auto"/>
      </w:divBdr>
    </w:div>
    <w:div w:id="215744537">
      <w:bodyDiv w:val="1"/>
      <w:marLeft w:val="0"/>
      <w:marRight w:val="0"/>
      <w:marTop w:val="0"/>
      <w:marBottom w:val="0"/>
      <w:divBdr>
        <w:top w:val="none" w:sz="0" w:space="0" w:color="auto"/>
        <w:left w:val="none" w:sz="0" w:space="0" w:color="auto"/>
        <w:bottom w:val="none" w:sz="0" w:space="0" w:color="auto"/>
        <w:right w:val="none" w:sz="0" w:space="0" w:color="auto"/>
      </w:divBdr>
    </w:div>
    <w:div w:id="221840037">
      <w:bodyDiv w:val="1"/>
      <w:marLeft w:val="0"/>
      <w:marRight w:val="0"/>
      <w:marTop w:val="0"/>
      <w:marBottom w:val="0"/>
      <w:divBdr>
        <w:top w:val="none" w:sz="0" w:space="0" w:color="auto"/>
        <w:left w:val="none" w:sz="0" w:space="0" w:color="auto"/>
        <w:bottom w:val="none" w:sz="0" w:space="0" w:color="auto"/>
        <w:right w:val="none" w:sz="0" w:space="0" w:color="auto"/>
      </w:divBdr>
    </w:div>
    <w:div w:id="320282219">
      <w:bodyDiv w:val="1"/>
      <w:marLeft w:val="0"/>
      <w:marRight w:val="0"/>
      <w:marTop w:val="0"/>
      <w:marBottom w:val="0"/>
      <w:divBdr>
        <w:top w:val="none" w:sz="0" w:space="0" w:color="auto"/>
        <w:left w:val="none" w:sz="0" w:space="0" w:color="auto"/>
        <w:bottom w:val="none" w:sz="0" w:space="0" w:color="auto"/>
        <w:right w:val="none" w:sz="0" w:space="0" w:color="auto"/>
      </w:divBdr>
    </w:div>
    <w:div w:id="380597170">
      <w:bodyDiv w:val="1"/>
      <w:marLeft w:val="0"/>
      <w:marRight w:val="0"/>
      <w:marTop w:val="0"/>
      <w:marBottom w:val="0"/>
      <w:divBdr>
        <w:top w:val="none" w:sz="0" w:space="0" w:color="auto"/>
        <w:left w:val="none" w:sz="0" w:space="0" w:color="auto"/>
        <w:bottom w:val="none" w:sz="0" w:space="0" w:color="auto"/>
        <w:right w:val="none" w:sz="0" w:space="0" w:color="auto"/>
      </w:divBdr>
      <w:divsChild>
        <w:div w:id="391076491">
          <w:marLeft w:val="0"/>
          <w:marRight w:val="0"/>
          <w:marTop w:val="450"/>
          <w:marBottom w:val="450"/>
          <w:divBdr>
            <w:top w:val="none" w:sz="0" w:space="0" w:color="auto"/>
            <w:left w:val="none" w:sz="0" w:space="0" w:color="auto"/>
            <w:bottom w:val="none" w:sz="0" w:space="0" w:color="auto"/>
            <w:right w:val="none" w:sz="0" w:space="0" w:color="auto"/>
          </w:divBdr>
          <w:divsChild>
            <w:div w:id="1715157570">
              <w:marLeft w:val="0"/>
              <w:marRight w:val="0"/>
              <w:marTop w:val="0"/>
              <w:marBottom w:val="0"/>
              <w:divBdr>
                <w:top w:val="none" w:sz="0" w:space="0" w:color="auto"/>
                <w:left w:val="none" w:sz="0" w:space="0" w:color="auto"/>
                <w:bottom w:val="none" w:sz="0" w:space="0" w:color="auto"/>
                <w:right w:val="none" w:sz="0" w:space="0" w:color="auto"/>
              </w:divBdr>
              <w:divsChild>
                <w:div w:id="386104098">
                  <w:marLeft w:val="0"/>
                  <w:marRight w:val="0"/>
                  <w:marTop w:val="0"/>
                  <w:marBottom w:val="0"/>
                  <w:divBdr>
                    <w:top w:val="none" w:sz="0" w:space="0" w:color="auto"/>
                    <w:left w:val="none" w:sz="0" w:space="0" w:color="auto"/>
                    <w:bottom w:val="none" w:sz="0" w:space="0" w:color="auto"/>
                    <w:right w:val="none" w:sz="0" w:space="0" w:color="auto"/>
                  </w:divBdr>
                  <w:divsChild>
                    <w:div w:id="1566141885">
                      <w:marLeft w:val="0"/>
                      <w:marRight w:val="0"/>
                      <w:marTop w:val="0"/>
                      <w:marBottom w:val="0"/>
                      <w:divBdr>
                        <w:top w:val="none" w:sz="0" w:space="0" w:color="auto"/>
                        <w:left w:val="none" w:sz="0" w:space="0" w:color="auto"/>
                        <w:bottom w:val="none" w:sz="0" w:space="0" w:color="auto"/>
                        <w:right w:val="none" w:sz="0" w:space="0" w:color="auto"/>
                      </w:divBdr>
                      <w:divsChild>
                        <w:div w:id="15989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78945">
      <w:bodyDiv w:val="1"/>
      <w:marLeft w:val="0"/>
      <w:marRight w:val="0"/>
      <w:marTop w:val="0"/>
      <w:marBottom w:val="0"/>
      <w:divBdr>
        <w:top w:val="none" w:sz="0" w:space="0" w:color="auto"/>
        <w:left w:val="none" w:sz="0" w:space="0" w:color="auto"/>
        <w:bottom w:val="none" w:sz="0" w:space="0" w:color="auto"/>
        <w:right w:val="none" w:sz="0" w:space="0" w:color="auto"/>
      </w:divBdr>
      <w:divsChild>
        <w:div w:id="1195922886">
          <w:marLeft w:val="0"/>
          <w:marRight w:val="0"/>
          <w:marTop w:val="450"/>
          <w:marBottom w:val="450"/>
          <w:divBdr>
            <w:top w:val="none" w:sz="0" w:space="0" w:color="auto"/>
            <w:left w:val="none" w:sz="0" w:space="0" w:color="auto"/>
            <w:bottom w:val="none" w:sz="0" w:space="0" w:color="auto"/>
            <w:right w:val="none" w:sz="0" w:space="0" w:color="auto"/>
          </w:divBdr>
          <w:divsChild>
            <w:div w:id="63988691">
              <w:marLeft w:val="0"/>
              <w:marRight w:val="0"/>
              <w:marTop w:val="0"/>
              <w:marBottom w:val="0"/>
              <w:divBdr>
                <w:top w:val="none" w:sz="0" w:space="0" w:color="auto"/>
                <w:left w:val="none" w:sz="0" w:space="0" w:color="auto"/>
                <w:bottom w:val="none" w:sz="0" w:space="0" w:color="auto"/>
                <w:right w:val="none" w:sz="0" w:space="0" w:color="auto"/>
              </w:divBdr>
              <w:divsChild>
                <w:div w:id="310444512">
                  <w:marLeft w:val="0"/>
                  <w:marRight w:val="0"/>
                  <w:marTop w:val="0"/>
                  <w:marBottom w:val="0"/>
                  <w:divBdr>
                    <w:top w:val="none" w:sz="0" w:space="0" w:color="auto"/>
                    <w:left w:val="none" w:sz="0" w:space="0" w:color="auto"/>
                    <w:bottom w:val="none" w:sz="0" w:space="0" w:color="auto"/>
                    <w:right w:val="none" w:sz="0" w:space="0" w:color="auto"/>
                  </w:divBdr>
                  <w:divsChild>
                    <w:div w:id="130280988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87788">
      <w:bodyDiv w:val="1"/>
      <w:marLeft w:val="0"/>
      <w:marRight w:val="0"/>
      <w:marTop w:val="0"/>
      <w:marBottom w:val="0"/>
      <w:divBdr>
        <w:top w:val="none" w:sz="0" w:space="0" w:color="auto"/>
        <w:left w:val="none" w:sz="0" w:space="0" w:color="auto"/>
        <w:bottom w:val="none" w:sz="0" w:space="0" w:color="auto"/>
        <w:right w:val="none" w:sz="0" w:space="0" w:color="auto"/>
      </w:divBdr>
    </w:div>
    <w:div w:id="725299344">
      <w:bodyDiv w:val="1"/>
      <w:marLeft w:val="0"/>
      <w:marRight w:val="0"/>
      <w:marTop w:val="0"/>
      <w:marBottom w:val="0"/>
      <w:divBdr>
        <w:top w:val="none" w:sz="0" w:space="0" w:color="auto"/>
        <w:left w:val="none" w:sz="0" w:space="0" w:color="auto"/>
        <w:bottom w:val="none" w:sz="0" w:space="0" w:color="auto"/>
        <w:right w:val="none" w:sz="0" w:space="0" w:color="auto"/>
      </w:divBdr>
    </w:div>
    <w:div w:id="735859719">
      <w:bodyDiv w:val="1"/>
      <w:marLeft w:val="0"/>
      <w:marRight w:val="0"/>
      <w:marTop w:val="0"/>
      <w:marBottom w:val="0"/>
      <w:divBdr>
        <w:top w:val="none" w:sz="0" w:space="0" w:color="auto"/>
        <w:left w:val="none" w:sz="0" w:space="0" w:color="auto"/>
        <w:bottom w:val="none" w:sz="0" w:space="0" w:color="auto"/>
        <w:right w:val="none" w:sz="0" w:space="0" w:color="auto"/>
      </w:divBdr>
    </w:div>
    <w:div w:id="789783141">
      <w:bodyDiv w:val="1"/>
      <w:marLeft w:val="0"/>
      <w:marRight w:val="0"/>
      <w:marTop w:val="0"/>
      <w:marBottom w:val="0"/>
      <w:divBdr>
        <w:top w:val="none" w:sz="0" w:space="0" w:color="auto"/>
        <w:left w:val="none" w:sz="0" w:space="0" w:color="auto"/>
        <w:bottom w:val="none" w:sz="0" w:space="0" w:color="auto"/>
        <w:right w:val="none" w:sz="0" w:space="0" w:color="auto"/>
      </w:divBdr>
    </w:div>
    <w:div w:id="839394851">
      <w:bodyDiv w:val="1"/>
      <w:marLeft w:val="0"/>
      <w:marRight w:val="0"/>
      <w:marTop w:val="0"/>
      <w:marBottom w:val="0"/>
      <w:divBdr>
        <w:top w:val="none" w:sz="0" w:space="0" w:color="auto"/>
        <w:left w:val="none" w:sz="0" w:space="0" w:color="auto"/>
        <w:bottom w:val="none" w:sz="0" w:space="0" w:color="auto"/>
        <w:right w:val="none" w:sz="0" w:space="0" w:color="auto"/>
      </w:divBdr>
    </w:div>
    <w:div w:id="998772688">
      <w:bodyDiv w:val="1"/>
      <w:marLeft w:val="0"/>
      <w:marRight w:val="0"/>
      <w:marTop w:val="0"/>
      <w:marBottom w:val="0"/>
      <w:divBdr>
        <w:top w:val="none" w:sz="0" w:space="0" w:color="auto"/>
        <w:left w:val="none" w:sz="0" w:space="0" w:color="auto"/>
        <w:bottom w:val="none" w:sz="0" w:space="0" w:color="auto"/>
        <w:right w:val="none" w:sz="0" w:space="0" w:color="auto"/>
      </w:divBdr>
    </w:div>
    <w:div w:id="1076584796">
      <w:bodyDiv w:val="1"/>
      <w:marLeft w:val="0"/>
      <w:marRight w:val="0"/>
      <w:marTop w:val="0"/>
      <w:marBottom w:val="0"/>
      <w:divBdr>
        <w:top w:val="none" w:sz="0" w:space="0" w:color="auto"/>
        <w:left w:val="none" w:sz="0" w:space="0" w:color="auto"/>
        <w:bottom w:val="none" w:sz="0" w:space="0" w:color="auto"/>
        <w:right w:val="none" w:sz="0" w:space="0" w:color="auto"/>
      </w:divBdr>
      <w:divsChild>
        <w:div w:id="483163530">
          <w:marLeft w:val="0"/>
          <w:marRight w:val="0"/>
          <w:marTop w:val="450"/>
          <w:marBottom w:val="450"/>
          <w:divBdr>
            <w:top w:val="none" w:sz="0" w:space="0" w:color="auto"/>
            <w:left w:val="none" w:sz="0" w:space="0" w:color="auto"/>
            <w:bottom w:val="none" w:sz="0" w:space="0" w:color="auto"/>
            <w:right w:val="none" w:sz="0" w:space="0" w:color="auto"/>
          </w:divBdr>
          <w:divsChild>
            <w:div w:id="1760326865">
              <w:marLeft w:val="0"/>
              <w:marRight w:val="0"/>
              <w:marTop w:val="0"/>
              <w:marBottom w:val="0"/>
              <w:divBdr>
                <w:top w:val="none" w:sz="0" w:space="0" w:color="auto"/>
                <w:left w:val="none" w:sz="0" w:space="0" w:color="auto"/>
                <w:bottom w:val="none" w:sz="0" w:space="0" w:color="auto"/>
                <w:right w:val="none" w:sz="0" w:space="0" w:color="auto"/>
              </w:divBdr>
              <w:divsChild>
                <w:div w:id="924459630">
                  <w:marLeft w:val="0"/>
                  <w:marRight w:val="0"/>
                  <w:marTop w:val="0"/>
                  <w:marBottom w:val="0"/>
                  <w:divBdr>
                    <w:top w:val="none" w:sz="0" w:space="0" w:color="auto"/>
                    <w:left w:val="none" w:sz="0" w:space="0" w:color="auto"/>
                    <w:bottom w:val="none" w:sz="0" w:space="0" w:color="auto"/>
                    <w:right w:val="none" w:sz="0" w:space="0" w:color="auto"/>
                  </w:divBdr>
                  <w:divsChild>
                    <w:div w:id="624506481">
                      <w:marLeft w:val="0"/>
                      <w:marRight w:val="0"/>
                      <w:marTop w:val="0"/>
                      <w:marBottom w:val="0"/>
                      <w:divBdr>
                        <w:top w:val="none" w:sz="0" w:space="0" w:color="auto"/>
                        <w:left w:val="none" w:sz="0" w:space="0" w:color="auto"/>
                        <w:bottom w:val="none" w:sz="0" w:space="0" w:color="auto"/>
                        <w:right w:val="none" w:sz="0" w:space="0" w:color="auto"/>
                      </w:divBdr>
                      <w:divsChild>
                        <w:div w:id="230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64467">
      <w:bodyDiv w:val="1"/>
      <w:marLeft w:val="0"/>
      <w:marRight w:val="0"/>
      <w:marTop w:val="0"/>
      <w:marBottom w:val="0"/>
      <w:divBdr>
        <w:top w:val="none" w:sz="0" w:space="0" w:color="auto"/>
        <w:left w:val="none" w:sz="0" w:space="0" w:color="auto"/>
        <w:bottom w:val="none" w:sz="0" w:space="0" w:color="auto"/>
        <w:right w:val="none" w:sz="0" w:space="0" w:color="auto"/>
      </w:divBdr>
    </w:div>
    <w:div w:id="1325546018">
      <w:bodyDiv w:val="1"/>
      <w:marLeft w:val="0"/>
      <w:marRight w:val="0"/>
      <w:marTop w:val="0"/>
      <w:marBottom w:val="0"/>
      <w:divBdr>
        <w:top w:val="none" w:sz="0" w:space="0" w:color="auto"/>
        <w:left w:val="none" w:sz="0" w:space="0" w:color="auto"/>
        <w:bottom w:val="none" w:sz="0" w:space="0" w:color="auto"/>
        <w:right w:val="none" w:sz="0" w:space="0" w:color="auto"/>
      </w:divBdr>
    </w:div>
    <w:div w:id="1465199261">
      <w:bodyDiv w:val="1"/>
      <w:marLeft w:val="0"/>
      <w:marRight w:val="0"/>
      <w:marTop w:val="0"/>
      <w:marBottom w:val="0"/>
      <w:divBdr>
        <w:top w:val="none" w:sz="0" w:space="0" w:color="auto"/>
        <w:left w:val="none" w:sz="0" w:space="0" w:color="auto"/>
        <w:bottom w:val="none" w:sz="0" w:space="0" w:color="auto"/>
        <w:right w:val="none" w:sz="0" w:space="0" w:color="auto"/>
      </w:divBdr>
      <w:divsChild>
        <w:div w:id="918369669">
          <w:marLeft w:val="0"/>
          <w:marRight w:val="0"/>
          <w:marTop w:val="450"/>
          <w:marBottom w:val="450"/>
          <w:divBdr>
            <w:top w:val="none" w:sz="0" w:space="0" w:color="auto"/>
            <w:left w:val="none" w:sz="0" w:space="0" w:color="auto"/>
            <w:bottom w:val="none" w:sz="0" w:space="0" w:color="auto"/>
            <w:right w:val="none" w:sz="0" w:space="0" w:color="auto"/>
          </w:divBdr>
          <w:divsChild>
            <w:div w:id="607934218">
              <w:marLeft w:val="0"/>
              <w:marRight w:val="0"/>
              <w:marTop w:val="0"/>
              <w:marBottom w:val="0"/>
              <w:divBdr>
                <w:top w:val="none" w:sz="0" w:space="0" w:color="auto"/>
                <w:left w:val="none" w:sz="0" w:space="0" w:color="auto"/>
                <w:bottom w:val="none" w:sz="0" w:space="0" w:color="auto"/>
                <w:right w:val="none" w:sz="0" w:space="0" w:color="auto"/>
              </w:divBdr>
              <w:divsChild>
                <w:div w:id="189296725">
                  <w:marLeft w:val="0"/>
                  <w:marRight w:val="0"/>
                  <w:marTop w:val="0"/>
                  <w:marBottom w:val="0"/>
                  <w:divBdr>
                    <w:top w:val="none" w:sz="0" w:space="0" w:color="auto"/>
                    <w:left w:val="none" w:sz="0" w:space="0" w:color="auto"/>
                    <w:bottom w:val="none" w:sz="0" w:space="0" w:color="auto"/>
                    <w:right w:val="none" w:sz="0" w:space="0" w:color="auto"/>
                  </w:divBdr>
                  <w:divsChild>
                    <w:div w:id="787237526">
                      <w:marLeft w:val="0"/>
                      <w:marRight w:val="0"/>
                      <w:marTop w:val="0"/>
                      <w:marBottom w:val="0"/>
                      <w:divBdr>
                        <w:top w:val="none" w:sz="0" w:space="0" w:color="auto"/>
                        <w:left w:val="none" w:sz="0" w:space="0" w:color="auto"/>
                        <w:bottom w:val="none" w:sz="0" w:space="0" w:color="auto"/>
                        <w:right w:val="none" w:sz="0" w:space="0" w:color="auto"/>
                      </w:divBdr>
                      <w:divsChild>
                        <w:div w:id="269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436353">
      <w:bodyDiv w:val="1"/>
      <w:marLeft w:val="0"/>
      <w:marRight w:val="0"/>
      <w:marTop w:val="0"/>
      <w:marBottom w:val="0"/>
      <w:divBdr>
        <w:top w:val="none" w:sz="0" w:space="0" w:color="auto"/>
        <w:left w:val="none" w:sz="0" w:space="0" w:color="auto"/>
        <w:bottom w:val="none" w:sz="0" w:space="0" w:color="auto"/>
        <w:right w:val="none" w:sz="0" w:space="0" w:color="auto"/>
      </w:divBdr>
    </w:div>
    <w:div w:id="1613898986">
      <w:bodyDiv w:val="1"/>
      <w:marLeft w:val="0"/>
      <w:marRight w:val="0"/>
      <w:marTop w:val="0"/>
      <w:marBottom w:val="0"/>
      <w:divBdr>
        <w:top w:val="none" w:sz="0" w:space="0" w:color="auto"/>
        <w:left w:val="none" w:sz="0" w:space="0" w:color="auto"/>
        <w:bottom w:val="none" w:sz="0" w:space="0" w:color="auto"/>
        <w:right w:val="none" w:sz="0" w:space="0" w:color="auto"/>
      </w:divBdr>
    </w:div>
    <w:div w:id="1707756272">
      <w:bodyDiv w:val="1"/>
      <w:marLeft w:val="0"/>
      <w:marRight w:val="0"/>
      <w:marTop w:val="0"/>
      <w:marBottom w:val="0"/>
      <w:divBdr>
        <w:top w:val="none" w:sz="0" w:space="0" w:color="auto"/>
        <w:left w:val="none" w:sz="0" w:space="0" w:color="auto"/>
        <w:bottom w:val="none" w:sz="0" w:space="0" w:color="auto"/>
        <w:right w:val="none" w:sz="0" w:space="0" w:color="auto"/>
      </w:divBdr>
    </w:div>
    <w:div w:id="1839618667">
      <w:bodyDiv w:val="1"/>
      <w:marLeft w:val="0"/>
      <w:marRight w:val="0"/>
      <w:marTop w:val="0"/>
      <w:marBottom w:val="0"/>
      <w:divBdr>
        <w:top w:val="none" w:sz="0" w:space="0" w:color="auto"/>
        <w:left w:val="none" w:sz="0" w:space="0" w:color="auto"/>
        <w:bottom w:val="none" w:sz="0" w:space="0" w:color="auto"/>
        <w:right w:val="none" w:sz="0" w:space="0" w:color="auto"/>
      </w:divBdr>
    </w:div>
    <w:div w:id="1936084628">
      <w:bodyDiv w:val="1"/>
      <w:marLeft w:val="0"/>
      <w:marRight w:val="0"/>
      <w:marTop w:val="0"/>
      <w:marBottom w:val="0"/>
      <w:divBdr>
        <w:top w:val="none" w:sz="0" w:space="0" w:color="auto"/>
        <w:left w:val="none" w:sz="0" w:space="0" w:color="auto"/>
        <w:bottom w:val="none" w:sz="0" w:space="0" w:color="auto"/>
        <w:right w:val="none" w:sz="0" w:space="0" w:color="auto"/>
      </w:divBdr>
      <w:divsChild>
        <w:div w:id="383532049">
          <w:marLeft w:val="0"/>
          <w:marRight w:val="0"/>
          <w:marTop w:val="450"/>
          <w:marBottom w:val="450"/>
          <w:divBdr>
            <w:top w:val="none" w:sz="0" w:space="0" w:color="auto"/>
            <w:left w:val="none" w:sz="0" w:space="0" w:color="auto"/>
            <w:bottom w:val="none" w:sz="0" w:space="0" w:color="auto"/>
            <w:right w:val="none" w:sz="0" w:space="0" w:color="auto"/>
          </w:divBdr>
          <w:divsChild>
            <w:div w:id="1572813041">
              <w:marLeft w:val="0"/>
              <w:marRight w:val="0"/>
              <w:marTop w:val="0"/>
              <w:marBottom w:val="0"/>
              <w:divBdr>
                <w:top w:val="none" w:sz="0" w:space="0" w:color="auto"/>
                <w:left w:val="none" w:sz="0" w:space="0" w:color="auto"/>
                <w:bottom w:val="none" w:sz="0" w:space="0" w:color="auto"/>
                <w:right w:val="none" w:sz="0" w:space="0" w:color="auto"/>
              </w:divBdr>
              <w:divsChild>
                <w:div w:id="1114863103">
                  <w:marLeft w:val="0"/>
                  <w:marRight w:val="0"/>
                  <w:marTop w:val="0"/>
                  <w:marBottom w:val="0"/>
                  <w:divBdr>
                    <w:top w:val="none" w:sz="0" w:space="0" w:color="auto"/>
                    <w:left w:val="none" w:sz="0" w:space="0" w:color="auto"/>
                    <w:bottom w:val="none" w:sz="0" w:space="0" w:color="auto"/>
                    <w:right w:val="none" w:sz="0" w:space="0" w:color="auto"/>
                  </w:divBdr>
                  <w:divsChild>
                    <w:div w:id="888610246">
                      <w:marLeft w:val="0"/>
                      <w:marRight w:val="0"/>
                      <w:marTop w:val="0"/>
                      <w:marBottom w:val="0"/>
                      <w:divBdr>
                        <w:top w:val="none" w:sz="0" w:space="0" w:color="auto"/>
                        <w:left w:val="none" w:sz="0" w:space="0" w:color="auto"/>
                        <w:bottom w:val="none" w:sz="0" w:space="0" w:color="auto"/>
                        <w:right w:val="none" w:sz="0" w:space="0" w:color="auto"/>
                      </w:divBdr>
                      <w:divsChild>
                        <w:div w:id="1875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24413">
      <w:bodyDiv w:val="1"/>
      <w:marLeft w:val="0"/>
      <w:marRight w:val="0"/>
      <w:marTop w:val="0"/>
      <w:marBottom w:val="0"/>
      <w:divBdr>
        <w:top w:val="none" w:sz="0" w:space="0" w:color="auto"/>
        <w:left w:val="none" w:sz="0" w:space="0" w:color="auto"/>
        <w:bottom w:val="none" w:sz="0" w:space="0" w:color="auto"/>
        <w:right w:val="none" w:sz="0" w:space="0" w:color="auto"/>
      </w:divBdr>
    </w:div>
    <w:div w:id="21251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1800</Characters>
  <Application>Microsoft Office Word</Application>
  <DocSecurity>4</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zhangchunying</dc:creator>
  <cp:lastModifiedBy>JonMMx 2000</cp:lastModifiedBy>
  <cp:revision>2</cp:revision>
  <cp:lastPrinted>2020-04-15T03:07:00Z</cp:lastPrinted>
  <dcterms:created xsi:type="dcterms:W3CDTF">2020-05-11T16:00:00Z</dcterms:created>
  <dcterms:modified xsi:type="dcterms:W3CDTF">2020-05-11T16:00:00Z</dcterms:modified>
</cp:coreProperties>
</file>