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22" w:rsidRDefault="00C34722">
      <w:pPr>
        <w:spacing w:beforeLines="50" w:afterLines="50" w:line="276" w:lineRule="auto"/>
        <w:jc w:val="center"/>
        <w:rPr>
          <w:rFonts w:ascii="宋体" w:hAnsi="宋体" w:hint="eastAsia"/>
          <w:b/>
          <w:sz w:val="24"/>
        </w:rPr>
      </w:pPr>
      <w:r>
        <w:rPr>
          <w:rFonts w:ascii="宋体" w:hAnsi="宋体" w:hint="eastAsia"/>
          <w:b/>
          <w:sz w:val="24"/>
        </w:rPr>
        <w:t>诺安基金管理有限公司关于旗下部分基金增加中信证券华南为代销机构的公告</w:t>
      </w:r>
    </w:p>
    <w:p w:rsidR="00C34722" w:rsidRDefault="00C34722">
      <w:pPr>
        <w:spacing w:line="276" w:lineRule="auto"/>
        <w:ind w:firstLineChars="200" w:firstLine="420"/>
        <w:rPr>
          <w:rFonts w:ascii="宋体" w:hAnsi="宋体" w:hint="eastAsia"/>
          <w:szCs w:val="21"/>
        </w:rPr>
      </w:pPr>
      <w:r>
        <w:rPr>
          <w:rFonts w:ascii="宋体" w:hAnsi="宋体" w:hint="eastAsia"/>
          <w:szCs w:val="21"/>
        </w:rPr>
        <w:t>根据诺安基金管理有限公司（以下简称“本公司”）与中信证券华南股份有限公司（以下简称“中信证券华南”）签署的基金销售代理协议，自2020年5月8日起，本公司旗下部分基金新增中信证券华南为代销机构。具体适用基金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386"/>
        <w:gridCol w:w="1134"/>
      </w:tblGrid>
      <w:tr w:rsidR="00C34722">
        <w:trPr>
          <w:jc w:val="center"/>
        </w:trPr>
        <w:tc>
          <w:tcPr>
            <w:tcW w:w="709" w:type="dxa"/>
          </w:tcPr>
          <w:p w:rsidR="00C34722" w:rsidRDefault="00C34722">
            <w:pPr>
              <w:jc w:val="center"/>
              <w:rPr>
                <w:b/>
              </w:rPr>
            </w:pPr>
            <w:r>
              <w:rPr>
                <w:rFonts w:hint="eastAsia"/>
                <w:b/>
              </w:rPr>
              <w:t>序号</w:t>
            </w:r>
          </w:p>
        </w:tc>
        <w:tc>
          <w:tcPr>
            <w:tcW w:w="5386" w:type="dxa"/>
          </w:tcPr>
          <w:p w:rsidR="00C34722" w:rsidRDefault="00C34722">
            <w:pPr>
              <w:jc w:val="center"/>
              <w:rPr>
                <w:b/>
              </w:rPr>
            </w:pPr>
            <w:r>
              <w:rPr>
                <w:rFonts w:hint="eastAsia"/>
                <w:b/>
              </w:rPr>
              <w:t>基金名称</w:t>
            </w:r>
          </w:p>
        </w:tc>
        <w:tc>
          <w:tcPr>
            <w:tcW w:w="1134" w:type="dxa"/>
          </w:tcPr>
          <w:p w:rsidR="00C34722" w:rsidRDefault="00C34722">
            <w:pPr>
              <w:jc w:val="center"/>
              <w:rPr>
                <w:b/>
              </w:rPr>
            </w:pPr>
            <w:r>
              <w:rPr>
                <w:rFonts w:hint="eastAsia"/>
                <w:b/>
              </w:rPr>
              <w:t>基金代码</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r>
              <w:rPr>
                <w:rFonts w:hint="eastAsia"/>
              </w:rPr>
              <w:t>诺安中证</w:t>
            </w:r>
            <w:r>
              <w:rPr>
                <w:rFonts w:hint="eastAsia"/>
              </w:rPr>
              <w:t>100</w:t>
            </w:r>
            <w:r>
              <w:rPr>
                <w:rFonts w:hint="eastAsia"/>
              </w:rPr>
              <w:t>指数证券投资基金</w:t>
            </w:r>
          </w:p>
        </w:tc>
        <w:tc>
          <w:tcPr>
            <w:tcW w:w="1134" w:type="dxa"/>
          </w:tcPr>
          <w:p w:rsidR="00C34722" w:rsidRDefault="00C34722">
            <w:pPr>
              <w:jc w:val="center"/>
            </w:pPr>
            <w:r>
              <w:rPr>
                <w:rFonts w:hint="eastAsia"/>
              </w:rPr>
              <w:t>320010</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r>
              <w:rPr>
                <w:rFonts w:hint="eastAsia"/>
              </w:rPr>
              <w:t>诺安天天宝货币市场基金</w:t>
            </w:r>
            <w:r>
              <w:rPr>
                <w:rFonts w:hint="eastAsia"/>
              </w:rPr>
              <w:t>A</w:t>
            </w:r>
          </w:p>
        </w:tc>
        <w:tc>
          <w:tcPr>
            <w:tcW w:w="1134" w:type="dxa"/>
          </w:tcPr>
          <w:p w:rsidR="00C34722" w:rsidRDefault="00C34722">
            <w:pPr>
              <w:jc w:val="center"/>
            </w:pPr>
            <w:r>
              <w:rPr>
                <w:rFonts w:hint="eastAsia"/>
              </w:rPr>
              <w:t>000559</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r>
              <w:rPr>
                <w:rFonts w:hint="eastAsia"/>
              </w:rPr>
              <w:t>诺安优势行业灵活配置混合型证券投资基金</w:t>
            </w:r>
            <w:r>
              <w:rPr>
                <w:rFonts w:hint="eastAsia"/>
              </w:rPr>
              <w:t>A</w:t>
            </w:r>
          </w:p>
        </w:tc>
        <w:tc>
          <w:tcPr>
            <w:tcW w:w="1134" w:type="dxa"/>
          </w:tcPr>
          <w:p w:rsidR="00C34722" w:rsidRDefault="00C34722">
            <w:pPr>
              <w:jc w:val="center"/>
            </w:pPr>
            <w:r>
              <w:rPr>
                <w:rFonts w:hint="eastAsia"/>
              </w:rPr>
              <w:t>000538</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r>
              <w:rPr>
                <w:rFonts w:hint="eastAsia"/>
              </w:rPr>
              <w:t>诺安聚利债券型证券投资基金</w:t>
            </w:r>
            <w:r>
              <w:rPr>
                <w:rFonts w:hint="eastAsia"/>
              </w:rPr>
              <w:t>A</w:t>
            </w:r>
          </w:p>
        </w:tc>
        <w:tc>
          <w:tcPr>
            <w:tcW w:w="1134" w:type="dxa"/>
          </w:tcPr>
          <w:p w:rsidR="00C34722" w:rsidRDefault="00C34722">
            <w:pPr>
              <w:jc w:val="center"/>
            </w:pPr>
            <w:r>
              <w:rPr>
                <w:rFonts w:hint="eastAsia"/>
              </w:rPr>
              <w:t>000736</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r>
              <w:rPr>
                <w:rFonts w:hint="eastAsia"/>
              </w:rPr>
              <w:t>诺安聚利债券型证券投资基金</w:t>
            </w:r>
            <w:r>
              <w:rPr>
                <w:rFonts w:hint="eastAsia"/>
              </w:rPr>
              <w:t>C</w:t>
            </w:r>
          </w:p>
        </w:tc>
        <w:tc>
          <w:tcPr>
            <w:tcW w:w="1134" w:type="dxa"/>
          </w:tcPr>
          <w:p w:rsidR="00C34722" w:rsidRDefault="00C34722">
            <w:pPr>
              <w:jc w:val="center"/>
            </w:pPr>
            <w:r>
              <w:rPr>
                <w:rFonts w:hint="eastAsia"/>
              </w:rPr>
              <w:t>000737</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r>
              <w:rPr>
                <w:rFonts w:hint="eastAsia"/>
              </w:rPr>
              <w:t>诺安稳健回报灵活配置混合型证券投资基金</w:t>
            </w:r>
            <w:r>
              <w:rPr>
                <w:rFonts w:hint="eastAsia"/>
              </w:rPr>
              <w:t>A</w:t>
            </w:r>
          </w:p>
        </w:tc>
        <w:tc>
          <w:tcPr>
            <w:tcW w:w="1134" w:type="dxa"/>
          </w:tcPr>
          <w:p w:rsidR="00C34722" w:rsidRDefault="00C34722">
            <w:pPr>
              <w:jc w:val="center"/>
            </w:pPr>
            <w:r>
              <w:rPr>
                <w:rFonts w:hint="eastAsia"/>
              </w:rPr>
              <w:t>000714</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诺安创新驱动灵活配置混合型证券投资基金A</w:t>
            </w:r>
          </w:p>
        </w:tc>
        <w:tc>
          <w:tcPr>
            <w:tcW w:w="1134" w:type="dxa"/>
          </w:tcPr>
          <w:p w:rsidR="00C34722" w:rsidRDefault="00C34722">
            <w:pPr>
              <w:jc w:val="center"/>
            </w:pPr>
            <w:r>
              <w:t>001411</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诺安利鑫灵活</w:t>
            </w:r>
            <w:r>
              <w:rPr>
                <w:rFonts w:ascii="宋体" w:hAnsi="宋体"/>
                <w:szCs w:val="21"/>
              </w:rPr>
              <w:t>配置</w:t>
            </w:r>
            <w:r>
              <w:rPr>
                <w:rFonts w:ascii="宋体" w:hAnsi="宋体" w:hint="eastAsia"/>
                <w:szCs w:val="21"/>
              </w:rPr>
              <w:t>混合型证券投资基金</w:t>
            </w:r>
          </w:p>
        </w:tc>
        <w:tc>
          <w:tcPr>
            <w:tcW w:w="1134" w:type="dxa"/>
          </w:tcPr>
          <w:p w:rsidR="00C34722" w:rsidRDefault="00C34722">
            <w:pPr>
              <w:jc w:val="center"/>
            </w:pPr>
            <w:r>
              <w:rPr>
                <w:rFonts w:hint="eastAsia"/>
              </w:rPr>
              <w:t>002137</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诺安景鑫灵活</w:t>
            </w:r>
            <w:r>
              <w:rPr>
                <w:rFonts w:ascii="宋体" w:hAnsi="宋体"/>
                <w:szCs w:val="21"/>
              </w:rPr>
              <w:t>配置</w:t>
            </w:r>
            <w:r>
              <w:rPr>
                <w:rFonts w:ascii="宋体" w:hAnsi="宋体" w:hint="eastAsia"/>
                <w:szCs w:val="21"/>
              </w:rPr>
              <w:t>混合型证券投资基金</w:t>
            </w:r>
          </w:p>
        </w:tc>
        <w:tc>
          <w:tcPr>
            <w:tcW w:w="1134" w:type="dxa"/>
          </w:tcPr>
          <w:p w:rsidR="00C34722" w:rsidRDefault="00C34722">
            <w:pPr>
              <w:jc w:val="center"/>
            </w:pPr>
            <w:r>
              <w:rPr>
                <w:rFonts w:hint="eastAsia"/>
              </w:rPr>
              <w:t>002145</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诺安益鑫灵活</w:t>
            </w:r>
            <w:r>
              <w:rPr>
                <w:rFonts w:ascii="宋体" w:hAnsi="宋体"/>
                <w:szCs w:val="21"/>
              </w:rPr>
              <w:t>配置</w:t>
            </w:r>
            <w:r>
              <w:rPr>
                <w:rFonts w:ascii="宋体" w:hAnsi="宋体" w:hint="eastAsia"/>
                <w:szCs w:val="21"/>
              </w:rPr>
              <w:t>混合型证券投资基金</w:t>
            </w:r>
          </w:p>
        </w:tc>
        <w:tc>
          <w:tcPr>
            <w:tcW w:w="1134" w:type="dxa"/>
          </w:tcPr>
          <w:p w:rsidR="00C34722" w:rsidRDefault="00C34722">
            <w:pPr>
              <w:jc w:val="center"/>
            </w:pPr>
            <w:r>
              <w:rPr>
                <w:rFonts w:hint="eastAsia"/>
              </w:rPr>
              <w:t>002292</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诺安安鑫灵活</w:t>
            </w:r>
            <w:r>
              <w:rPr>
                <w:rFonts w:ascii="宋体" w:hAnsi="宋体"/>
                <w:szCs w:val="21"/>
              </w:rPr>
              <w:t>配置</w:t>
            </w:r>
            <w:r>
              <w:rPr>
                <w:rFonts w:ascii="宋体" w:hAnsi="宋体" w:hint="eastAsia"/>
                <w:szCs w:val="21"/>
              </w:rPr>
              <w:t>混合型证券投资基金</w:t>
            </w:r>
          </w:p>
        </w:tc>
        <w:tc>
          <w:tcPr>
            <w:tcW w:w="1134" w:type="dxa"/>
          </w:tcPr>
          <w:p w:rsidR="00C34722" w:rsidRDefault="00C34722">
            <w:pPr>
              <w:jc w:val="center"/>
            </w:pPr>
            <w:r>
              <w:rPr>
                <w:rFonts w:hint="eastAsia"/>
              </w:rPr>
              <w:t>002291</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hint="eastAsia"/>
                <w:szCs w:val="21"/>
              </w:rPr>
            </w:pPr>
            <w:r>
              <w:rPr>
                <w:rFonts w:ascii="宋体" w:hAnsi="宋体" w:hint="eastAsia"/>
                <w:szCs w:val="21"/>
              </w:rPr>
              <w:t>诺安和鑫灵活配置混合型证券投资基金</w:t>
            </w:r>
          </w:p>
        </w:tc>
        <w:tc>
          <w:tcPr>
            <w:tcW w:w="1134" w:type="dxa"/>
          </w:tcPr>
          <w:p w:rsidR="00C34722" w:rsidRDefault="00C34722">
            <w:pPr>
              <w:jc w:val="center"/>
            </w:pPr>
            <w:r>
              <w:rPr>
                <w:rFonts w:hint="eastAsia"/>
              </w:rPr>
              <w:t>002560</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诺安积极回报灵活配置混合型证券投资基金</w:t>
            </w:r>
          </w:p>
        </w:tc>
        <w:tc>
          <w:tcPr>
            <w:tcW w:w="1134" w:type="dxa"/>
          </w:tcPr>
          <w:p w:rsidR="00C34722" w:rsidRDefault="00C34722">
            <w:pPr>
              <w:jc w:val="center"/>
            </w:pPr>
            <w:r>
              <w:rPr>
                <w:rFonts w:hint="eastAsia"/>
              </w:rPr>
              <w:t>001706</w:t>
            </w:r>
          </w:p>
        </w:tc>
      </w:tr>
      <w:tr w:rsidR="00C34722">
        <w:trPr>
          <w:trHeight w:val="287"/>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诺安优选回报灵活配置混合型证券投资基金</w:t>
            </w:r>
          </w:p>
        </w:tc>
        <w:tc>
          <w:tcPr>
            <w:tcW w:w="1134" w:type="dxa"/>
          </w:tcPr>
          <w:p w:rsidR="00C34722" w:rsidRDefault="00C34722">
            <w:pPr>
              <w:jc w:val="center"/>
            </w:pPr>
            <w:r>
              <w:t>001743</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szCs w:val="21"/>
              </w:rPr>
            </w:pPr>
            <w:r>
              <w:rPr>
                <w:rFonts w:ascii="宋体" w:hAnsi="宋体" w:hint="eastAsia"/>
                <w:szCs w:val="21"/>
              </w:rPr>
              <w:t>诺安进取回报灵活配置混合型证券投资基金</w:t>
            </w:r>
          </w:p>
        </w:tc>
        <w:tc>
          <w:tcPr>
            <w:tcW w:w="1134" w:type="dxa"/>
          </w:tcPr>
          <w:p w:rsidR="00C34722" w:rsidRDefault="00C34722">
            <w:pPr>
              <w:jc w:val="center"/>
            </w:pPr>
            <w:r>
              <w:rPr>
                <w:rFonts w:hint="eastAsia"/>
              </w:rPr>
              <w:t>001744</w:t>
            </w:r>
          </w:p>
        </w:tc>
      </w:tr>
      <w:tr w:rsidR="00C34722">
        <w:trPr>
          <w:jc w:val="center"/>
        </w:trPr>
        <w:tc>
          <w:tcPr>
            <w:tcW w:w="709" w:type="dxa"/>
          </w:tcPr>
          <w:p w:rsidR="00C34722" w:rsidRDefault="00C34722">
            <w:pPr>
              <w:pStyle w:val="a7"/>
              <w:numPr>
                <w:ilvl w:val="0"/>
                <w:numId w:val="1"/>
              </w:numPr>
              <w:ind w:firstLineChars="0"/>
            </w:pPr>
          </w:p>
        </w:tc>
        <w:tc>
          <w:tcPr>
            <w:tcW w:w="5386" w:type="dxa"/>
          </w:tcPr>
          <w:p w:rsidR="00C34722" w:rsidRDefault="00C34722">
            <w:pPr>
              <w:rPr>
                <w:rFonts w:ascii="宋体" w:hAnsi="宋体" w:hint="eastAsia"/>
                <w:szCs w:val="21"/>
              </w:rPr>
            </w:pPr>
            <w:r>
              <w:rPr>
                <w:rFonts w:hint="eastAsia"/>
              </w:rPr>
              <w:t>诺安聚鑫宝货币市场基金</w:t>
            </w:r>
            <w:r>
              <w:rPr>
                <w:rFonts w:hint="eastAsia"/>
              </w:rPr>
              <w:t>A</w:t>
            </w:r>
          </w:p>
        </w:tc>
        <w:tc>
          <w:tcPr>
            <w:tcW w:w="1134" w:type="dxa"/>
          </w:tcPr>
          <w:p w:rsidR="00C34722" w:rsidRDefault="00C34722">
            <w:pPr>
              <w:jc w:val="center"/>
              <w:rPr>
                <w:rFonts w:hint="eastAsia"/>
              </w:rPr>
            </w:pPr>
            <w:r>
              <w:t>000771</w:t>
            </w:r>
          </w:p>
        </w:tc>
      </w:tr>
    </w:tbl>
    <w:p w:rsidR="00C34722" w:rsidRDefault="00C34722">
      <w:pPr>
        <w:spacing w:line="276" w:lineRule="auto"/>
        <w:ind w:firstLineChars="200" w:firstLine="420"/>
        <w:rPr>
          <w:rFonts w:ascii="宋体" w:hAnsi="宋体" w:hint="eastAsia"/>
          <w:szCs w:val="21"/>
        </w:rPr>
      </w:pPr>
      <w:r>
        <w:rPr>
          <w:rFonts w:ascii="宋体" w:hAnsi="宋体" w:hint="eastAsia"/>
          <w:szCs w:val="21"/>
        </w:rPr>
        <w:t>自 2020年5月8日起，投资者可在中信证券华南办理上述基金的开户、申购、赎回等业务，进行相关信息查询并享受相应的售后服务。具体办理程序请遵循代销机构的规定。</w:t>
      </w:r>
    </w:p>
    <w:p w:rsidR="00C34722" w:rsidRDefault="00C34722">
      <w:pPr>
        <w:spacing w:line="276" w:lineRule="auto"/>
        <w:ind w:firstLineChars="202" w:firstLine="424"/>
        <w:rPr>
          <w:rFonts w:ascii="宋体" w:hAnsi="宋体" w:hint="eastAsia"/>
          <w:b/>
          <w:szCs w:val="21"/>
        </w:rPr>
      </w:pPr>
      <w:r>
        <w:rPr>
          <w:rFonts w:ascii="宋体" w:hAnsi="宋体" w:hint="eastAsia"/>
          <w:szCs w:val="21"/>
        </w:rPr>
        <w:t xml:space="preserve"> </w:t>
      </w:r>
    </w:p>
    <w:p w:rsidR="00C34722" w:rsidRDefault="00C34722">
      <w:pPr>
        <w:spacing w:line="276" w:lineRule="auto"/>
        <w:ind w:firstLineChars="200" w:firstLine="422"/>
        <w:rPr>
          <w:rFonts w:ascii="宋体" w:hAnsi="宋体"/>
          <w:b/>
          <w:szCs w:val="21"/>
        </w:rPr>
      </w:pPr>
      <w:r>
        <w:rPr>
          <w:rFonts w:ascii="宋体" w:hAnsi="宋体" w:hint="eastAsia"/>
          <w:b/>
          <w:szCs w:val="21"/>
        </w:rPr>
        <w:t>重要提示：</w:t>
      </w:r>
    </w:p>
    <w:p w:rsidR="00C34722" w:rsidRDefault="00C34722">
      <w:pPr>
        <w:spacing w:line="400" w:lineRule="exact"/>
        <w:ind w:firstLineChars="200" w:firstLine="420"/>
        <w:rPr>
          <w:rFonts w:ascii="宋体" w:hAnsi="宋体" w:hint="eastAsia"/>
          <w:szCs w:val="21"/>
        </w:rPr>
      </w:pPr>
      <w:r>
        <w:rPr>
          <w:rFonts w:ascii="宋体" w:hAnsi="宋体" w:hint="eastAsia"/>
          <w:szCs w:val="21"/>
        </w:rPr>
        <w:t>1、业务开始或结束办理的具体时间及具体程序以代销机构的有关规定为准， 如有变动，敬请投资者留意代销机构的有关公告。</w:t>
      </w:r>
    </w:p>
    <w:p w:rsidR="00C34722" w:rsidRDefault="00C34722">
      <w:pPr>
        <w:spacing w:line="400" w:lineRule="exact"/>
        <w:ind w:firstLineChars="200" w:firstLine="420"/>
        <w:rPr>
          <w:rFonts w:ascii="宋体" w:hAnsi="宋体" w:hint="eastAsia"/>
          <w:szCs w:val="21"/>
        </w:rPr>
      </w:pPr>
      <w:r>
        <w:rPr>
          <w:rFonts w:ascii="宋体" w:hAnsi="宋体" w:hint="eastAsia"/>
          <w:szCs w:val="21"/>
        </w:rPr>
        <w:t>2、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C34722" w:rsidRDefault="00C34722">
      <w:pPr>
        <w:spacing w:line="276" w:lineRule="auto"/>
        <w:ind w:firstLineChars="202" w:firstLine="424"/>
        <w:rPr>
          <w:rFonts w:ascii="宋体" w:hAnsi="宋体" w:hint="eastAsia"/>
          <w:szCs w:val="21"/>
        </w:rPr>
      </w:pPr>
      <w:r>
        <w:rPr>
          <w:rFonts w:ascii="宋体" w:hAnsi="宋体" w:hint="eastAsia"/>
          <w:szCs w:val="21"/>
        </w:rPr>
        <w:t>3、本公告的有关内容在法律法规允许范围内由本公司负责解释。</w:t>
      </w:r>
    </w:p>
    <w:p w:rsidR="00C34722" w:rsidRDefault="00C34722">
      <w:pPr>
        <w:spacing w:line="276" w:lineRule="auto"/>
        <w:ind w:firstLineChars="200" w:firstLine="422"/>
        <w:rPr>
          <w:rFonts w:ascii="宋体" w:hAnsi="宋体" w:hint="eastAsia"/>
          <w:szCs w:val="21"/>
        </w:rPr>
      </w:pPr>
      <w:r>
        <w:rPr>
          <w:rFonts w:ascii="宋体" w:hAnsi="宋体" w:hint="eastAsia"/>
          <w:b/>
          <w:szCs w:val="21"/>
        </w:rPr>
        <w:t>投资者可以通过以下途径咨询有关情况：</w:t>
      </w:r>
    </w:p>
    <w:p w:rsidR="00C34722" w:rsidRDefault="00C34722">
      <w:pPr>
        <w:spacing w:line="276" w:lineRule="auto"/>
        <w:ind w:firstLineChars="200" w:firstLine="420"/>
        <w:rPr>
          <w:rFonts w:ascii="宋体" w:hAnsi="宋体" w:hint="eastAsia"/>
          <w:szCs w:val="21"/>
        </w:rPr>
      </w:pPr>
      <w:r>
        <w:rPr>
          <w:rFonts w:ascii="宋体" w:hAnsi="宋体" w:hint="eastAsia"/>
          <w:szCs w:val="21"/>
        </w:rPr>
        <w:t>1、中信证券华南股份有限公司</w:t>
      </w:r>
    </w:p>
    <w:p w:rsidR="00C34722" w:rsidRDefault="00C34722">
      <w:pPr>
        <w:spacing w:line="276" w:lineRule="auto"/>
        <w:ind w:firstLineChars="200" w:firstLine="420"/>
        <w:rPr>
          <w:rFonts w:ascii="宋体" w:hAnsi="宋体" w:hint="eastAsia"/>
          <w:szCs w:val="21"/>
        </w:rPr>
      </w:pPr>
      <w:r>
        <w:rPr>
          <w:rFonts w:ascii="宋体" w:hAnsi="宋体" w:hint="eastAsia"/>
          <w:szCs w:val="21"/>
        </w:rPr>
        <w:t>客户服务电话：95396</w:t>
      </w:r>
    </w:p>
    <w:p w:rsidR="00C34722" w:rsidRDefault="00C34722">
      <w:pPr>
        <w:spacing w:line="276" w:lineRule="auto"/>
        <w:ind w:firstLineChars="200" w:firstLine="420"/>
        <w:rPr>
          <w:rFonts w:ascii="宋体" w:hAnsi="宋体" w:hint="eastAsia"/>
          <w:szCs w:val="21"/>
        </w:rPr>
      </w:pPr>
      <w:r>
        <w:rPr>
          <w:rFonts w:ascii="宋体" w:hAnsi="宋体" w:hint="eastAsia"/>
          <w:szCs w:val="21"/>
        </w:rPr>
        <w:t>网址：www.gzs.com.cn</w:t>
      </w:r>
    </w:p>
    <w:p w:rsidR="00C34722" w:rsidRDefault="00C34722">
      <w:pPr>
        <w:spacing w:line="276" w:lineRule="auto"/>
        <w:ind w:firstLineChars="200" w:firstLine="420"/>
        <w:rPr>
          <w:rFonts w:ascii="宋体" w:hAnsi="宋体" w:hint="eastAsia"/>
          <w:szCs w:val="21"/>
        </w:rPr>
      </w:pPr>
      <w:r>
        <w:rPr>
          <w:rFonts w:ascii="宋体" w:hAnsi="宋体" w:hint="eastAsia"/>
          <w:szCs w:val="21"/>
        </w:rPr>
        <w:t>2、诺安基金管理有限公司</w:t>
      </w:r>
    </w:p>
    <w:p w:rsidR="00C34722" w:rsidRDefault="00C34722">
      <w:pPr>
        <w:spacing w:line="276" w:lineRule="auto"/>
        <w:ind w:firstLineChars="200" w:firstLine="420"/>
        <w:rPr>
          <w:rFonts w:ascii="宋体" w:hAnsi="宋体" w:hint="eastAsia"/>
          <w:szCs w:val="21"/>
        </w:rPr>
      </w:pPr>
      <w:r>
        <w:rPr>
          <w:rFonts w:ascii="宋体" w:hAnsi="宋体" w:hint="eastAsia"/>
          <w:szCs w:val="21"/>
        </w:rPr>
        <w:t>客户服务电话：400-888-8998</w:t>
      </w:r>
    </w:p>
    <w:p w:rsidR="00C34722" w:rsidRDefault="00C34722">
      <w:pPr>
        <w:spacing w:line="276" w:lineRule="auto"/>
        <w:ind w:firstLineChars="200" w:firstLine="420"/>
        <w:rPr>
          <w:rFonts w:ascii="宋体" w:hAnsi="宋体" w:hint="eastAsia"/>
          <w:szCs w:val="21"/>
        </w:rPr>
      </w:pPr>
      <w:r>
        <w:rPr>
          <w:rFonts w:ascii="宋体" w:hAnsi="宋体" w:hint="eastAsia"/>
          <w:szCs w:val="21"/>
        </w:rPr>
        <w:lastRenderedPageBreak/>
        <w:t>网站：www.lionfund.com.cn</w:t>
      </w:r>
    </w:p>
    <w:p w:rsidR="00C34722" w:rsidRDefault="00C34722">
      <w:pPr>
        <w:spacing w:line="276" w:lineRule="auto"/>
        <w:rPr>
          <w:rFonts w:ascii="宋体" w:hAnsi="宋体" w:hint="eastAsia"/>
          <w:szCs w:val="21"/>
        </w:rPr>
      </w:pPr>
    </w:p>
    <w:p w:rsidR="00C34722" w:rsidRDefault="00C34722">
      <w:pPr>
        <w:spacing w:line="276" w:lineRule="auto"/>
        <w:ind w:firstLineChars="200" w:firstLine="420"/>
        <w:rPr>
          <w:rFonts w:ascii="宋体" w:hAnsi="宋体" w:hint="eastAsia"/>
          <w:szCs w:val="21"/>
        </w:rPr>
      </w:pPr>
      <w:r>
        <w:rPr>
          <w:rFonts w:ascii="宋体" w:hAnsi="宋体" w:hint="eastAsia"/>
          <w:szCs w:val="21"/>
        </w:rPr>
        <w:t>特此公告。</w:t>
      </w:r>
    </w:p>
    <w:p w:rsidR="00C34722" w:rsidRDefault="00C34722">
      <w:pPr>
        <w:spacing w:line="276" w:lineRule="auto"/>
        <w:ind w:firstLineChars="200" w:firstLine="420"/>
        <w:jc w:val="right"/>
        <w:rPr>
          <w:rFonts w:ascii="宋体" w:hAnsi="宋体" w:hint="eastAsia"/>
          <w:szCs w:val="21"/>
        </w:rPr>
      </w:pPr>
      <w:r>
        <w:rPr>
          <w:rFonts w:ascii="宋体" w:hAnsi="宋体" w:hint="eastAsia"/>
          <w:szCs w:val="21"/>
        </w:rPr>
        <w:t>诺安基金管理有限公司</w:t>
      </w:r>
    </w:p>
    <w:p w:rsidR="00C34722" w:rsidRDefault="00C34722">
      <w:pPr>
        <w:spacing w:line="276" w:lineRule="auto"/>
        <w:ind w:firstLineChars="200" w:firstLine="420"/>
        <w:jc w:val="right"/>
        <w:rPr>
          <w:rFonts w:ascii="宋体" w:hAnsi="宋体" w:hint="eastAsia"/>
          <w:szCs w:val="21"/>
        </w:rPr>
      </w:pPr>
      <w:r>
        <w:rPr>
          <w:rFonts w:ascii="宋体" w:hAnsi="宋体" w:hint="eastAsia"/>
          <w:szCs w:val="21"/>
        </w:rPr>
        <w:t>二〇二〇年五月八日</w:t>
      </w:r>
    </w:p>
    <w:sectPr w:rsidR="00C34722">
      <w:headerReference w:type="default" r:id="rId7"/>
      <w:footerReference w:type="even" r:id="rId8"/>
      <w:footerReference w:type="default" r:id="rId9"/>
      <w:pgSz w:w="11906" w:h="16838"/>
      <w:pgMar w:top="1440"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22" w:rsidRDefault="00C34722">
      <w:r>
        <w:separator/>
      </w:r>
    </w:p>
  </w:endnote>
  <w:endnote w:type="continuationSeparator" w:id="1">
    <w:p w:rsidR="00C34722" w:rsidRDefault="00C3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2" w:rsidRDefault="00C34722">
    <w:pPr>
      <w:pStyle w:val="a6"/>
      <w:framePr w:wrap="around" w:vAnchor="text" w:hAnchor="margin" w:xAlign="center" w:y="1"/>
      <w:rPr>
        <w:rStyle w:val="a3"/>
      </w:rPr>
    </w:pPr>
    <w:r>
      <w:fldChar w:fldCharType="begin"/>
    </w:r>
    <w:r>
      <w:rPr>
        <w:rStyle w:val="a3"/>
      </w:rPr>
      <w:instrText xml:space="preserve">PAGE  </w:instrText>
    </w:r>
    <w:r>
      <w:fldChar w:fldCharType="end"/>
    </w:r>
  </w:p>
  <w:p w:rsidR="00C34722" w:rsidRDefault="00C3472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2" w:rsidRDefault="00C34722">
    <w:pPr>
      <w:pStyle w:val="a6"/>
      <w:framePr w:wrap="around" w:vAnchor="text" w:hAnchor="margin" w:xAlign="center" w:y="1"/>
      <w:rPr>
        <w:rStyle w:val="a3"/>
      </w:rPr>
    </w:pPr>
    <w:r>
      <w:fldChar w:fldCharType="begin"/>
    </w:r>
    <w:r>
      <w:rPr>
        <w:rStyle w:val="a3"/>
      </w:rPr>
      <w:instrText xml:space="preserve">PAGE  </w:instrText>
    </w:r>
    <w:r>
      <w:fldChar w:fldCharType="separate"/>
    </w:r>
    <w:r w:rsidR="00450999">
      <w:rPr>
        <w:rStyle w:val="a3"/>
        <w:noProof/>
      </w:rPr>
      <w:t>1</w:t>
    </w:r>
    <w:r>
      <w:fldChar w:fldCharType="end"/>
    </w:r>
  </w:p>
  <w:p w:rsidR="00C34722" w:rsidRDefault="00C347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22" w:rsidRDefault="00C34722">
      <w:r>
        <w:separator/>
      </w:r>
    </w:p>
  </w:footnote>
  <w:footnote w:type="continuationSeparator" w:id="1">
    <w:p w:rsidR="00C34722" w:rsidRDefault="00C3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2" w:rsidRDefault="00C34722">
    <w:pPr>
      <w:pStyle w:val="a5"/>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4.8pt;height:21.3pt;mso-position-horizontal-relative:page;mso-position-vertical-relative:page">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648"/>
    <w:rsid w:val="00004C92"/>
    <w:rsid w:val="0000541F"/>
    <w:rsid w:val="00011599"/>
    <w:rsid w:val="00015CCE"/>
    <w:rsid w:val="00021907"/>
    <w:rsid w:val="00034E69"/>
    <w:rsid w:val="000378A9"/>
    <w:rsid w:val="000434BA"/>
    <w:rsid w:val="00044297"/>
    <w:rsid w:val="00060C72"/>
    <w:rsid w:val="0006334A"/>
    <w:rsid w:val="00064A99"/>
    <w:rsid w:val="00067FE5"/>
    <w:rsid w:val="00075F14"/>
    <w:rsid w:val="00077950"/>
    <w:rsid w:val="0009346F"/>
    <w:rsid w:val="000A00B7"/>
    <w:rsid w:val="000B080A"/>
    <w:rsid w:val="000B31CF"/>
    <w:rsid w:val="000B4E8A"/>
    <w:rsid w:val="000B5946"/>
    <w:rsid w:val="000C0123"/>
    <w:rsid w:val="000C634C"/>
    <w:rsid w:val="000E01E7"/>
    <w:rsid w:val="000E1B07"/>
    <w:rsid w:val="000F2917"/>
    <w:rsid w:val="000F7AED"/>
    <w:rsid w:val="00104AAB"/>
    <w:rsid w:val="001358CA"/>
    <w:rsid w:val="00154955"/>
    <w:rsid w:val="00155EE8"/>
    <w:rsid w:val="00172249"/>
    <w:rsid w:val="00172413"/>
    <w:rsid w:val="00173B7C"/>
    <w:rsid w:val="0017695F"/>
    <w:rsid w:val="00177F91"/>
    <w:rsid w:val="00180873"/>
    <w:rsid w:val="00187015"/>
    <w:rsid w:val="00194796"/>
    <w:rsid w:val="00197B88"/>
    <w:rsid w:val="001B2B1F"/>
    <w:rsid w:val="001B336D"/>
    <w:rsid w:val="001C359C"/>
    <w:rsid w:val="001D5EBA"/>
    <w:rsid w:val="001E774C"/>
    <w:rsid w:val="001F6EA5"/>
    <w:rsid w:val="00200524"/>
    <w:rsid w:val="002058B2"/>
    <w:rsid w:val="00213E6D"/>
    <w:rsid w:val="0021610A"/>
    <w:rsid w:val="00222762"/>
    <w:rsid w:val="00225908"/>
    <w:rsid w:val="00235734"/>
    <w:rsid w:val="00240914"/>
    <w:rsid w:val="0025738B"/>
    <w:rsid w:val="00272497"/>
    <w:rsid w:val="00277C89"/>
    <w:rsid w:val="00281EB2"/>
    <w:rsid w:val="002860F6"/>
    <w:rsid w:val="00286DC7"/>
    <w:rsid w:val="002A29E6"/>
    <w:rsid w:val="002A5B3E"/>
    <w:rsid w:val="002B1020"/>
    <w:rsid w:val="002B23EA"/>
    <w:rsid w:val="002B2B96"/>
    <w:rsid w:val="002B461C"/>
    <w:rsid w:val="002B641A"/>
    <w:rsid w:val="002C0E46"/>
    <w:rsid w:val="002C573A"/>
    <w:rsid w:val="002D290F"/>
    <w:rsid w:val="002D50C2"/>
    <w:rsid w:val="002D7231"/>
    <w:rsid w:val="002E3659"/>
    <w:rsid w:val="002E4B62"/>
    <w:rsid w:val="00300A50"/>
    <w:rsid w:val="00302394"/>
    <w:rsid w:val="00306043"/>
    <w:rsid w:val="00315992"/>
    <w:rsid w:val="00317286"/>
    <w:rsid w:val="003226C9"/>
    <w:rsid w:val="00324814"/>
    <w:rsid w:val="003304F4"/>
    <w:rsid w:val="003361B9"/>
    <w:rsid w:val="00336210"/>
    <w:rsid w:val="00351F03"/>
    <w:rsid w:val="003537C3"/>
    <w:rsid w:val="00354936"/>
    <w:rsid w:val="003567F5"/>
    <w:rsid w:val="00357B60"/>
    <w:rsid w:val="00372BE8"/>
    <w:rsid w:val="00376221"/>
    <w:rsid w:val="00383EFF"/>
    <w:rsid w:val="003936E6"/>
    <w:rsid w:val="003A364C"/>
    <w:rsid w:val="003A6272"/>
    <w:rsid w:val="003B73E0"/>
    <w:rsid w:val="003C5FCD"/>
    <w:rsid w:val="003C711A"/>
    <w:rsid w:val="003E29B0"/>
    <w:rsid w:val="003E73A3"/>
    <w:rsid w:val="003F3F92"/>
    <w:rsid w:val="003F63E6"/>
    <w:rsid w:val="00403A99"/>
    <w:rsid w:val="004078EB"/>
    <w:rsid w:val="00410D90"/>
    <w:rsid w:val="004151CA"/>
    <w:rsid w:val="004262DC"/>
    <w:rsid w:val="00442CF4"/>
    <w:rsid w:val="00450999"/>
    <w:rsid w:val="00453726"/>
    <w:rsid w:val="0046636F"/>
    <w:rsid w:val="00471178"/>
    <w:rsid w:val="00475658"/>
    <w:rsid w:val="004838B6"/>
    <w:rsid w:val="004B2CE3"/>
    <w:rsid w:val="004B689A"/>
    <w:rsid w:val="004C4177"/>
    <w:rsid w:val="004C5418"/>
    <w:rsid w:val="004C5580"/>
    <w:rsid w:val="004D39FB"/>
    <w:rsid w:val="004E17AC"/>
    <w:rsid w:val="004E4682"/>
    <w:rsid w:val="004E59E3"/>
    <w:rsid w:val="004F3C26"/>
    <w:rsid w:val="005016EC"/>
    <w:rsid w:val="00521271"/>
    <w:rsid w:val="00525CEC"/>
    <w:rsid w:val="00531C3E"/>
    <w:rsid w:val="00534D4F"/>
    <w:rsid w:val="0054448E"/>
    <w:rsid w:val="00556D72"/>
    <w:rsid w:val="00571290"/>
    <w:rsid w:val="00581D55"/>
    <w:rsid w:val="00584A7B"/>
    <w:rsid w:val="0058748E"/>
    <w:rsid w:val="0058793F"/>
    <w:rsid w:val="00587BA0"/>
    <w:rsid w:val="0059104C"/>
    <w:rsid w:val="0059693C"/>
    <w:rsid w:val="00597F7F"/>
    <w:rsid w:val="005A2E21"/>
    <w:rsid w:val="005B4864"/>
    <w:rsid w:val="005D59AF"/>
    <w:rsid w:val="005D7473"/>
    <w:rsid w:val="005D76B0"/>
    <w:rsid w:val="005F5150"/>
    <w:rsid w:val="00604BE8"/>
    <w:rsid w:val="0061693D"/>
    <w:rsid w:val="00621ED9"/>
    <w:rsid w:val="00622BCC"/>
    <w:rsid w:val="0062789E"/>
    <w:rsid w:val="00627D62"/>
    <w:rsid w:val="006323DA"/>
    <w:rsid w:val="006327FC"/>
    <w:rsid w:val="00636408"/>
    <w:rsid w:val="00647C01"/>
    <w:rsid w:val="00666286"/>
    <w:rsid w:val="006706C5"/>
    <w:rsid w:val="006732C1"/>
    <w:rsid w:val="00676C9D"/>
    <w:rsid w:val="006842A9"/>
    <w:rsid w:val="0069727B"/>
    <w:rsid w:val="006A258E"/>
    <w:rsid w:val="006B7E34"/>
    <w:rsid w:val="006C1400"/>
    <w:rsid w:val="006C7FE1"/>
    <w:rsid w:val="006E1378"/>
    <w:rsid w:val="006E29C9"/>
    <w:rsid w:val="006F0D87"/>
    <w:rsid w:val="006F1DC7"/>
    <w:rsid w:val="006F25F2"/>
    <w:rsid w:val="007347A9"/>
    <w:rsid w:val="007362EA"/>
    <w:rsid w:val="0074234F"/>
    <w:rsid w:val="0074252B"/>
    <w:rsid w:val="0075353E"/>
    <w:rsid w:val="00755EEE"/>
    <w:rsid w:val="00771885"/>
    <w:rsid w:val="0077247E"/>
    <w:rsid w:val="007727C6"/>
    <w:rsid w:val="0078509F"/>
    <w:rsid w:val="00787CA0"/>
    <w:rsid w:val="007A0A19"/>
    <w:rsid w:val="007A2128"/>
    <w:rsid w:val="007B1415"/>
    <w:rsid w:val="007B4997"/>
    <w:rsid w:val="007C1C7F"/>
    <w:rsid w:val="007C1D58"/>
    <w:rsid w:val="007C2F16"/>
    <w:rsid w:val="007C771C"/>
    <w:rsid w:val="007D0A0D"/>
    <w:rsid w:val="007E5170"/>
    <w:rsid w:val="007E65A6"/>
    <w:rsid w:val="007F137C"/>
    <w:rsid w:val="007F591E"/>
    <w:rsid w:val="00813D7B"/>
    <w:rsid w:val="00817582"/>
    <w:rsid w:val="00822B09"/>
    <w:rsid w:val="0084088B"/>
    <w:rsid w:val="00841ADA"/>
    <w:rsid w:val="0085276F"/>
    <w:rsid w:val="0085445C"/>
    <w:rsid w:val="00856F73"/>
    <w:rsid w:val="00866268"/>
    <w:rsid w:val="00873586"/>
    <w:rsid w:val="00875BA1"/>
    <w:rsid w:val="00880882"/>
    <w:rsid w:val="00883EF5"/>
    <w:rsid w:val="008A6A1A"/>
    <w:rsid w:val="008B0A1C"/>
    <w:rsid w:val="0090280F"/>
    <w:rsid w:val="00934BB3"/>
    <w:rsid w:val="00936BB2"/>
    <w:rsid w:val="00945A38"/>
    <w:rsid w:val="0094722C"/>
    <w:rsid w:val="009473CC"/>
    <w:rsid w:val="00953406"/>
    <w:rsid w:val="00953E04"/>
    <w:rsid w:val="00956B5A"/>
    <w:rsid w:val="009605FA"/>
    <w:rsid w:val="0099060B"/>
    <w:rsid w:val="00996402"/>
    <w:rsid w:val="009A0F57"/>
    <w:rsid w:val="009D028B"/>
    <w:rsid w:val="009D0B50"/>
    <w:rsid w:val="009E0002"/>
    <w:rsid w:val="009E672E"/>
    <w:rsid w:val="009F2155"/>
    <w:rsid w:val="009F3E20"/>
    <w:rsid w:val="009F3E79"/>
    <w:rsid w:val="009F4C73"/>
    <w:rsid w:val="00A0196B"/>
    <w:rsid w:val="00A07D68"/>
    <w:rsid w:val="00A1217A"/>
    <w:rsid w:val="00A27F13"/>
    <w:rsid w:val="00A4073F"/>
    <w:rsid w:val="00A4328A"/>
    <w:rsid w:val="00A46BB5"/>
    <w:rsid w:val="00A46C51"/>
    <w:rsid w:val="00A46E9E"/>
    <w:rsid w:val="00A47C08"/>
    <w:rsid w:val="00A51DB8"/>
    <w:rsid w:val="00A65960"/>
    <w:rsid w:val="00A77404"/>
    <w:rsid w:val="00A81A49"/>
    <w:rsid w:val="00A82408"/>
    <w:rsid w:val="00A95EEF"/>
    <w:rsid w:val="00A96FA7"/>
    <w:rsid w:val="00AB6FA7"/>
    <w:rsid w:val="00AC2086"/>
    <w:rsid w:val="00AC4407"/>
    <w:rsid w:val="00AC604B"/>
    <w:rsid w:val="00AE0514"/>
    <w:rsid w:val="00AF17EC"/>
    <w:rsid w:val="00AF49BA"/>
    <w:rsid w:val="00B0673E"/>
    <w:rsid w:val="00B077E3"/>
    <w:rsid w:val="00B11E92"/>
    <w:rsid w:val="00B14098"/>
    <w:rsid w:val="00B35574"/>
    <w:rsid w:val="00B45286"/>
    <w:rsid w:val="00B55693"/>
    <w:rsid w:val="00B70C79"/>
    <w:rsid w:val="00B736FF"/>
    <w:rsid w:val="00B76736"/>
    <w:rsid w:val="00BA3E2A"/>
    <w:rsid w:val="00BA420E"/>
    <w:rsid w:val="00BB1C8A"/>
    <w:rsid w:val="00BC234D"/>
    <w:rsid w:val="00BC50A0"/>
    <w:rsid w:val="00BD0EE8"/>
    <w:rsid w:val="00BE1FBB"/>
    <w:rsid w:val="00BF6F19"/>
    <w:rsid w:val="00C04B9A"/>
    <w:rsid w:val="00C04C95"/>
    <w:rsid w:val="00C1616C"/>
    <w:rsid w:val="00C327DF"/>
    <w:rsid w:val="00C34722"/>
    <w:rsid w:val="00C60F7D"/>
    <w:rsid w:val="00C83399"/>
    <w:rsid w:val="00C84688"/>
    <w:rsid w:val="00C8587E"/>
    <w:rsid w:val="00C901D4"/>
    <w:rsid w:val="00CA017F"/>
    <w:rsid w:val="00CA5E06"/>
    <w:rsid w:val="00CA6E4F"/>
    <w:rsid w:val="00CB42BC"/>
    <w:rsid w:val="00CC26A3"/>
    <w:rsid w:val="00CC74B9"/>
    <w:rsid w:val="00CC7EC6"/>
    <w:rsid w:val="00CD04E0"/>
    <w:rsid w:val="00CD0F5D"/>
    <w:rsid w:val="00CD6B14"/>
    <w:rsid w:val="00CE2C87"/>
    <w:rsid w:val="00CF0482"/>
    <w:rsid w:val="00D00170"/>
    <w:rsid w:val="00D06161"/>
    <w:rsid w:val="00D1577E"/>
    <w:rsid w:val="00D16B01"/>
    <w:rsid w:val="00D16E3D"/>
    <w:rsid w:val="00D221D1"/>
    <w:rsid w:val="00D4085C"/>
    <w:rsid w:val="00D42BFB"/>
    <w:rsid w:val="00D5262B"/>
    <w:rsid w:val="00D6017A"/>
    <w:rsid w:val="00D674C2"/>
    <w:rsid w:val="00D72A3C"/>
    <w:rsid w:val="00D87552"/>
    <w:rsid w:val="00D922D5"/>
    <w:rsid w:val="00DA25DB"/>
    <w:rsid w:val="00DA3D38"/>
    <w:rsid w:val="00DC2C29"/>
    <w:rsid w:val="00DC45F2"/>
    <w:rsid w:val="00DD13BD"/>
    <w:rsid w:val="00DD1808"/>
    <w:rsid w:val="00DE203C"/>
    <w:rsid w:val="00E00761"/>
    <w:rsid w:val="00E045E6"/>
    <w:rsid w:val="00E16562"/>
    <w:rsid w:val="00E246EC"/>
    <w:rsid w:val="00E32781"/>
    <w:rsid w:val="00E32BD5"/>
    <w:rsid w:val="00E360C2"/>
    <w:rsid w:val="00E40DEE"/>
    <w:rsid w:val="00E51F7B"/>
    <w:rsid w:val="00E52474"/>
    <w:rsid w:val="00E534BD"/>
    <w:rsid w:val="00E623D9"/>
    <w:rsid w:val="00E67536"/>
    <w:rsid w:val="00E724A2"/>
    <w:rsid w:val="00E85648"/>
    <w:rsid w:val="00E86EDA"/>
    <w:rsid w:val="00E90C27"/>
    <w:rsid w:val="00E91286"/>
    <w:rsid w:val="00E931D4"/>
    <w:rsid w:val="00EA145E"/>
    <w:rsid w:val="00EA2B9A"/>
    <w:rsid w:val="00EA380F"/>
    <w:rsid w:val="00EB0A03"/>
    <w:rsid w:val="00EB19AE"/>
    <w:rsid w:val="00EC0319"/>
    <w:rsid w:val="00EC447D"/>
    <w:rsid w:val="00ED46EB"/>
    <w:rsid w:val="00EE456E"/>
    <w:rsid w:val="00EE4F84"/>
    <w:rsid w:val="00EE5B42"/>
    <w:rsid w:val="00EF132D"/>
    <w:rsid w:val="00EF4AFC"/>
    <w:rsid w:val="00EF75AD"/>
    <w:rsid w:val="00F17864"/>
    <w:rsid w:val="00F178A2"/>
    <w:rsid w:val="00F317FD"/>
    <w:rsid w:val="00F3404F"/>
    <w:rsid w:val="00F429C8"/>
    <w:rsid w:val="00F475C3"/>
    <w:rsid w:val="00F5110B"/>
    <w:rsid w:val="00F538C8"/>
    <w:rsid w:val="00F569F5"/>
    <w:rsid w:val="00F85438"/>
    <w:rsid w:val="00F9290F"/>
    <w:rsid w:val="00FA184F"/>
    <w:rsid w:val="00FA605B"/>
    <w:rsid w:val="00FB0274"/>
    <w:rsid w:val="00FB3AD0"/>
    <w:rsid w:val="00FB566E"/>
    <w:rsid w:val="00FB5962"/>
    <w:rsid w:val="00FD1B39"/>
    <w:rsid w:val="00FD5A05"/>
    <w:rsid w:val="00FE47AC"/>
    <w:rsid w:val="00FE6F0F"/>
    <w:rsid w:val="00FF0E3E"/>
    <w:rsid w:val="017C43AF"/>
    <w:rsid w:val="01F001DF"/>
    <w:rsid w:val="032B7EE3"/>
    <w:rsid w:val="039A3B73"/>
    <w:rsid w:val="039D732D"/>
    <w:rsid w:val="066126A9"/>
    <w:rsid w:val="07CB2FFB"/>
    <w:rsid w:val="0B3B253E"/>
    <w:rsid w:val="131A0D28"/>
    <w:rsid w:val="14B7212D"/>
    <w:rsid w:val="1CDC43ED"/>
    <w:rsid w:val="1E547495"/>
    <w:rsid w:val="1F766F47"/>
    <w:rsid w:val="24F76915"/>
    <w:rsid w:val="328C58C0"/>
    <w:rsid w:val="4001596D"/>
    <w:rsid w:val="40D3798C"/>
    <w:rsid w:val="410D099D"/>
    <w:rsid w:val="44C55752"/>
    <w:rsid w:val="4AD26FF5"/>
    <w:rsid w:val="4CC13999"/>
    <w:rsid w:val="4D4B7D97"/>
    <w:rsid w:val="4F6065BA"/>
    <w:rsid w:val="50144D2A"/>
    <w:rsid w:val="50D4150C"/>
    <w:rsid w:val="54895A80"/>
    <w:rsid w:val="550601DF"/>
    <w:rsid w:val="55DF47FB"/>
    <w:rsid w:val="55FC5C10"/>
    <w:rsid w:val="5A99526A"/>
    <w:rsid w:val="5BD54A99"/>
    <w:rsid w:val="5D157C96"/>
    <w:rsid w:val="5EE77D9C"/>
    <w:rsid w:val="62EA42BE"/>
    <w:rsid w:val="6D546433"/>
    <w:rsid w:val="70752EDC"/>
    <w:rsid w:val="746E1F44"/>
    <w:rsid w:val="76D51402"/>
    <w:rsid w:val="79B40454"/>
    <w:rsid w:val="7AEA60A2"/>
    <w:rsid w:val="7DB44819"/>
    <w:rsid w:val="7F7617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mphasis"/>
    <w:basedOn w:val="a0"/>
    <w:qFormat/>
    <w:rPr>
      <w:i/>
    </w:rPr>
  </w:style>
  <w:style w:type="character" w:customStyle="1" w:styleId="Char">
    <w:name w:val="页眉 Char"/>
    <w:link w:val="a5"/>
    <w:rPr>
      <w:kern w:val="2"/>
      <w:sz w:val="18"/>
      <w:szCs w:val="18"/>
    </w:rPr>
  </w:style>
  <w:style w:type="character" w:customStyle="1" w:styleId="Char0">
    <w:name w:val="页脚 Char"/>
    <w:link w:val="a6"/>
    <w:rPr>
      <w:kern w:val="2"/>
      <w:sz w:val="18"/>
      <w:szCs w:val="18"/>
    </w:rPr>
  </w:style>
  <w:style w:type="character" w:customStyle="1" w:styleId="a11">
    <w:name w:val="a11"/>
    <w:rPr>
      <w:color w:val="000000"/>
      <w:sz w:val="18"/>
      <w:szCs w:val="18"/>
    </w:rPr>
  </w:style>
  <w:style w:type="paragraph" w:styleId="a7">
    <w:name w:val="List Paragraph"/>
    <w:basedOn w:val="a"/>
    <w:uiPriority w:val="34"/>
    <w:qFormat/>
    <w:pPr>
      <w:ind w:firstLineChars="200" w:firstLine="420"/>
    </w:pPr>
  </w:style>
  <w:style w:type="paragraph" w:styleId="a5">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0"/>
    <w:pPr>
      <w:tabs>
        <w:tab w:val="center" w:pos="4153"/>
        <w:tab w:val="right" w:pos="8306"/>
      </w:tabs>
      <w:snapToGrid w:val="0"/>
      <w:jc w:val="left"/>
    </w:pPr>
    <w:rPr>
      <w:sz w:val="18"/>
      <w:szCs w:val="18"/>
      <w:lang/>
    </w:rPr>
  </w:style>
  <w:style w:type="paragraph" w:styleId="a8">
    <w:name w:val="Balloon Text"/>
    <w:basedOn w:val="a"/>
    <w:semiHidden/>
    <w:rPr>
      <w:sz w:val="18"/>
      <w:szCs w:val="18"/>
    </w:rPr>
  </w:style>
  <w:style w:type="paragraph" w:customStyle="1" w:styleId="CharCharCharChar">
    <w:name w:val=" Char Char Char Char"/>
    <w:basedOn w:val="a"/>
    <w:pPr>
      <w:tabs>
        <w:tab w:val="left" w:pos="360"/>
      </w:tabs>
    </w:pPr>
    <w:rPr>
      <w:sz w:val="24"/>
    </w:rPr>
  </w:style>
  <w:style w:type="paragraph" w:styleId="a9">
    <w:name w:val="Revision"/>
    <w:uiPriority w:val="99"/>
    <w:semiHidden/>
    <w:rPr>
      <w:kern w:val="2"/>
      <w:sz w:val="21"/>
      <w:szCs w:val="24"/>
    </w:rPr>
  </w:style>
  <w:style w:type="paragraph" w:customStyle="1" w:styleId="CharCharCharChar1CharCharChar">
    <w:name w:val=" Char Char Char Char1 Char Char Char"/>
    <w:basedOn w:val="a"/>
  </w:style>
  <w:style w:type="table" w:styleId="aa">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4</DocSecurity>
  <Lines>7</Lines>
  <Paragraphs>2</Paragraphs>
  <ScaleCrop>false</ScaleCrop>
  <Company>lionfund</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诺安基金管理有限公司关于诺安中证100指数在江苏银行开通基金定投及转换业务的公告</dc:title>
  <dc:subject/>
  <dc:creator>sujp</dc:creator>
  <cp:keywords/>
  <cp:lastModifiedBy>JonMMx 2000</cp:lastModifiedBy>
  <cp:revision>2</cp:revision>
  <dcterms:created xsi:type="dcterms:W3CDTF">2020-05-07T16:00:00Z</dcterms:created>
  <dcterms:modified xsi:type="dcterms:W3CDTF">2020-05-07T16:00:00Z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